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Contrato de Datos JSONB - Estándar de Ecosistema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Propósito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Establecer una estructura de datos inmutable para el transporte de identidades digitales desde la frontera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Imán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hacia el núcleo de procesamiento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Este contrato asegura la integridad de la atribución de marketing y la extensibilidad de los formularios según la importancia de cada campo.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Estructura Global del Payload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registro debe seguir este esquema, dividiendo la información por su peso en el proceso de conversión.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"metadata": {</w:t>
        <w:br w:type="textWrapping"/>
        <w:t xml:space="preserve">    "event_id": "UUID-v4",</w:t>
        <w:br w:type="textWrapping"/>
        <w:t xml:space="preserve">    "timestamp": "ISO-8601",</w:t>
        <w:br w:type="textWrapping"/>
        <w:t xml:space="preserve">    "form_id": "string",</w:t>
        <w:br w:type="textWrapping"/>
        <w:t xml:space="preserve">    "version": "1.1"</w:t>
        <w:br w:type="textWrapping"/>
        <w:t xml:space="preserve">  },</w:t>
        <w:br w:type="textWrapping"/>
        <w:t xml:space="preserve">  "attribution": {</w:t>
        <w:br w:type="textWrapping"/>
        <w:t xml:space="preserve">    "utm_source": "string",</w:t>
        <w:br w:type="textWrapping"/>
        <w:t xml:space="preserve">    "utm_campaign": "string",</w:t>
        <w:br w:type="textWrapping"/>
        <w:t xml:space="preserve">    "utm_content": "string",</w:t>
        <w:br w:type="textWrapping"/>
        <w:t xml:space="preserve">    "utm_medium": "string",</w:t>
        <w:br w:type="textWrapping"/>
        <w:t xml:space="preserve">    "utm_term": "string",</w:t>
        <w:br w:type="textWrapping"/>
        <w:t xml:space="preserve">    "landing_url": "url_completa"</w:t>
        <w:br w:type="textWrapping"/>
        <w:t xml:space="preserve">  },</w:t>
        <w:br w:type="textWrapping"/>
        <w:t xml:space="preserve">  "payload": {</w:t>
        <w:br w:type="textWrapping"/>
        <w:t xml:space="preserve">    "identity_critical": {</w:t>
        <w:br w:type="textWrapping"/>
        <w:t xml:space="preserve">      "email": "string",</w:t>
        <w:br w:type="textWrapping"/>
        <w:t xml:space="preserve">      "full_name": "string"</w:t>
        <w:br w:type="textWrapping"/>
        <w:t xml:space="preserve">    },</w:t>
        <w:br w:type="textWrapping"/>
        <w:t xml:space="preserve">    "profile_optional": {</w:t>
        <w:br w:type="textWrapping"/>
        <w:t xml:space="preserve">      "job_title": "string",</w:t>
        <w:br w:type="textWrapping"/>
        <w:t xml:space="preserve">      "company": "string",</w:t>
        <w:br w:type="textWrapping"/>
        <w:t xml:space="preserve">      "phone": "string",</w:t>
        <w:br w:type="textWrapping"/>
        <w:t xml:space="preserve">      "address": "string",</w:t>
        <w:br w:type="textWrapping"/>
        <w:t xml:space="preserve">      "industry_sector": "string"</w:t>
        <w:br w:type="textWrapping"/>
        <w:t xml:space="preserve">    },</w:t>
        <w:br w:type="textWrapping"/>
        <w:t xml:space="preserve">    "custom_fields": {</w:t>
        <w:br w:type="textWrapping"/>
        <w:t xml:space="preserve">      "otros_datos_variables": "any"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Diccionario de Campos y Reglas de Negocio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Bloque: Atribución (Crítico)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utm_source (Canal):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Origen del tráfico (ej. Google, Meta, LinkedIn). Obligatorio para reportes de ROI.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utm_campaign (Campaña):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Nombre de la campaña específica (ej. transformacion_pyme_2024).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utm_content (Publicación/Anuncio):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Identificador del anuncio o post específico. Permite saber qué arte o copy convirtió.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Bloque: Identidad (Crítico)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Identificador único. Validación estricta, lowercase y trim.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full_name: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Nombre completo para personalización de comunicaciones.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Bloque: Perfil y Contacto (Opcional)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Datos capturados en formularios extendidos o integraciones de Lead Ads.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job_title / company (Perfil Pro):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Cargo y empresa para segmentación B2B.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phone / address (Contacto):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Información para contacto directo o geolocalización.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industry_sector (Contexto):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Sector industrial (Select) para asignar el lead a un flujo especializado.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Reglas de Validación y Calidad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3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de Rechazo: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falta cualquier campo del bloque identity_critical o los campos utm_source/utm_campaign, el registro no debe ingresar al flujo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3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Normalización de Atribución: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utm_source es nulo, el sistema debe autodefinirlo como "organic" o "direct".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3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Sanitización: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Limpieza automática de etiquetas HTML en todos los campos string para evitar XSS.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3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Preservación de Tipos: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campos opcionales no presentes deben viajar como null, no como string vacío "".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Resumen de Importancia para el Negocio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Importancia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Acción de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Identidad &amp; Atribución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Bloqueante (Sin estos datos no hay Lead).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Perfil, Contacto &amp; Contexto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Enriquecimiento (Mejora la conversión en Pulso).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15.6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15.6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15.6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3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