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28"/>
          <w:szCs w:val="28"/>
        </w:rPr>
      </w:pPr>
      <w:r w:rsidDel="00000000" w:rsidR="00000000" w:rsidRPr="00000000">
        <w:rPr>
          <w:i w:val="1"/>
          <w:sz w:val="28"/>
          <w:szCs w:val="28"/>
        </w:rPr>
        <w:drawing>
          <wp:anchor allowOverlap="1" behindDoc="0" distB="114300" distT="114300" distL="114300" distR="114300" hidden="0" layoutInCell="1" locked="0" relativeHeight="0" simplePos="0">
            <wp:simplePos x="0" y="0"/>
            <wp:positionH relativeFrom="page">
              <wp:posOffset>6118860</wp:posOffset>
            </wp:positionH>
            <wp:positionV relativeFrom="page">
              <wp:posOffset>337820</wp:posOffset>
            </wp:positionV>
            <wp:extent cx="1265873" cy="1265873"/>
            <wp:effectExtent b="0" l="0" r="0" t="0"/>
            <wp:wrapNone/>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65873" cy="1265873"/>
                    </a:xfrm>
                    <a:prstGeom prst="rect"/>
                    <a:ln/>
                  </pic:spPr>
                </pic:pic>
              </a:graphicData>
            </a:graphic>
          </wp:anchor>
        </w:drawing>
      </w:r>
      <w:r w:rsidDel="00000000" w:rsidR="00000000" w:rsidRPr="00000000">
        <w:rPr>
          <w:i w:val="1"/>
          <w:sz w:val="28"/>
          <w:szCs w:val="28"/>
        </w:rPr>
        <w:drawing>
          <wp:anchor allowOverlap="1" behindDoc="0" distB="114300" distT="114300" distL="114300" distR="114300" hidden="0" layoutInCell="1" locked="0" relativeHeight="0" simplePos="0">
            <wp:simplePos x="0" y="0"/>
            <wp:positionH relativeFrom="page">
              <wp:posOffset>832485</wp:posOffset>
            </wp:positionH>
            <wp:positionV relativeFrom="page">
              <wp:posOffset>404495</wp:posOffset>
            </wp:positionV>
            <wp:extent cx="812067" cy="1266825"/>
            <wp:effectExtent b="0" l="0" r="0" t="0"/>
            <wp:wrapNone/>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2067" cy="1266825"/>
                    </a:xfrm>
                    <a:prstGeom prst="rect"/>
                    <a:ln/>
                  </pic:spPr>
                </pic:pic>
              </a:graphicData>
            </a:graphic>
          </wp:anchor>
        </w:drawing>
      </w:r>
      <w:r w:rsidDel="00000000" w:rsidR="00000000" w:rsidRPr="00000000">
        <w:rPr>
          <w:i w:val="1"/>
          <w:sz w:val="28"/>
          <w:szCs w:val="28"/>
          <w:rtl w:val="0"/>
        </w:rPr>
        <w:t xml:space="preserve">UNIVERSIDAD MAYOR DE SAN SIMÓN</w:t>
      </w:r>
    </w:p>
    <w:p w:rsidR="00000000" w:rsidDel="00000000" w:rsidP="00000000" w:rsidRDefault="00000000" w:rsidRPr="00000000" w14:paraId="00000002">
      <w:pPr>
        <w:jc w:val="center"/>
        <w:rPr>
          <w:i w:val="1"/>
          <w:sz w:val="28"/>
          <w:szCs w:val="28"/>
        </w:rPr>
      </w:pPr>
      <w:r w:rsidDel="00000000" w:rsidR="00000000" w:rsidRPr="00000000">
        <w:rPr>
          <w:i w:val="1"/>
          <w:sz w:val="28"/>
          <w:szCs w:val="28"/>
          <w:rtl w:val="0"/>
        </w:rPr>
        <w:t xml:space="preserve">DIRECCIÓN UNIVERSITARIA DE EVALUACIÓN Y ACREDITACIÓN</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pStyle w:val="Title"/>
        <w:jc w:val="center"/>
        <w:rPr>
          <w:b w:val="1"/>
        </w:rPr>
      </w:pPr>
      <w:r w:rsidDel="00000000" w:rsidR="00000000" w:rsidRPr="00000000">
        <w:rPr>
          <w:b w:val="1"/>
          <w:rtl w:val="0"/>
        </w:rPr>
        <w:t xml:space="preserve">Manual de usuario</w:t>
        <w:br w:type="textWrapping"/>
        <w:t xml:space="preserve">FODAMat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Redactado por: </w:t>
      </w:r>
      <w:r w:rsidDel="00000000" w:rsidR="00000000" w:rsidRPr="00000000">
        <w:rPr>
          <w:rtl w:val="0"/>
        </w:rPr>
        <w:t xml:space="preserve">Gabriel Zurita Gómez</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Departamento: </w:t>
      </w:r>
      <w:r w:rsidDel="00000000" w:rsidR="00000000" w:rsidRPr="00000000">
        <w:rPr>
          <w:rtl w:val="0"/>
        </w:rPr>
        <w:t xml:space="preserve">Sistemas Informáticos de Evaluación y Calidad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Cochabamba, 29 de diciembre de 2023</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26" w:right="0" w:hanging="426"/>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1. Funciones</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9kcunoaa099k">
            <w:r w:rsidDel="00000000" w:rsidR="00000000" w:rsidRPr="00000000">
              <w:rPr>
                <w:i w:val="0"/>
                <w:smallCaps w:val="0"/>
                <w:strike w:val="0"/>
                <w:color w:val="000000"/>
                <w:sz w:val="22"/>
                <w:szCs w:val="22"/>
                <w:u w:val="none"/>
                <w:shd w:fill="auto" w:val="clear"/>
                <w:vertAlign w:val="baseline"/>
                <w:rtl w:val="0"/>
              </w:rPr>
              <w:t xml:space="preserve">2. Flujo de trabajo</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2"/>
                <w:szCs w:val="22"/>
                <w:u w:val="none"/>
                <w:shd w:fill="auto" w:val="clear"/>
                <w:vertAlign w:val="baseline"/>
                <w:rtl w:val="0"/>
              </w:rPr>
              <w:t xml:space="preserve">2.1. Guía de realización del FODA</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jiqxglpr89o2">
            <w:r w:rsidDel="00000000" w:rsidR="00000000" w:rsidRPr="00000000">
              <w:rPr>
                <w:i w:val="0"/>
                <w:smallCaps w:val="0"/>
                <w:strike w:val="0"/>
                <w:color w:val="000000"/>
                <w:sz w:val="22"/>
                <w:szCs w:val="22"/>
                <w:u w:val="none"/>
                <w:shd w:fill="auto" w:val="clear"/>
                <w:vertAlign w:val="baseline"/>
                <w:rtl w:val="0"/>
              </w:rPr>
              <w:t xml:space="preserve">2.2. Gestión del FODA (crear o continuar)</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qzlvhn8ofl14">
            <w:r w:rsidDel="00000000" w:rsidR="00000000" w:rsidRPr="00000000">
              <w:rPr>
                <w:i w:val="0"/>
                <w:smallCaps w:val="0"/>
                <w:strike w:val="0"/>
                <w:color w:val="000000"/>
                <w:sz w:val="22"/>
                <w:szCs w:val="22"/>
                <w:u w:val="none"/>
                <w:shd w:fill="auto" w:val="clear"/>
                <w:vertAlign w:val="baseline"/>
                <w:rtl w:val="0"/>
              </w:rPr>
              <w:t xml:space="preserve">2.3. Gestión de áreas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lzbto85xtit6">
            <w:r w:rsidDel="00000000" w:rsidR="00000000" w:rsidRPr="00000000">
              <w:rPr>
                <w:i w:val="0"/>
                <w:smallCaps w:val="0"/>
                <w:strike w:val="0"/>
                <w:color w:val="000000"/>
                <w:sz w:val="22"/>
                <w:szCs w:val="22"/>
                <w:u w:val="none"/>
                <w:shd w:fill="auto" w:val="clear"/>
                <w:vertAlign w:val="baseline"/>
                <w:rtl w:val="0"/>
              </w:rPr>
              <w:t xml:space="preserve">2.4. Control de relaciones entre atributos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oikvdp67el7s">
            <w:r w:rsidDel="00000000" w:rsidR="00000000" w:rsidRPr="00000000">
              <w:rPr>
                <w:i w:val="0"/>
                <w:smallCaps w:val="0"/>
                <w:strike w:val="0"/>
                <w:color w:val="000000"/>
                <w:sz w:val="22"/>
                <w:szCs w:val="22"/>
                <w:u w:val="none"/>
                <w:shd w:fill="auto" w:val="clear"/>
                <w:vertAlign w:val="baseline"/>
                <w:rtl w:val="0"/>
              </w:rPr>
              <w:t xml:space="preserve">2.5. Visualización de gráficas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pkxztw2ipmr">
            <w:r w:rsidDel="00000000" w:rsidR="00000000" w:rsidRPr="00000000">
              <w:rPr>
                <w:i w:val="0"/>
                <w:smallCaps w:val="0"/>
                <w:strike w:val="0"/>
                <w:color w:val="000000"/>
                <w:sz w:val="22"/>
                <w:szCs w:val="22"/>
                <w:u w:val="none"/>
                <w:shd w:fill="auto" w:val="clear"/>
                <w:vertAlign w:val="baseline"/>
                <w:rtl w:val="0"/>
              </w:rPr>
              <w:t xml:space="preserve">2.6. Resultados comparativos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5jwd2990lfnm">
            <w:r w:rsidDel="00000000" w:rsidR="00000000" w:rsidRPr="00000000">
              <w:rPr>
                <w:i w:val="0"/>
                <w:smallCaps w:val="0"/>
                <w:strike w:val="0"/>
                <w:color w:val="000000"/>
                <w:sz w:val="22"/>
                <w:szCs w:val="22"/>
                <w:u w:val="none"/>
                <w:shd w:fill="auto" w:val="clear"/>
                <w:vertAlign w:val="baseline"/>
                <w:rtl w:val="0"/>
              </w:rPr>
              <w:t xml:space="preserve">2.7. Exportación en PDF/DOC</w:t>
              <w:tab/>
            </w:r>
          </w:hyperlink>
          <w:r w:rsidDel="00000000" w:rsidR="00000000" w:rsidRPr="00000000">
            <w:fldChar w:fldCharType="begin"/>
            <w:instrText xml:space="preserve"> PAGEREF _heading=h.5jwd2990lfnm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footerReference r:id="rId9" w:type="default"/>
          <w:pgSz w:h="15840" w:w="12240" w:orient="portrait"/>
          <w:pgMar w:bottom="1417" w:top="1417" w:left="1701" w:right="1701" w:header="708" w:footer="708"/>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426" w:firstLine="0"/>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28">
      <w:pPr>
        <w:rPr/>
      </w:pPr>
      <w:r w:rsidDel="00000000" w:rsidR="00000000" w:rsidRPr="00000000">
        <w:rPr>
          <w:rtl w:val="0"/>
        </w:rPr>
        <w:t xml:space="preserve">El FODA matemático es una herramienta que permite a las unidades cuantificar las relaciones entre las fortalezas, debilidades, oportunidades y amenazas de cada una de las áreas con las que cuenta al momento de su evaluación.</w:t>
      </w:r>
    </w:p>
    <w:p w:rsidR="00000000" w:rsidDel="00000000" w:rsidP="00000000" w:rsidRDefault="00000000" w:rsidRPr="00000000" w14:paraId="00000029">
      <w:pPr>
        <w:ind w:left="0" w:firstLine="0"/>
        <w:rPr/>
      </w:pPr>
      <w:r w:rsidDel="00000000" w:rsidR="00000000" w:rsidRPr="00000000">
        <w:rPr>
          <w:rtl w:val="0"/>
        </w:rPr>
        <w:t xml:space="preserve">Se realizó la propuesta de desarrollo para un sistema que facilite a las unidades calificadas implementar herramientas de evaluación, como continuación del sistema de apoyo a la evaluación.</w:t>
      </w:r>
    </w:p>
    <w:p w:rsidR="00000000" w:rsidDel="00000000" w:rsidP="00000000" w:rsidRDefault="00000000" w:rsidRPr="00000000" w14:paraId="0000002A">
      <w:pPr>
        <w:pStyle w:val="Heading1"/>
        <w:numPr>
          <w:ilvl w:val="0"/>
          <w:numId w:val="2"/>
        </w:numPr>
        <w:ind w:left="720" w:hanging="360"/>
        <w:rPr/>
      </w:pPr>
      <w:bookmarkStart w:colFirst="0" w:colLast="0" w:name="_heading=h.30j0zll" w:id="1"/>
      <w:bookmarkEnd w:id="1"/>
      <w:r w:rsidDel="00000000" w:rsidR="00000000" w:rsidRPr="00000000">
        <w:rPr>
          <w:rtl w:val="0"/>
        </w:rPr>
        <w:t xml:space="preserve">Funciones</w:t>
      </w:r>
    </w:p>
    <w:p w:rsidR="00000000" w:rsidDel="00000000" w:rsidP="00000000" w:rsidRDefault="00000000" w:rsidRPr="00000000" w14:paraId="0000002B">
      <w:pPr>
        <w:numPr>
          <w:ilvl w:val="0"/>
          <w:numId w:val="1"/>
        </w:numPr>
        <w:spacing w:after="0" w:afterAutospacing="0"/>
        <w:ind w:left="1440" w:hanging="360"/>
        <w:rPr>
          <w:u w:val="none"/>
        </w:rPr>
      </w:pPr>
      <w:r w:rsidDel="00000000" w:rsidR="00000000" w:rsidRPr="00000000">
        <w:rPr>
          <w:rtl w:val="0"/>
        </w:rPr>
        <w:t xml:space="preserve">Guía de realización del FODA.</w:t>
      </w:r>
    </w:p>
    <w:p w:rsidR="00000000" w:rsidDel="00000000" w:rsidP="00000000" w:rsidRDefault="00000000" w:rsidRPr="00000000" w14:paraId="0000002C">
      <w:pPr>
        <w:numPr>
          <w:ilvl w:val="0"/>
          <w:numId w:val="1"/>
        </w:numPr>
        <w:spacing w:after="0" w:afterAutospacing="0"/>
        <w:ind w:left="1440" w:hanging="360"/>
        <w:rPr>
          <w:u w:val="none"/>
        </w:rPr>
      </w:pPr>
      <w:r w:rsidDel="00000000" w:rsidR="00000000" w:rsidRPr="00000000">
        <w:rPr>
          <w:rtl w:val="0"/>
        </w:rPr>
        <w:t xml:space="preserve">Gestión del FODA (crear o continuar).</w:t>
      </w:r>
    </w:p>
    <w:p w:rsidR="00000000" w:rsidDel="00000000" w:rsidP="00000000" w:rsidRDefault="00000000" w:rsidRPr="00000000" w14:paraId="0000002D">
      <w:pPr>
        <w:numPr>
          <w:ilvl w:val="0"/>
          <w:numId w:val="1"/>
        </w:numPr>
        <w:spacing w:after="0" w:afterAutospacing="0"/>
        <w:ind w:left="1440" w:hanging="360"/>
        <w:rPr>
          <w:u w:val="none"/>
        </w:rPr>
      </w:pPr>
      <w:r w:rsidDel="00000000" w:rsidR="00000000" w:rsidRPr="00000000">
        <w:rPr>
          <w:rtl w:val="0"/>
        </w:rPr>
        <w:t xml:space="preserve">Gestión de áreas .</w:t>
      </w:r>
    </w:p>
    <w:p w:rsidR="00000000" w:rsidDel="00000000" w:rsidP="00000000" w:rsidRDefault="00000000" w:rsidRPr="00000000" w14:paraId="0000002E">
      <w:pPr>
        <w:numPr>
          <w:ilvl w:val="0"/>
          <w:numId w:val="1"/>
        </w:numPr>
        <w:spacing w:after="0" w:afterAutospacing="0"/>
        <w:ind w:left="1440" w:hanging="360"/>
        <w:rPr>
          <w:u w:val="none"/>
        </w:rPr>
      </w:pPr>
      <w:r w:rsidDel="00000000" w:rsidR="00000000" w:rsidRPr="00000000">
        <w:rPr>
          <w:rtl w:val="0"/>
        </w:rPr>
        <w:t xml:space="preserve">Control de relaciones entre atributos.</w:t>
      </w:r>
    </w:p>
    <w:p w:rsidR="00000000" w:rsidDel="00000000" w:rsidP="00000000" w:rsidRDefault="00000000" w:rsidRPr="00000000" w14:paraId="0000002F">
      <w:pPr>
        <w:numPr>
          <w:ilvl w:val="0"/>
          <w:numId w:val="1"/>
        </w:numPr>
        <w:spacing w:after="0" w:afterAutospacing="0"/>
        <w:ind w:left="1440" w:hanging="360"/>
        <w:rPr>
          <w:u w:val="none"/>
        </w:rPr>
      </w:pPr>
      <w:r w:rsidDel="00000000" w:rsidR="00000000" w:rsidRPr="00000000">
        <w:rPr>
          <w:rtl w:val="0"/>
        </w:rPr>
        <w:t xml:space="preserve">Visualización de gráficas.</w:t>
      </w:r>
    </w:p>
    <w:p w:rsidR="00000000" w:rsidDel="00000000" w:rsidP="00000000" w:rsidRDefault="00000000" w:rsidRPr="00000000" w14:paraId="00000030">
      <w:pPr>
        <w:numPr>
          <w:ilvl w:val="0"/>
          <w:numId w:val="1"/>
        </w:numPr>
        <w:spacing w:after="0" w:afterAutospacing="0"/>
        <w:ind w:left="1440" w:hanging="360"/>
        <w:rPr>
          <w:u w:val="none"/>
        </w:rPr>
      </w:pPr>
      <w:r w:rsidDel="00000000" w:rsidR="00000000" w:rsidRPr="00000000">
        <w:rPr>
          <w:rtl w:val="0"/>
        </w:rPr>
        <w:t xml:space="preserve">Resultados comparativos</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Exportación en PDF/DOC.</w:t>
      </w:r>
      <w:r w:rsidDel="00000000" w:rsidR="00000000" w:rsidRPr="00000000">
        <w:rPr>
          <w:rtl w:val="0"/>
        </w:rPr>
      </w:r>
    </w:p>
    <w:p w:rsidR="00000000" w:rsidDel="00000000" w:rsidP="00000000" w:rsidRDefault="00000000" w:rsidRPr="00000000" w14:paraId="00000032">
      <w:pPr>
        <w:pStyle w:val="Heading1"/>
        <w:numPr>
          <w:ilvl w:val="0"/>
          <w:numId w:val="2"/>
        </w:numPr>
        <w:ind w:left="720" w:hanging="360"/>
      </w:pPr>
      <w:bookmarkStart w:colFirst="0" w:colLast="0" w:name="_heading=h.9kcunoaa099k" w:id="2"/>
      <w:bookmarkEnd w:id="2"/>
      <w:r w:rsidDel="00000000" w:rsidR="00000000" w:rsidRPr="00000000">
        <w:rPr>
          <w:rtl w:val="0"/>
        </w:rPr>
        <w:t xml:space="preserve">Flujo de trabajo</w:t>
      </w:r>
    </w:p>
    <w:p w:rsidR="00000000" w:rsidDel="00000000" w:rsidP="00000000" w:rsidRDefault="00000000" w:rsidRPr="00000000" w14:paraId="00000033">
      <w:pPr>
        <w:ind w:left="720" w:firstLine="0"/>
        <w:rPr/>
      </w:pPr>
      <w:r w:rsidDel="00000000" w:rsidR="00000000" w:rsidRPr="00000000">
        <w:rPr>
          <w:rtl w:val="0"/>
        </w:rPr>
        <w:t xml:space="preserve">La vista inicial del sistema recibe al usuario con un mensaje de bienvenida, brindando tres opciones: Crear un nuevo FODA, continuar con el FODA (en caso de tener uno ya en proceso previamente almacenado) y el apartado de ayuda al usuario (donde se encuentran las instrucciones de uso).</w:t>
      </w:r>
    </w:p>
    <w:p w:rsidR="00000000" w:rsidDel="00000000" w:rsidP="00000000" w:rsidRDefault="00000000" w:rsidRPr="00000000" w14:paraId="00000034">
      <w:pPr>
        <w:ind w:left="426" w:firstLine="0"/>
        <w:jc w:val="center"/>
        <w:rPr/>
      </w:pPr>
      <w:r w:rsidDel="00000000" w:rsidR="00000000" w:rsidRPr="00000000">
        <w:rPr>
          <w:b w:val="1"/>
          <w:rtl w:val="0"/>
        </w:rPr>
        <w:t xml:space="preserve">Captura 1: Pantalla inicial FODAMat</w:t>
      </w:r>
      <w:r w:rsidDel="00000000" w:rsidR="00000000" w:rsidRPr="00000000">
        <w:rPr>
          <w:rtl w:val="0"/>
        </w:rPr>
        <w:br w:type="textWrapping"/>
      </w:r>
      <w:r w:rsidDel="00000000" w:rsidR="00000000" w:rsidRPr="00000000">
        <w:rPr/>
        <w:drawing>
          <wp:inline distB="0" distT="0" distL="0" distR="0">
            <wp:extent cx="4986338" cy="279767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86338" cy="27976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numPr>
          <w:ilvl w:val="1"/>
          <w:numId w:val="2"/>
        </w:numPr>
        <w:ind w:left="1068" w:hanging="360"/>
        <w:rPr/>
      </w:pPr>
      <w:bookmarkStart w:colFirst="0" w:colLast="0" w:name="_heading=h.35nkun2" w:id="3"/>
      <w:bookmarkEnd w:id="3"/>
      <w:r w:rsidDel="00000000" w:rsidR="00000000" w:rsidRPr="00000000">
        <w:rPr>
          <w:rtl w:val="0"/>
        </w:rPr>
        <w:t xml:space="preserve"> Guía de realización del FODA</w:t>
      </w:r>
    </w:p>
    <w:p w:rsidR="00000000" w:rsidDel="00000000" w:rsidP="00000000" w:rsidRDefault="00000000" w:rsidRPr="00000000" w14:paraId="00000036">
      <w:pPr>
        <w:ind w:left="1068" w:firstLine="0"/>
        <w:rPr/>
      </w:pPr>
      <w:r w:rsidDel="00000000" w:rsidR="00000000" w:rsidRPr="00000000">
        <w:rPr>
          <w:rtl w:val="0"/>
        </w:rPr>
        <w:t xml:space="preserve">El apartado de tutorial contiene las instrucciones paso a paso de cada módulo del sistema, además de aclaraciones sobre la utilización de las métricas del FODA y ejemplos de algunos gráficos.</w:t>
      </w:r>
    </w:p>
    <w:p w:rsidR="00000000" w:rsidDel="00000000" w:rsidP="00000000" w:rsidRDefault="00000000" w:rsidRPr="00000000" w14:paraId="00000037">
      <w:pPr>
        <w:ind w:left="426" w:firstLine="0"/>
        <w:jc w:val="center"/>
        <w:rPr/>
      </w:pPr>
      <w:r w:rsidDel="00000000" w:rsidR="00000000" w:rsidRPr="00000000">
        <w:rPr>
          <w:b w:val="1"/>
          <w:rtl w:val="0"/>
        </w:rPr>
        <w:t xml:space="preserve">Captura 2: Tutorial FODAMat</w:t>
      </w:r>
      <w:r w:rsidDel="00000000" w:rsidR="00000000" w:rsidRPr="00000000">
        <w:rPr>
          <w:rtl w:val="0"/>
        </w:rPr>
        <w:br w:type="textWrapping"/>
      </w:r>
      <w:r w:rsidDel="00000000" w:rsidR="00000000" w:rsidRPr="00000000">
        <w:rPr/>
        <w:drawing>
          <wp:inline distB="0" distT="0" distL="0" distR="0">
            <wp:extent cx="4454556" cy="3505987"/>
            <wp:effectExtent b="0" l="0" r="0" t="0"/>
            <wp:docPr id="5" name="image5.png"/>
            <a:graphic>
              <a:graphicData uri="http://schemas.openxmlformats.org/drawingml/2006/picture">
                <pic:pic>
                  <pic:nvPicPr>
                    <pic:cNvPr id="0" name="image5.png"/>
                    <pic:cNvPicPr preferRelativeResize="0"/>
                  </pic:nvPicPr>
                  <pic:blipFill>
                    <a:blip r:embed="rId11"/>
                    <a:srcRect b="0" l="0" r="5992" t="0"/>
                    <a:stretch>
                      <a:fillRect/>
                    </a:stretch>
                  </pic:blipFill>
                  <pic:spPr>
                    <a:xfrm>
                      <a:off x="0" y="0"/>
                      <a:ext cx="4454556" cy="350598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numPr>
          <w:ilvl w:val="1"/>
          <w:numId w:val="2"/>
        </w:numPr>
        <w:ind w:left="1068" w:hanging="360"/>
      </w:pPr>
      <w:bookmarkStart w:colFirst="0" w:colLast="0" w:name="_heading=h.jiqxglpr89o2" w:id="4"/>
      <w:bookmarkEnd w:id="4"/>
      <w:r w:rsidDel="00000000" w:rsidR="00000000" w:rsidRPr="00000000">
        <w:rPr>
          <w:rtl w:val="0"/>
        </w:rPr>
        <w:t xml:space="preserve">Gestión del FODA (crear o continuar)</w:t>
      </w:r>
    </w:p>
    <w:p w:rsidR="00000000" w:rsidDel="00000000" w:rsidP="00000000" w:rsidRDefault="00000000" w:rsidRPr="00000000" w14:paraId="00000039">
      <w:pPr>
        <w:ind w:left="1068" w:firstLine="0"/>
        <w:rPr/>
      </w:pPr>
      <w:r w:rsidDel="00000000" w:rsidR="00000000" w:rsidRPr="00000000">
        <w:rPr>
          <w:rtl w:val="0"/>
        </w:rPr>
        <w:t xml:space="preserve">Al entrar a la opción de crear un nuevo FODA, se inicia con una sola área con una matriz confirmada solamente por una fortaleza, una oportunidad, una debilidad y una amenaza; todas con un valor inicial de 0.</w:t>
      </w:r>
    </w:p>
    <w:p w:rsidR="00000000" w:rsidDel="00000000" w:rsidP="00000000" w:rsidRDefault="00000000" w:rsidRPr="00000000" w14:paraId="0000003A">
      <w:pPr>
        <w:ind w:left="426" w:firstLine="0"/>
        <w:jc w:val="center"/>
        <w:rPr/>
      </w:pPr>
      <w:r w:rsidDel="00000000" w:rsidR="00000000" w:rsidRPr="00000000">
        <w:rPr>
          <w:b w:val="1"/>
          <w:rtl w:val="0"/>
        </w:rPr>
        <w:t xml:space="preserve">Captura 3: Nuevo FODA</w:t>
      </w:r>
      <w:r w:rsidDel="00000000" w:rsidR="00000000" w:rsidRPr="00000000">
        <w:rPr>
          <w:rtl w:val="0"/>
        </w:rPr>
        <w:br w:type="textWrapping"/>
      </w:r>
      <w:r w:rsidDel="00000000" w:rsidR="00000000" w:rsidRPr="00000000">
        <w:rPr/>
        <w:drawing>
          <wp:inline distB="0" distT="0" distL="0" distR="0">
            <wp:extent cx="4743450" cy="2580143"/>
            <wp:effectExtent b="0" l="0" r="0" t="0"/>
            <wp:docPr id="2" name="image9.png"/>
            <a:graphic>
              <a:graphicData uri="http://schemas.openxmlformats.org/drawingml/2006/picture">
                <pic:pic>
                  <pic:nvPicPr>
                    <pic:cNvPr id="0" name="image9.png"/>
                    <pic:cNvPicPr preferRelativeResize="0"/>
                  </pic:nvPicPr>
                  <pic:blipFill>
                    <a:blip r:embed="rId12"/>
                    <a:srcRect b="12697" l="0" r="0" t="3165"/>
                    <a:stretch>
                      <a:fillRect/>
                    </a:stretch>
                  </pic:blipFill>
                  <pic:spPr>
                    <a:xfrm>
                      <a:off x="0" y="0"/>
                      <a:ext cx="4743450" cy="258014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068" w:firstLine="0"/>
        <w:rPr/>
      </w:pPr>
      <w:r w:rsidDel="00000000" w:rsidR="00000000" w:rsidRPr="00000000">
        <w:rPr>
          <w:rtl w:val="0"/>
        </w:rPr>
        <w:t xml:space="preserve">En caso de tener un FODA en elaboración previamente, al seleccionar la opción “Continuar FODA” se cargaran las matrices y las áreas ya almacenadas localmente.</w:t>
      </w:r>
    </w:p>
    <w:p w:rsidR="00000000" w:rsidDel="00000000" w:rsidP="00000000" w:rsidRDefault="00000000" w:rsidRPr="00000000" w14:paraId="0000003C">
      <w:pPr>
        <w:pStyle w:val="Heading2"/>
        <w:numPr>
          <w:ilvl w:val="1"/>
          <w:numId w:val="2"/>
        </w:numPr>
        <w:ind w:left="1068" w:hanging="360"/>
      </w:pPr>
      <w:bookmarkStart w:colFirst="0" w:colLast="0" w:name="_heading=h.qzlvhn8ofl14" w:id="5"/>
      <w:bookmarkEnd w:id="5"/>
      <w:r w:rsidDel="00000000" w:rsidR="00000000" w:rsidRPr="00000000">
        <w:rPr>
          <w:rtl w:val="0"/>
        </w:rPr>
        <w:t xml:space="preserve"> Gestión de áreas</w:t>
      </w:r>
    </w:p>
    <w:p w:rsidR="00000000" w:rsidDel="00000000" w:rsidP="00000000" w:rsidRDefault="00000000" w:rsidRPr="00000000" w14:paraId="0000003D">
      <w:pPr>
        <w:ind w:left="1068" w:firstLine="0"/>
        <w:rPr/>
      </w:pPr>
      <w:r w:rsidDel="00000000" w:rsidR="00000000" w:rsidRPr="00000000">
        <w:rPr>
          <w:rtl w:val="0"/>
        </w:rPr>
        <w:t xml:space="preserve">Para aumentar áreas solo es necesario presionar el botón “+ Agregar Área” en el apartado izquierdo de la pantalla, mientras que al tener dos o más áreas se mostrará además un botón “-” al lado de cada área para eliminarla; contando con un mensaje de confirmación en dicho caso.</w:t>
      </w:r>
    </w:p>
    <w:p w:rsidR="00000000" w:rsidDel="00000000" w:rsidP="00000000" w:rsidRDefault="00000000" w:rsidRPr="00000000" w14:paraId="0000003E">
      <w:pPr>
        <w:ind w:left="426" w:firstLine="0"/>
        <w:jc w:val="center"/>
        <w:rPr/>
      </w:pPr>
      <w:r w:rsidDel="00000000" w:rsidR="00000000" w:rsidRPr="00000000">
        <w:rPr>
          <w:b w:val="1"/>
          <w:rtl w:val="0"/>
        </w:rPr>
        <w:t xml:space="preserve">Captura 4: Botones de control de áreas</w:t>
      </w:r>
      <w:r w:rsidDel="00000000" w:rsidR="00000000" w:rsidRPr="00000000">
        <w:rPr>
          <w:rtl w:val="0"/>
        </w:rPr>
        <w:br w:type="textWrapping"/>
      </w:r>
      <w:r w:rsidDel="00000000" w:rsidR="00000000" w:rsidRPr="00000000">
        <w:rPr/>
        <mc:AlternateContent>
          <mc:Choice Requires="wpg">
            <w:drawing>
              <wp:inline distB="114300" distT="114300" distL="114300" distR="114300">
                <wp:extent cx="4972050" cy="3048000"/>
                <wp:effectExtent b="0" l="0" r="0" t="0"/>
                <wp:docPr id="1" name=""/>
                <a:graphic>
                  <a:graphicData uri="http://schemas.microsoft.com/office/word/2010/wordprocessingGroup">
                    <wpg:wgp>
                      <wpg:cNvGrpSpPr/>
                      <wpg:grpSpPr>
                        <a:xfrm>
                          <a:off x="40850" y="59375"/>
                          <a:ext cx="4972050" cy="3048000"/>
                          <a:chOff x="40850" y="59375"/>
                          <a:chExt cx="4969300" cy="3045775"/>
                        </a:xfrm>
                      </wpg:grpSpPr>
                      <pic:pic>
                        <pic:nvPicPr>
                          <pic:cNvPr id="2" name="Shape 2"/>
                          <pic:cNvPicPr preferRelativeResize="0"/>
                        </pic:nvPicPr>
                        <pic:blipFill rotWithShape="1">
                          <a:blip r:embed="rId13">
                            <a:alphaModFix/>
                          </a:blip>
                          <a:srcRect b="0" l="0" r="2296" t="13066"/>
                          <a:stretch/>
                        </pic:blipFill>
                        <pic:spPr>
                          <a:xfrm>
                            <a:off x="152400" y="152400"/>
                            <a:ext cx="4857750" cy="2952750"/>
                          </a:xfrm>
                          <a:prstGeom prst="rect">
                            <a:avLst/>
                          </a:prstGeom>
                          <a:noFill/>
                          <a:ln>
                            <a:noFill/>
                          </a:ln>
                        </pic:spPr>
                      </pic:pic>
                      <wps:wsp>
                        <wps:cNvSpPr/>
                        <wps:cNvPr id="3" name="Shape 3"/>
                        <wps:spPr>
                          <a:xfrm>
                            <a:off x="59925" y="78425"/>
                            <a:ext cx="1108500" cy="2593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72050" cy="3048000"/>
                <wp:effectExtent b="0" l="0" r="0" t="0"/>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4972050" cy="304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ind w:left="1133.858267716535" w:firstLine="0"/>
        <w:jc w:val="left"/>
        <w:rPr/>
      </w:pPr>
      <w:r w:rsidDel="00000000" w:rsidR="00000000" w:rsidRPr="00000000">
        <w:rPr>
          <w:rtl w:val="0"/>
        </w:rPr>
        <w:t xml:space="preserve">Para seleccionar un área se debe hacer click sobre el recuadro de la misma, ya que estos funcionan como botones.</w:t>
      </w:r>
    </w:p>
    <w:p w:rsidR="00000000" w:rsidDel="00000000" w:rsidP="00000000" w:rsidRDefault="00000000" w:rsidRPr="00000000" w14:paraId="00000040">
      <w:pPr>
        <w:pStyle w:val="Heading2"/>
        <w:numPr>
          <w:ilvl w:val="1"/>
          <w:numId w:val="2"/>
        </w:numPr>
        <w:ind w:left="1068" w:hanging="360"/>
      </w:pPr>
      <w:bookmarkStart w:colFirst="0" w:colLast="0" w:name="_heading=h.lzbto85xtit6" w:id="6"/>
      <w:bookmarkEnd w:id="6"/>
      <w:r w:rsidDel="00000000" w:rsidR="00000000" w:rsidRPr="00000000">
        <w:rPr>
          <w:rtl w:val="0"/>
        </w:rPr>
        <w:t xml:space="preserve"> Control de relaciones entre atributos</w:t>
      </w:r>
    </w:p>
    <w:p w:rsidR="00000000" w:rsidDel="00000000" w:rsidP="00000000" w:rsidRDefault="00000000" w:rsidRPr="00000000" w14:paraId="00000041">
      <w:pPr>
        <w:ind w:left="1068" w:firstLine="0"/>
        <w:rPr/>
      </w:pPr>
      <w:r w:rsidDel="00000000" w:rsidR="00000000" w:rsidRPr="00000000">
        <w:rPr>
          <w:rtl w:val="0"/>
        </w:rPr>
        <w:t xml:space="preserve">La cantidad de atributos (fortalezas, debilidades, oportunidades o amenazas) puede ser modificada a gusto del usuario utilizando los botones circulares “+” y “-” que se encuentran en la matriz, con un mínimo de un valor por atributo.</w:t>
      </w:r>
    </w:p>
    <w:p w:rsidR="00000000" w:rsidDel="00000000" w:rsidP="00000000" w:rsidRDefault="00000000" w:rsidRPr="00000000" w14:paraId="00000042">
      <w:pPr>
        <w:ind w:left="1068" w:firstLine="0"/>
        <w:rPr/>
      </w:pPr>
      <w:r w:rsidDel="00000000" w:rsidR="00000000" w:rsidRPr="00000000">
        <w:rPr>
          <w:rtl w:val="0"/>
        </w:rPr>
        <w:t xml:space="preserve">Al añadir más atributos también se aumentan filas o columnas, lo que genera relaciones con los demás atributos. A las relaciones se les asigna pesos en base al grado de influencia que tengan sobre los otros atributos. Los valores que se pueden asignar van de los números pares del 0 (relación nula) al 10 (relación muy fuerte).</w:t>
      </w:r>
    </w:p>
    <w:p w:rsidR="00000000" w:rsidDel="00000000" w:rsidP="00000000" w:rsidRDefault="00000000" w:rsidRPr="00000000" w14:paraId="00000043">
      <w:pPr>
        <w:ind w:left="426" w:firstLine="0"/>
        <w:jc w:val="center"/>
        <w:rPr/>
      </w:pPr>
      <w:r w:rsidDel="00000000" w:rsidR="00000000" w:rsidRPr="00000000">
        <w:rPr>
          <w:b w:val="1"/>
          <w:rtl w:val="0"/>
        </w:rPr>
        <w:t xml:space="preserve">Captura 5: Matriz elaborada</w:t>
      </w:r>
      <w:r w:rsidDel="00000000" w:rsidR="00000000" w:rsidRPr="00000000">
        <w:rPr>
          <w:rtl w:val="0"/>
        </w:rPr>
        <w:br w:type="textWrapping"/>
      </w:r>
      <w:r w:rsidDel="00000000" w:rsidR="00000000" w:rsidRPr="00000000">
        <w:rPr/>
        <w:drawing>
          <wp:inline distB="0" distT="0" distL="0" distR="0">
            <wp:extent cx="3819525" cy="3396425"/>
            <wp:effectExtent b="0" l="0" r="0" t="0"/>
            <wp:docPr id="3" name="image3.png"/>
            <a:graphic>
              <a:graphicData uri="http://schemas.openxmlformats.org/drawingml/2006/picture">
                <pic:pic>
                  <pic:nvPicPr>
                    <pic:cNvPr id="0" name="image3.png"/>
                    <pic:cNvPicPr preferRelativeResize="0"/>
                  </pic:nvPicPr>
                  <pic:blipFill>
                    <a:blip r:embed="rId13"/>
                    <a:srcRect b="0" l="20881" r="2297" t="0"/>
                    <a:stretch>
                      <a:fillRect/>
                    </a:stretch>
                  </pic:blipFill>
                  <pic:spPr>
                    <a:xfrm>
                      <a:off x="0" y="0"/>
                      <a:ext cx="3819525" cy="3396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068" w:firstLine="0"/>
        <w:rPr/>
      </w:pPr>
      <w:r w:rsidDel="00000000" w:rsidR="00000000" w:rsidRPr="00000000">
        <w:rPr>
          <w:rtl w:val="0"/>
        </w:rPr>
      </w:r>
    </w:p>
    <w:p w:rsidR="00000000" w:rsidDel="00000000" w:rsidP="00000000" w:rsidRDefault="00000000" w:rsidRPr="00000000" w14:paraId="00000045">
      <w:pPr>
        <w:pStyle w:val="Heading2"/>
        <w:numPr>
          <w:ilvl w:val="1"/>
          <w:numId w:val="2"/>
        </w:numPr>
        <w:ind w:left="1068" w:hanging="360"/>
      </w:pPr>
      <w:bookmarkStart w:colFirst="0" w:colLast="0" w:name="_heading=h.oikvdp67el7s" w:id="7"/>
      <w:bookmarkEnd w:id="7"/>
      <w:r w:rsidDel="00000000" w:rsidR="00000000" w:rsidRPr="00000000">
        <w:rPr>
          <w:rtl w:val="0"/>
        </w:rPr>
        <w:t xml:space="preserve"> Visualización de gráficas</w:t>
      </w:r>
    </w:p>
    <w:p w:rsidR="00000000" w:rsidDel="00000000" w:rsidP="00000000" w:rsidRDefault="00000000" w:rsidRPr="00000000" w14:paraId="00000046">
      <w:pPr>
        <w:ind w:left="1068" w:firstLine="0"/>
        <w:rPr/>
      </w:pPr>
      <w:r w:rsidDel="00000000" w:rsidR="00000000" w:rsidRPr="00000000">
        <w:rPr>
          <w:rtl w:val="0"/>
        </w:rPr>
        <w:t xml:space="preserve">Debajo de las tablas de cada área se cuentan con gráficos de torta y de barras que facilitan la visualización de la información y cómo se relacionan los atributos de cada área.</w:t>
      </w:r>
    </w:p>
    <w:p w:rsidR="00000000" w:rsidDel="00000000" w:rsidP="00000000" w:rsidRDefault="00000000" w:rsidRPr="00000000" w14:paraId="00000047">
      <w:pPr>
        <w:ind w:left="426" w:firstLine="0"/>
        <w:jc w:val="center"/>
        <w:rPr/>
      </w:pPr>
      <w:r w:rsidDel="00000000" w:rsidR="00000000" w:rsidRPr="00000000">
        <w:rPr>
          <w:b w:val="1"/>
          <w:rtl w:val="0"/>
        </w:rPr>
        <w:t xml:space="preserve">Captura 6: Gráficos por área</w:t>
      </w:r>
      <w:r w:rsidDel="00000000" w:rsidR="00000000" w:rsidRPr="00000000">
        <w:rPr>
          <w:rtl w:val="0"/>
        </w:rPr>
        <w:br w:type="textWrapping"/>
      </w:r>
      <w:r w:rsidDel="00000000" w:rsidR="00000000" w:rsidRPr="00000000">
        <w:rPr/>
        <w:drawing>
          <wp:inline distB="0" distT="0" distL="0" distR="0">
            <wp:extent cx="4723784" cy="312714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23784" cy="31271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numPr>
          <w:ilvl w:val="1"/>
          <w:numId w:val="2"/>
        </w:numPr>
        <w:ind w:left="1068" w:hanging="360"/>
      </w:pPr>
      <w:bookmarkStart w:colFirst="0" w:colLast="0" w:name="_heading=h.pkxztw2ipmr" w:id="8"/>
      <w:bookmarkEnd w:id="8"/>
      <w:r w:rsidDel="00000000" w:rsidR="00000000" w:rsidRPr="00000000">
        <w:rPr>
          <w:rtl w:val="0"/>
        </w:rPr>
        <w:t xml:space="preserve"> Resultados comparativos</w:t>
      </w:r>
    </w:p>
    <w:p w:rsidR="00000000" w:rsidDel="00000000" w:rsidP="00000000" w:rsidRDefault="00000000" w:rsidRPr="00000000" w14:paraId="00000049">
      <w:pPr>
        <w:ind w:left="1068" w:firstLine="0"/>
        <w:rPr/>
      </w:pPr>
      <w:r w:rsidDel="00000000" w:rsidR="00000000" w:rsidRPr="00000000">
        <w:rPr>
          <w:rtl w:val="0"/>
        </w:rPr>
        <w:t xml:space="preserve">Al seleccionar la opción de “Resultado comparativo” que se encuentra debajo de todas las áreas, se muestra un resumen general de los FODAs de cada área, además de hacer un gráfico comparativo de todas las áreas.</w:t>
      </w:r>
    </w:p>
    <w:p w:rsidR="00000000" w:rsidDel="00000000" w:rsidP="00000000" w:rsidRDefault="00000000" w:rsidRPr="00000000" w14:paraId="0000004A">
      <w:pPr>
        <w:ind w:left="1068" w:firstLine="0"/>
        <w:rPr/>
      </w:pPr>
      <w:r w:rsidDel="00000000" w:rsidR="00000000" w:rsidRPr="00000000">
        <w:rPr>
          <w:rtl w:val="0"/>
        </w:rPr>
        <w:t xml:space="preserve">Cabe destacar que para una mejor visualización se recomienda contar con un mínimo de tres áreas.</w:t>
      </w:r>
    </w:p>
    <w:p w:rsidR="00000000" w:rsidDel="00000000" w:rsidP="00000000" w:rsidRDefault="00000000" w:rsidRPr="00000000" w14:paraId="0000004B">
      <w:pPr>
        <w:ind w:left="426" w:firstLine="0"/>
        <w:jc w:val="center"/>
        <w:rPr/>
      </w:pPr>
      <w:r w:rsidDel="00000000" w:rsidR="00000000" w:rsidRPr="00000000">
        <w:rPr>
          <w:b w:val="1"/>
          <w:rtl w:val="0"/>
        </w:rPr>
        <w:t xml:space="preserve">Captura 7: Resultado comparativo FODA</w:t>
      </w:r>
      <w:r w:rsidDel="00000000" w:rsidR="00000000" w:rsidRPr="00000000">
        <w:rPr>
          <w:rtl w:val="0"/>
        </w:rPr>
        <w:br w:type="textWrapping"/>
      </w:r>
      <w:r w:rsidDel="00000000" w:rsidR="00000000" w:rsidRPr="00000000">
        <w:rPr/>
        <w:drawing>
          <wp:inline distB="0" distT="0" distL="0" distR="0">
            <wp:extent cx="4581525" cy="4981575"/>
            <wp:effectExtent b="0" l="0" r="0" t="0"/>
            <wp:docPr id="10" name="image2.png"/>
            <a:graphic>
              <a:graphicData uri="http://schemas.openxmlformats.org/drawingml/2006/picture">
                <pic:pic>
                  <pic:nvPicPr>
                    <pic:cNvPr id="0" name="image2.png"/>
                    <pic:cNvPicPr preferRelativeResize="0"/>
                  </pic:nvPicPr>
                  <pic:blipFill>
                    <a:blip r:embed="rId16"/>
                    <a:srcRect b="3231" l="0" r="11579" t="0"/>
                    <a:stretch>
                      <a:fillRect/>
                    </a:stretch>
                  </pic:blipFill>
                  <pic:spPr>
                    <a:xfrm>
                      <a:off x="0" y="0"/>
                      <a:ext cx="45815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numPr>
          <w:ilvl w:val="1"/>
          <w:numId w:val="2"/>
        </w:numPr>
        <w:ind w:left="1068" w:hanging="360"/>
      </w:pPr>
      <w:bookmarkStart w:colFirst="0" w:colLast="0" w:name="_heading=h.5jwd2990lfnm" w:id="9"/>
      <w:bookmarkEnd w:id="9"/>
      <w:r w:rsidDel="00000000" w:rsidR="00000000" w:rsidRPr="00000000">
        <w:rPr>
          <w:rtl w:val="0"/>
        </w:rPr>
        <w:t xml:space="preserve"> Exportación en PDF/DOC</w:t>
      </w:r>
    </w:p>
    <w:p w:rsidR="00000000" w:rsidDel="00000000" w:rsidP="00000000" w:rsidRDefault="00000000" w:rsidRPr="00000000" w14:paraId="0000004D">
      <w:pPr>
        <w:ind w:left="1068" w:firstLine="0"/>
        <w:rPr/>
      </w:pPr>
      <w:r w:rsidDel="00000000" w:rsidR="00000000" w:rsidRPr="00000000">
        <w:rPr>
          <w:rtl w:val="0"/>
        </w:rPr>
        <w:t xml:space="preserve">Dentro de este apartado, al presionar el botón de “Guardar FODA” que se encuentra en esta apartado, se procederá a transformar las tablas y gráficas en imágenes para posteriormente permitir descargar todo en formato PDF o DOC.</w:t>
      </w:r>
    </w:p>
    <w:p w:rsidR="00000000" w:rsidDel="00000000" w:rsidP="00000000" w:rsidRDefault="00000000" w:rsidRPr="00000000" w14:paraId="0000004E">
      <w:pPr>
        <w:ind w:left="425.19685039370086" w:firstLine="0"/>
        <w:jc w:val="center"/>
        <w:rPr>
          <w:b w:val="1"/>
        </w:rPr>
      </w:pPr>
      <w:r w:rsidDel="00000000" w:rsidR="00000000" w:rsidRPr="00000000">
        <w:rPr>
          <w:b w:val="1"/>
          <w:rtl w:val="0"/>
        </w:rPr>
        <w:t xml:space="preserve">Captura 8: Exportación en PDF o Word</w:t>
        <w:br w:type="textWrapping"/>
      </w:r>
      <w:r w:rsidDel="00000000" w:rsidR="00000000" w:rsidRPr="00000000">
        <w:rPr/>
        <w:drawing>
          <wp:inline distB="0" distT="0" distL="0" distR="0">
            <wp:extent cx="5077778" cy="390532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77778" cy="39053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425.19685039370086" w:firstLine="0"/>
        <w:rPr/>
      </w:pPr>
      <w:r w:rsidDel="00000000" w:rsidR="00000000" w:rsidRPr="00000000">
        <w:rPr>
          <w:rtl w:val="0"/>
        </w:rPr>
      </w:r>
    </w:p>
    <w:p w:rsidR="00000000" w:rsidDel="00000000" w:rsidP="00000000" w:rsidRDefault="00000000" w:rsidRPr="00000000" w14:paraId="00000050">
      <w:pPr>
        <w:ind w:left="426" w:firstLine="0"/>
        <w:jc w:val="center"/>
        <w:rPr/>
      </w:pPr>
      <w:r w:rsidDel="00000000" w:rsidR="00000000" w:rsidRPr="00000000">
        <w:rPr>
          <w:rtl w:val="0"/>
        </w:rPr>
      </w:r>
    </w:p>
    <w:p w:rsidR="00000000" w:rsidDel="00000000" w:rsidP="00000000" w:rsidRDefault="00000000" w:rsidRPr="00000000" w14:paraId="00000051">
      <w:pPr>
        <w:pStyle w:val="Heading2"/>
        <w:ind w:left="1068" w:firstLine="0"/>
        <w:rPr/>
      </w:pPr>
      <w:bookmarkStart w:colFirst="0" w:colLast="0" w:name="_heading=h.1ksv4uv" w:id="10"/>
      <w:bookmarkEnd w:id="10"/>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sectPr>
      <w:footerReference r:id="rId18" w:type="default"/>
      <w:type w:val="nextPage"/>
      <w:pgSz w:h="15840" w:w="12240" w:orient="portrait"/>
      <w:pgMar w:bottom="1417.3228346456694" w:top="1417.3228346456694" w:left="1700.7874015748032" w:right="1700.787401574803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1068" w:hanging="360"/>
      </w:pPr>
      <w:rPr/>
    </w:lvl>
    <w:lvl w:ilvl="2">
      <w:start w:val="1"/>
      <w:numFmt w:val="decimal"/>
      <w:lvlText w:val="%1.%2.%3."/>
      <w:lvlJc w:val="left"/>
      <w:pPr>
        <w:ind w:left="1776" w:hanging="720"/>
      </w:pPr>
      <w:rPr/>
    </w:lvl>
    <w:lvl w:ilvl="3">
      <w:start w:val="1"/>
      <w:numFmt w:val="decimal"/>
      <w:lvlText w:val="%1.%2.%3.%4."/>
      <w:lvlJc w:val="left"/>
      <w:pPr>
        <w:ind w:left="2124" w:hanging="720"/>
      </w:pPr>
      <w:rPr/>
    </w:lvl>
    <w:lvl w:ilvl="4">
      <w:start w:val="1"/>
      <w:numFmt w:val="decimal"/>
      <w:lvlText w:val="%1.%2.%3.%4.%5."/>
      <w:lvlJc w:val="left"/>
      <w:pPr>
        <w:ind w:left="2832" w:hanging="1080"/>
      </w:pPr>
      <w:rPr/>
    </w:lvl>
    <w:lvl w:ilvl="5">
      <w:start w:val="1"/>
      <w:numFmt w:val="decimal"/>
      <w:lvlText w:val="%1.%2.%3.%4.%5.%6."/>
      <w:lvlJc w:val="left"/>
      <w:pPr>
        <w:ind w:left="3180" w:hanging="1080"/>
      </w:pPr>
      <w:rPr/>
    </w:lvl>
    <w:lvl w:ilvl="6">
      <w:start w:val="1"/>
      <w:numFmt w:val="decimal"/>
      <w:lvlText w:val="%1.%2.%3.%4.%5.%6.%7."/>
      <w:lvlJc w:val="left"/>
      <w:pPr>
        <w:ind w:left="3888" w:hanging="1440"/>
      </w:pPr>
      <w:rPr/>
    </w:lvl>
    <w:lvl w:ilvl="7">
      <w:start w:val="1"/>
      <w:numFmt w:val="decimal"/>
      <w:lvlText w:val="%1.%2.%3.%4.%5.%6.%7.%8."/>
      <w:lvlJc w:val="left"/>
      <w:pPr>
        <w:ind w:left="4236" w:hanging="1440"/>
      </w:pPr>
      <w:rPr/>
    </w:lvl>
    <w:lvl w:ilvl="8">
      <w:start w:val="1"/>
      <w:numFmt w:val="decimal"/>
      <w:lvlText w:val="%1.%2.%3.%4.%5.%6.%7.%8.%9."/>
      <w:lvlJc w:val="left"/>
      <w:pPr>
        <w:ind w:left="4944"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26" w:hanging="426"/>
    </w:pPr>
    <w:rPr>
      <w:rFonts w:ascii="Calibri" w:cs="Calibri" w:eastAsia="Calibri" w:hAnsi="Calibri"/>
      <w:b w:val="1"/>
      <w:sz w:val="28"/>
      <w:szCs w:val="28"/>
    </w:rPr>
  </w:style>
  <w:style w:type="paragraph" w:styleId="Heading2">
    <w:name w:val="heading 2"/>
    <w:basedOn w:val="Normal"/>
    <w:next w:val="Normal"/>
    <w:pPr>
      <w:keepNext w:val="1"/>
      <w:keepLines w:val="1"/>
      <w:spacing w:after="0" w:before="40" w:lineRule="auto"/>
      <w:ind w:left="851" w:hanging="426"/>
    </w:pPr>
    <w:rPr>
      <w:rFonts w:ascii="Calibri" w:cs="Calibri" w:eastAsia="Calibri" w:hAnsi="Calibri"/>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XGvLPzNy1FFvp8JNd8K4OSYVog==">CgMxLjAyCGguZ2pkZ3hzMgloLjMwajB6bGwyDmguOWtjdW5vYWEwOTlrMgloLjM1bmt1bjIyDmguamlxeGdscHI4OW8yMg5oLnF6bHZobjhvZmwxNDIOaC5semJ0bzg1eHRpdDYyDmgub2lrdmRwNjdlbDdzMg1oLnBreHp0dzJpcG1yMg5oLjVqd2QyOTkwbGZubTIJaC4xa3N2NHV2OAByITFQNGVGa1ZZQ0FNVGw5R2tIOWN0dHgxRFVWYi0xLWk1Ng==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