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T1001B_G3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02- Elaborar as regras de negócio complementares ao texto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ATENÇÃO: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regras devem ser numeradas sequencialmente, a partir de 01.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regras podem indicar cálculos  e/ou procedimentos que devem constar nas aplicações (programas).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entrega pode ser feita através de um documento Word  ou através de um arquivo TXT.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negócio complementares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Cada veículo recebe um ID numérico auto-incrementável.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Cada motorista deve, ao passar pela avaliação médica, ter sua ficha médica atualizada caso haja alterações nos exames.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Cada motorista deve ter sua ficha cadastral atualizada a cada 6 meses.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carteiras de motorista devem ser do tipo C, D ou E.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carteiras de motorista devem ter sido expedidas há no mínimo 5 meses.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O custo dos pedágios é debitado automaticamente da conta da empresa.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O cálculo do frete é feito seguindo as orientações da tabela padrão da ANTT (Agência Nacional de Transportes). A fórmula de cálculo consiste em: </w:t>
      </w:r>
      <w:r w:rsidDel="00000000" w:rsidR="00000000" w:rsidRPr="00000000">
        <w:rPr>
          <w:b w:val="1"/>
          <w:i w:val="1"/>
          <w:color w:val="333333"/>
          <w:sz w:val="24"/>
          <w:szCs w:val="24"/>
          <w:highlight w:val="white"/>
          <w:rtl w:val="0"/>
        </w:rPr>
        <w:t xml:space="preserve">(Distância em Km * CCD) + CC</w:t>
      </w:r>
      <w:r w:rsidDel="00000000" w:rsidR="00000000" w:rsidRPr="00000000">
        <w:rPr>
          <w:b w:val="1"/>
          <w:i w:val="1"/>
          <w:color w:val="333333"/>
          <w:sz w:val="25"/>
          <w:szCs w:val="25"/>
          <w:highlight w:val="white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A tabela está em anexo neste arquivo.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Todas as saídas e chegadas ficam registradas, bem como as paradas durante a viagem.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O seguro de vida cobre os motoristas somente durante o período da viagem.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Toda viagem possui um diário de bordo, no qual são registrados: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Horários de direção de cada motorista;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Paradas para alimentação.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Imprevistos durante a viagem (manutenções no veículo, mudança de rotas, etc.)</w:t>
      </w:r>
    </w:p>
    <w:p w:rsidR="00000000" w:rsidDel="00000000" w:rsidP="00000000" w:rsidRDefault="00000000" w:rsidRPr="00000000" w14:paraId="00000022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O bônus financeiro para o motorista que não apresentar nenhuma multa durante 12 meses é de 10% do valor total dos ganhos do motorista naquele ano.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CONSTRAINT CK_GIS_T1001C_SUPERVISOR CHECK (DATEDIFF(YEAR, NASCIMENTO, GETDATE()) &gt;= 18)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Todas as transações dos veículos ficam registradas na empresa.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O pagamento do motorista é formado com base na quilometragem rodada e na carga transportada. A fórmula do cálculo consiste em: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Frete + Valor Padrão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O valor pago por quilometragem rodada é formado com base no valor do manifesto.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Há um valor padrão estipulado, formado com base na quilometragem rodada, para remunerar os motoristas. A fórmula do cálculo consiste em: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Distância em Km * CCD) / 3</w:t>
      </w:r>
      <w:r w:rsidDel="00000000" w:rsidR="00000000" w:rsidRPr="00000000">
        <w:rPr>
          <w:sz w:val="24"/>
          <w:szCs w:val="24"/>
          <w:rtl w:val="0"/>
        </w:rPr>
        <w:t xml:space="preserve">. A tabela está em anexo neste arquivo.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 empresa realiza periodicamente uma estatística dos gastos com ocorrências durante as viagens, como refeições, combustíveis e manutenção dos veículos.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Cada veículo possui um histórico de manutenção, que é realizada periodicamente em função de necessidades específicas.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ANEXO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36">
      <w:pPr>
        <w:shd w:fill="ffffff" w:val="clear"/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COEFICIENTES DE PISOS MÍNIMOS DE TRANSPORTE RODOVIÁRIO DE CARGA</w:t>
      </w:r>
    </w:p>
    <w:p w:rsidR="00000000" w:rsidDel="00000000" w:rsidP="00000000" w:rsidRDefault="00000000" w:rsidRPr="00000000" w14:paraId="00000037">
      <w:pPr>
        <w:shd w:fill="ffffff" w:val="clear"/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A - TRANSPORTE RODOVIÁRIO DE CARGA LOTAÇÃO </w:t>
      </w:r>
    </w:p>
    <w:tbl>
      <w:tblPr>
        <w:tblStyle w:val="Table1"/>
        <w:tblW w:w="9000.0" w:type="dxa"/>
        <w:jc w:val="left"/>
        <w:tblInd w:w="0.0" w:type="pct"/>
        <w:tblBorders>
          <w:top w:color="000000" w:space="0" w:sz="7" w:val="single"/>
          <w:left w:color="000000" w:space="0" w:sz="7" w:val="single"/>
          <w:bottom w:color="000000" w:space="0" w:sz="7" w:val="single"/>
          <w:right w:color="000000" w:space="0" w:sz="7" w:val="single"/>
          <w:insideH w:color="000000" w:space="0" w:sz="7" w:val="single"/>
          <w:insideV w:color="000000" w:space="0" w:sz="7" w:val="single"/>
        </w:tblBorders>
        <w:tblLayout w:type="fixed"/>
        <w:tblLook w:val="0600"/>
      </w:tblPr>
      <w:tblGrid>
        <w:gridCol w:w="255"/>
        <w:gridCol w:w="1605"/>
        <w:gridCol w:w="1440"/>
        <w:gridCol w:w="825"/>
        <w:gridCol w:w="690"/>
        <w:gridCol w:w="705"/>
        <w:gridCol w:w="690"/>
        <w:gridCol w:w="705"/>
        <w:gridCol w:w="690"/>
        <w:gridCol w:w="705"/>
        <w:gridCol w:w="690"/>
        <w:tblGridChange w:id="0">
          <w:tblGrid>
            <w:gridCol w:w="255"/>
            <w:gridCol w:w="1605"/>
            <w:gridCol w:w="1440"/>
            <w:gridCol w:w="825"/>
            <w:gridCol w:w="690"/>
            <w:gridCol w:w="705"/>
            <w:gridCol w:w="690"/>
            <w:gridCol w:w="705"/>
            <w:gridCol w:w="690"/>
            <w:gridCol w:w="705"/>
            <w:gridCol w:w="690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#Tipo de carga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Coeficiente de custo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</w:t>
            </w:r>
          </w:p>
        </w:tc>
        <w:tc>
          <w:tcPr>
            <w:gridSpan w:val="7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 de eixos carregados do veículo combinado</w:t>
            </w:r>
          </w:p>
        </w:tc>
      </w:tr>
      <w:tr>
        <w:trPr>
          <w:cantSplit w:val="0"/>
          <w:trHeight w:val="434.8828124999998" w:hRule="atLeast"/>
          <w:tblHeader w:val="0"/>
        </w:trPr>
        <w:tc>
          <w:tcPr>
            <w:gridSpan w:val="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F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Granel sólido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Deslocamento (CCD)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R$/km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2,2644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2,8579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3,3198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3,7374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4,2516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4,6506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5,3082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e descarga (CC)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218,04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250,19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275,40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289,85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321,81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374,03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405,72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Granel líquido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Deslocamento (CCD)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R$/km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2,2999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2,9028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3,3463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3,8129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4,3272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4,7622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5,4193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e descarga (CC)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223,39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258,10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273,85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301,79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333,76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395,90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427,43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D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Frigorificada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Deslocamento (CCD)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R$/km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2,7136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3,4045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3,9718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4,5541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5,1452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5,5305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6,2985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e descarga (CC)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255,97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288,90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325,29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366,41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398,38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446,86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483,03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94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Conteinerizada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Deslocamento (CCD)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R$/km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2,8466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3,3141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3,7357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4,2499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4,6511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5,3025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e descarga (CC)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247,07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273,85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289,38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321,35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374,19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404,16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B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Geral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Deslocamento (CCD)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R$/km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2,2582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2,8466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3,3141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3,7357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4,2499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4,6511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5,3025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e descarga (CC)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216,34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247,07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273,85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289,38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321,35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374,19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404,16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C2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Neogranel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Deslocamento (CCD)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R$/km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2,0074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2,8466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3,3299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3,7357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4,2499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4,6511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5,3025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e descarga (CC)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216,34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247,07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278,19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289,38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321,35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374,19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404,16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D9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Perigosa (granel sólido)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Deslocamento (CCD)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R$/km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2,8284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3,4220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3,9126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4,3302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4,8444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5,2517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5,9093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e descarga (CC)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326,22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358,37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389,02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403,47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435,44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489,96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521,64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F0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Perigosa (granel líquido)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Deslocamento (CCD)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R$/km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2,8821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3,4849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3,9412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4,4078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4,9221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5,3655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6,0226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e descarga (CC)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340,99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375,69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396,89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424,83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456,80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521,25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552,78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07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Perigosa (frigorificada)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Deslocamento (CCD)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R$/km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3,1569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3,8478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4,4369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5,0192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5,6103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6,0066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6,7745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e descarga (CC)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334,46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367,39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410,85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451,98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483,94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535,42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571,60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1E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Perigosa (conteinerizada)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Deslocamento (CCD)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R$/km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3,1103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3,6066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4,0281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4,5424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4,9520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5,6034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e descarga (CC)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317,12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349,33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364,87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396,83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451,98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481,96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35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Perigosa (carga geral)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Deslocamento (CCD)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R$/km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2,5219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3,1103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3,6066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4,0281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4,5424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4,9520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5,6034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e descarga (CC)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286,38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317,12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349,33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364,87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396,83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451,98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481,96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4C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Granel Pressurizada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Deslocamento (CCD)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R$/km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3,8865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4,4008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5,5258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e descarga (CC)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330,86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362,82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465,55</w:t>
            </w:r>
          </w:p>
        </w:tc>
      </w:tr>
    </w:tbl>
    <w:p w:rsidR="00000000" w:rsidDel="00000000" w:rsidP="00000000" w:rsidRDefault="00000000" w:rsidRPr="00000000" w14:paraId="00000162">
      <w:pP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Nota: As células sem valores de coeficiente de custos se referem a veículos combinados com número de eixos não utilizadas para o tipo de carga avaliado no mercado de transporte rodoviário de cargas do Brasil.</w:t>
      </w:r>
    </w:p>
    <w:p w:rsidR="00000000" w:rsidDel="00000000" w:rsidP="00000000" w:rsidRDefault="00000000" w:rsidRPr="00000000" w14:paraId="00000164">
      <w:pP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retirada de:</w:t>
      </w:r>
    </w:p>
    <w:p w:rsidR="00000000" w:rsidDel="00000000" w:rsidP="00000000" w:rsidRDefault="00000000" w:rsidRPr="00000000" w14:paraId="00000166">
      <w:pP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MINISTÉRIO DA INFRAESTRUTURA. Disponível em: &lt;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https://anttlegis.antt.gov.br/action/ActionDatalegis.php?acao=detalharAtosArvore&amp;link=S&amp;tipo=RES&amp;numeroAto=00005949&amp;seqAto=000&amp;valorAno=2021&amp;orgao=DG/ANTT/MI&amp;codTipo=&amp;desItem=&amp;desItemFim=</w:t>
        </w:r>
      </w:hyperlink>
      <w:r w:rsidDel="00000000" w:rsidR="00000000" w:rsidRPr="00000000">
        <w:rPr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1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ttlegis.antt.gov.br/action/ActionDatalegis.php?acao=detalharAtosArvore&amp;link=S&amp;tipo=RES&amp;numeroAto=00005949&amp;seqAto=000&amp;valorAno=2021&amp;orgao=DG/ANTT/MI&amp;codTipo=&amp;desItem=&amp;desItemFim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