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T1001B_G3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02- Elaborar as regras de negócio complementares ao texto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devem ser numeradas sequencialmente, a partir de 01.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podem indicar cálculos  e/ou procedimentos que devem constar nas aplicações (programas).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pode ser feita através de um documento Word  ou através de um arquivo TXT.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complementares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Cada veículo recebe um ID numérico auto-incrementável.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Cada motorista deve, ao passar pela avaliação médica, ter sua ficha médica atualizada caso haja alterações nos exames.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Cada motorista deve ter sua ficha cadastral atualizada a cada 6 meses.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carteiras de motorista devem ser do tipo C, D ou E.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carteiras de motorista devem ter sido expedidas há no mínimo 5 meses.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custo dos pedágios é debitado automaticamente da conta da empresa.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cálculo do frete é feito seguindo as orientações da tabela padrão da ANTT (Agência Nacional de Transportes). A fórmula de cálculo consiste em: </w:t>
      </w: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(Distância em Km * CCD) + CC</w:t>
      </w:r>
      <w:r w:rsidDel="00000000" w:rsidR="00000000" w:rsidRPr="00000000">
        <w:rPr>
          <w:b w:val="1"/>
          <w:i w:val="1"/>
          <w:color w:val="333333"/>
          <w:sz w:val="25"/>
          <w:szCs w:val="25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A tabela está em anexo neste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Todas as saídas e chegadas ficam registradas, bem como as paradas durante a viagem.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seguro de vida cobre os motoristas somente durante o período da viagem.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Toda viagem possui um diário de bordo, no qual são registrados: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Horários de direção de cada motorista;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Paradas para alimentação.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Imprevistos durante a viagem (manutenções no veículo, mudança de rotas, etc.)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bônus financeiro para o motorista que não apresentar nenhuma multa durante 12 meses é de 10% do valor total dos ganhos do motorista naquele ano.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CONSTRAINT CK_GIS_T1001C_SUPERVISOR CHECK (DATEDIFF(YEAR, NASCIMENTO, GETDATE()) &gt;= 18)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Todas as transações dos veículos ficam registradas na empresa.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pagamento do motorista é formado com base na quilometragem rodada e na carga transportada. A fórmula do cálculo consiste em: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Frete + Valor Padrão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 valor pago por quilometragem rodada é formado com base no valor do manifesto.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Há um valor padrão estipulado, formado com base na quilometragem rodada, para remunerar os motoristas. A fórmula do cálculo consiste em: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Distância em Km * CCD) / 3</w:t>
      </w:r>
      <w:r w:rsidDel="00000000" w:rsidR="00000000" w:rsidRPr="00000000">
        <w:rPr>
          <w:sz w:val="24"/>
          <w:szCs w:val="24"/>
          <w:rtl w:val="0"/>
        </w:rPr>
        <w:t xml:space="preserve">. A tabela está em anexo neste arquivo.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 empresa realiza periodicamente uma estatística dos gastos com ocorrências durante as viagens, como refeições, combustíveis e manutenção dos veículos.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Cada veículo possui um histórico de manutenção, que é realizada periodicamente em função de necessidades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6">
      <w:pPr>
        <w:shd w:fill="ffffff" w:val="clear"/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COEFICIENTES DE PISOS MÍNIMOS DE TRANSPORTE RODOVIÁRIO DE CARGA</w:t>
      </w:r>
    </w:p>
    <w:p w:rsidR="00000000" w:rsidDel="00000000" w:rsidP="00000000" w:rsidRDefault="00000000" w:rsidRPr="00000000" w14:paraId="00000037">
      <w:pPr>
        <w:shd w:fill="ffffff" w:val="clear"/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A - TRANSPORTE RODOVIÁRIO DE CARGA LOTAÇÃO </w:t>
      </w:r>
    </w:p>
    <w:tbl>
      <w:tblPr>
        <w:tblStyle w:val="Table1"/>
        <w:tblW w:w="9000.0" w:type="dxa"/>
        <w:jc w:val="left"/>
        <w:tblInd w:w="0.0" w:type="pct"/>
        <w:tblBorders>
          <w:top w:color="000000" w:space="0" w:sz="7" w:val="single"/>
          <w:left w:color="000000" w:space="0" w:sz="7" w:val="single"/>
          <w:bottom w:color="000000" w:space="0" w:sz="7" w:val="single"/>
          <w:right w:color="000000" w:space="0" w:sz="7" w:val="single"/>
          <w:insideH w:color="000000" w:space="0" w:sz="7" w:val="single"/>
          <w:insideV w:color="000000" w:space="0" w:sz="7" w:val="single"/>
        </w:tblBorders>
        <w:tblLayout w:type="fixed"/>
        <w:tblLook w:val="0600"/>
      </w:tblPr>
      <w:tblGrid>
        <w:gridCol w:w="255"/>
        <w:gridCol w:w="1605"/>
        <w:gridCol w:w="1440"/>
        <w:gridCol w:w="825"/>
        <w:gridCol w:w="690"/>
        <w:gridCol w:w="705"/>
        <w:gridCol w:w="690"/>
        <w:gridCol w:w="705"/>
        <w:gridCol w:w="690"/>
        <w:gridCol w:w="705"/>
        <w:gridCol w:w="690"/>
        <w:tblGridChange w:id="0">
          <w:tblGrid>
            <w:gridCol w:w="255"/>
            <w:gridCol w:w="1605"/>
            <w:gridCol w:w="1440"/>
            <w:gridCol w:w="825"/>
            <w:gridCol w:w="690"/>
            <w:gridCol w:w="705"/>
            <w:gridCol w:w="690"/>
            <w:gridCol w:w="705"/>
            <w:gridCol w:w="690"/>
            <w:gridCol w:w="705"/>
            <w:gridCol w:w="69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#Tipo de carga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Coeficiente de custo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</w:t>
            </w:r>
          </w:p>
        </w:tc>
        <w:tc>
          <w:tcPr>
            <w:gridSpan w:val="7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eixos carregados do veículo combinado</w:t>
            </w:r>
          </w:p>
        </w:tc>
      </w:tr>
      <w:tr>
        <w:trPr>
          <w:cantSplit w:val="0"/>
          <w:trHeight w:val="434.8828124999998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Granel sólido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2,2644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2,8579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3,3198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4,2516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5,3082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218,04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275,40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405,72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Granel líquido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2,2999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2,9028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3,3463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3,8129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4,3272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4,7622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5,4193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223,39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258,10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301,79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333,76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395,90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427,43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Frigorificada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2,7136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3,4045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3,9718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4,5541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5,1452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5,5305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6,2985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255,97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288,90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325,29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366,41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398,38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446,86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483,03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Conteinerizada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2,8466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3,3141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5,3025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404,16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Geral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2,2582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2,8466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3,3141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216,34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404,16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Neogranel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2,0074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2,8466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3,3299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3,7357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4,2499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4,6511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5,3025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216,34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247,07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278,19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321,35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374,19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404,16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(granel sólido)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2,8284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3,4220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3,9126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4,3302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4,8444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5,2517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5,9093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326,22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358,37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389,02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403,47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435,44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489,96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521,64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(granel líquido)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2,8821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3,4849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3,9412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4,4078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4,9221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5,3655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6,0226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340,99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375,69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396,89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424,83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456,80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521,25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552,78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(frigorificada)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3,1569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3,8478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4,4369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5,0192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6,0066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6,7745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334,46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367,39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410,85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451,98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483,94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535,42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571,60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(conteinerizada)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3,6066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4,0281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4,5424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4,9520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5,6034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317,12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349,33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364,87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396,83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451,98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481,96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Perigosa (carga geral)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2,5219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3,1103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3,6066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4,0281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4,5424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4,9520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5,6034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286,38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317,12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349,33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364,87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396,83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451,98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481,96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Granel Pressurizada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Deslocamento (CCD)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R$/km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3,8865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4,4008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5,5258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 e descarga (CC)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330,86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362,82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8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465,55</w:t>
            </w:r>
          </w:p>
        </w:tc>
      </w:tr>
    </w:tbl>
    <w:p w:rsidR="00000000" w:rsidDel="00000000" w:rsidP="00000000" w:rsidRDefault="00000000" w:rsidRPr="00000000" w14:paraId="00000162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As células sem valores de coeficiente de custos se referem a veículos combinados com número de eixos não utilizadas para o tipo de carga avaliado no mercado de transporte rodoviário de cargas do Brasil.</w:t>
      </w:r>
    </w:p>
    <w:p w:rsidR="00000000" w:rsidDel="00000000" w:rsidP="00000000" w:rsidRDefault="00000000" w:rsidRPr="00000000" w14:paraId="00000164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retirada de:</w:t>
      </w:r>
    </w:p>
    <w:p w:rsidR="00000000" w:rsidDel="00000000" w:rsidP="00000000" w:rsidRDefault="00000000" w:rsidRPr="00000000" w14:paraId="00000166">
      <w:pP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MINISTÉRIO DA INFRAESTRUTURA. Disponível em: &lt;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https://anttlegis.antt.gov.br/action/ActionDatalegis.php?acao=detalharAtosArvore&amp;link=S&amp;tipo=RES&amp;numeroAto=00005949&amp;seqAto=000&amp;valorAno=2021&amp;orgao=DG/ANTT/MI&amp;codTipo=&amp;desItem=&amp;desItemFim=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anttlegis.antt.gov.br/action/ActionDatalegis.php?acao=detalharAtosArvore&amp;link=S&amp;tipo=RES&amp;numeroAto=00005949&amp;seqAto=000&amp;valorAno=2021&amp;orgao=DG/ANTT/MI&amp;codTipo=&amp;desItem=&amp;desItemFim=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b46d0e1bc6c306539ef26a2e6299af1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0dfdd213bc947d1dada1398edb750200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415A4-F4F3-4910-9C40-DCF0692EA828}"/>
</file>

<file path=customXml/itemProps2.xml><?xml version="1.0" encoding="utf-8"?>
<ds:datastoreItem xmlns:ds="http://schemas.openxmlformats.org/officeDocument/2006/customXml" ds:itemID="{376BCD0C-0B6E-4507-8AF9-78FE423C5BC2}"/>
</file>

<file path=customXml/itemProps3.xml><?xml version="1.0" encoding="utf-8"?>
<ds:datastoreItem xmlns:ds="http://schemas.openxmlformats.org/officeDocument/2006/customXml" ds:itemID="{CE9A38BB-CD2F-48BD-881D-D87B7B2E594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