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Resumo — Capítulo 3: Explanatory Perspectives</w:t>
      </w:r>
    </w:p>
    <w:p>
      <w:pPr>
        <w:spacing w:after="200"/>
      </w:pPr>
      <w:r>
        <w:rPr>
          <w:i/>
        </w:rPr>
        <w:t>Mackenbach, J.P. Health Inequalities: Persistence and Change in European Welfare States (2019, OUP)</w:t>
      </w:r>
    </w:p>
    <w:p>
      <w:pPr>
        <w:pStyle w:val="Heading1"/>
      </w:pPr>
      <w:r>
        <w:rPr>
          <w:sz w:val="30"/>
        </w:rPr>
        <w:t>3.1 Questões metodológicas</w:t>
      </w:r>
    </w:p>
    <w:p>
      <w:pPr>
        <w:pStyle w:val="Heading2"/>
      </w:pPr>
      <w:r>
        <w:rPr>
          <w:sz w:val="24"/>
        </w:rPr>
        <w:t>Causação x seleção x confundimento</w:t>
      </w:r>
    </w:p>
    <w:p>
      <w:pPr>
        <w:spacing w:after="80"/>
      </w:pPr>
      <w:r/>
    </w:p>
    <w:p>
      <w:pPr>
        <w:pStyle w:val="ListBullet"/>
        <w:spacing w:after="40"/>
      </w:pPr>
      <w:r>
        <w:t>Causação: posição socioeconômica (PSE) determina a saúde. Seleção (= "causação reversa"): a saúde determina a PSE, via mobilidade social.</w:t>
      </w:r>
    </w:p>
    <w:p>
      <w:pPr>
        <w:pStyle w:val="ListBullet"/>
        <w:spacing w:after="40"/>
      </w:pPr>
      <w:r>
        <w:t>Confundimento: fatores de terceiros associados tanto a PSE quanto a saúde, mas fora do caminho causal (ex.: habilidade cognitiva, personalidade, genética). Diferem de mediadores, que estão no caminho causal (ex.: tabagismo).</w:t>
      </w:r>
    </w:p>
    <w:p>
      <w:pPr>
        <w:pStyle w:val="ListBullet"/>
        <w:spacing w:after="40"/>
      </w:pPr>
      <w:r>
        <w:t>Debate é parcialmente ideológico: causação associada à esquerda política, seleção a posições mais conservadoras/liberais — mas ambas são igualmente relevantes para políticas públicas.</w:t>
      </w:r>
    </w:p>
    <w:p>
      <w:pPr>
        <w:spacing w:after="80"/>
      </w:pPr>
      <w:r>
        <w:rPr>
          <w:i/>
        </w:rPr>
        <w:t>Anotação da autora: destaca que se pode mudar tanto o "status" (via salário/causação) quanto os determinantes de saúde (via health selection) — ou seja, a intervenção é possível nos dois sentidos da relação.</w:t>
      </w:r>
    </w:p>
    <w:p>
      <w:pPr>
        <w:pStyle w:val="Heading2"/>
      </w:pPr>
      <w:r>
        <w:rPr>
          <w:sz w:val="24"/>
        </w:rPr>
        <w:t>Observação vs. experimentação</w:t>
      </w:r>
    </w:p>
    <w:p>
      <w:pPr>
        <w:pStyle w:val="ListBullet"/>
        <w:spacing w:after="40"/>
      </w:pPr>
      <w:r>
        <w:t>Experimentos verdadeiros são inviáveis na maior parte dos estudos de desigualdades em saúde; a área depende de observação cuidadosa que se aproxime do contraste "limpo" de um experimento controlado.</w:t>
      </w:r>
    </w:p>
    <w:p>
      <w:pPr>
        <w:pStyle w:val="ListBullet"/>
        <w:spacing w:after="40"/>
      </w:pPr>
      <w:r>
        <w:t>Paradoxo central: quanto mais perto se chega de isolar um efeito causal "limpo" (controlando confundidores), mais se perde da compreensão de como a PSE afeta a saúde ao longo da vida (sobre-ajuste).</w:t>
      </w:r>
    </w:p>
    <w:p>
      <w:pPr>
        <w:pStyle w:val="Heading2"/>
      </w:pPr>
      <w:r>
        <w:rPr>
          <w:sz w:val="24"/>
        </w:rPr>
        <w:t>Divergência epistemológica sobre causalidade</w:t>
      </w:r>
    </w:p>
    <w:p>
      <w:pPr>
        <w:pStyle w:val="ListBullet"/>
        <w:spacing w:after="40"/>
      </w:pPr>
      <w:r>
        <w:t>Abordagem contrafactual (potential outcomes): só causas manipuláveis (ex.: "um ano extra de educação") seriam cientificamente testáveis — PSE em si não seria uma "causa" válida.</w:t>
      </w:r>
    </w:p>
    <w:p>
      <w:pPr>
        <w:pStyle w:val="ListBullet"/>
        <w:spacing w:after="40"/>
      </w:pPr>
      <w:r>
        <w:t>Abordagem pluralista (Goldthorpe e outros): mesmo exposições não manipuláveis (PSE, raça, terremotos) podem ser causas legítimas; o foco deve ser elucidar mecanismos populacionais, não apenas manipulação experimental.</w:t>
      </w:r>
    </w:p>
    <w:p>
      <w:pPr>
        <w:spacing w:after="80"/>
      </w:pPr>
      <w:r>
        <w:rPr>
          <w:i/>
        </w:rPr>
        <w:t>Anotação da autora: marca esse trecho como "problemático" — quem decide o que é/não é controlado no outro (i.e., os critérios de manipulabilidade são eles próprios contestáveis).</w:t>
      </w:r>
    </w:p>
    <w:p>
      <w:pPr>
        <w:pStyle w:val="ListBullet"/>
        <w:spacing w:after="40"/>
      </w:pPr>
      <w:r>
        <w:t>Box 3.1 — desenhos quase-experimentais: propensity score matching, differences-in-differences, variáveis instrumentais, regression discontinuity, loterias, roll-out aleatório de programas.</w:t>
      </w:r>
    </w:p>
    <w:p>
      <w:pPr>
        <w:pStyle w:val="Heading2"/>
      </w:pPr>
      <w:r>
        <w:rPr>
          <w:sz w:val="24"/>
        </w:rPr>
        <w:t>Mediação</w:t>
      </w:r>
    </w:p>
    <w:p>
      <w:pPr>
        <w:pStyle w:val="ListBullet"/>
        <w:spacing w:after="40"/>
      </w:pPr>
      <w:r>
        <w:t>Mediadores = fatores no caminho causal PSE → determinante → saúde. O método clássico (Baron &amp; Kenny / "difference method") compara o efeito da PSE antes/depois de controlar o mediador ("atenuação") — mas tem sido criticado por gerar estimativas viesadas.</w:t>
      </w:r>
    </w:p>
    <w:p>
      <w:pPr>
        <w:pStyle w:val="ListBullet"/>
        <w:spacing w:after="40"/>
      </w:pPr>
      <w:r>
        <w:t>Dado o viés, o autor prefere o termo mais cauteloso "contributing factor" (fator contribuinte) em vez de "mediador", e apresenta conclusões em termos qualitativos, não quantitativos.</w:t>
      </w:r>
    </w:p>
    <w:p>
      <w:r>
        <w:br w:type="page"/>
      </w:r>
    </w:p>
    <w:p>
      <w:pPr>
        <w:pStyle w:val="Heading1"/>
      </w:pPr>
      <w:r>
        <w:rPr>
          <w:sz w:val="30"/>
        </w:rPr>
        <w:t>3.2 Educação, ocupação, renda e saúde</w:t>
      </w:r>
    </w:p>
    <w:p>
      <w:pPr>
        <w:pStyle w:val="Heading2"/>
      </w:pPr>
      <w:r>
        <w:rPr>
          <w:sz w:val="24"/>
        </w:rPr>
        <w:t>Educação</w:t>
      </w:r>
    </w:p>
    <w:p>
      <w:pPr>
        <w:pStyle w:val="ListBullet"/>
        <w:spacing w:after="40"/>
      </w:pPr>
      <w:r>
        <w:t>Associação robusta e improvável de ser seleção reversa (problemas de saúde surgem muito depois da educação completada).</w:t>
      </w:r>
    </w:p>
    <w:p>
      <w:pPr>
        <w:pStyle w:val="ListBullet"/>
        <w:spacing w:after="40"/>
      </w:pPr>
      <w:r>
        <w:t>Parcialmente confundida por fatores genéticos: scores poligênicos já explicam ~10% da variância em escolaridade; heritabilidade da educação aumenta onde o ambiente impõe menos barreiras (ex.: países nórdicos).</w:t>
      </w:r>
    </w:p>
    <w:p>
      <w:pPr>
        <w:pStyle w:val="ListBullet"/>
        <w:spacing w:after="40"/>
      </w:pPr>
      <w:r>
        <w:t>Evidência quase-experimental (leis de escolaridade obrigatória, randomização mendeliana) confirma efeito causal da educação sobre mortalidade, demência e doença cardíaca isquêmica.</w:t>
      </w:r>
    </w:p>
    <w:p>
      <w:pPr>
        <w:pStyle w:val="Heading2"/>
      </w:pPr>
      <w:r>
        <w:rPr>
          <w:sz w:val="24"/>
        </w:rPr>
        <w:t>Classe ocupacional</w:t>
      </w:r>
    </w:p>
    <w:p>
      <w:pPr>
        <w:pStyle w:val="ListBullet"/>
        <w:spacing w:after="40"/>
      </w:pPr>
      <w:r>
        <w:t>Maior espaço para causação reversa (classe ocupacional muda ao longo da vida, diferente da educação). Não há estudos quase-experimentais rigorosos isolando seu efeito causal.</w:t>
      </w:r>
    </w:p>
    <w:p>
      <w:pPr>
        <w:pStyle w:val="ListBullet"/>
        <w:spacing w:after="40"/>
      </w:pPr>
      <w:r>
        <w:t>Mobilidade ocupacional relacionada à saúde pode, contraintuitivamente, ampliar (não apenas diluir) desigualdades — depende de quem entra/sai de cada classe, não apenas da saúde média de quem se move.</w:t>
      </w:r>
    </w:p>
    <w:p>
      <w:pPr>
        <w:pStyle w:val="Heading2"/>
      </w:pPr>
      <w:r>
        <w:rPr>
          <w:sz w:val="24"/>
        </w:rPr>
        <w:t>Renda</w:t>
      </w:r>
    </w:p>
    <w:p>
      <w:pPr>
        <w:pStyle w:val="ListBullet"/>
        <w:spacing w:after="40"/>
      </w:pPr>
      <w:r>
        <w:t>Relação não linear: efeito mais forte nos níveis mais baixos de renda.</w:t>
      </w:r>
    </w:p>
    <w:p>
      <w:pPr>
        <w:pStyle w:val="ListBullet"/>
        <w:spacing w:after="40"/>
      </w:pPr>
      <w:r>
        <w:t>Maior potencial de seleção reversa entre os três indicadores de PSE. Visão predominante em saúde pública: causação; em economia: seleção reversa.</w:t>
      </w:r>
    </w:p>
    <w:p>
      <w:pPr>
        <w:pStyle w:val="ListBullet"/>
        <w:spacing w:after="40"/>
      </w:pPr>
      <w:r>
        <w:t>Evidência quase-experimental (loterias, ganhos inesperados) é fraca/mista para efeito causal de renda sobre saúde física adulta em países de alta renda — mas evidência é mais consistente para efeito de renda parental sobre saúde infantil.</w:t>
      </w:r>
    </w:p>
    <w:p>
      <w:pPr>
        <w:spacing w:after="80"/>
      </w:pPr>
      <w:r>
        <w:t>Levanta hipótese: o Estado de bem-estar social pode ter reduzido o mecanismo "renda baixa causa doença", deixando remanescentes principalmente a seleção reversa e o confundimento por características pessoais.</w:t>
      </w:r>
    </w:p>
    <w:p>
      <w:pPr>
        <w:pStyle w:val="Heading2"/>
      </w:pPr>
      <w:r>
        <w:rPr>
          <w:sz w:val="24"/>
        </w:rPr>
        <w:t>Conclusão provisória do autor</w:t>
      </w:r>
    </w:p>
    <w:p>
      <w:pPr>
        <w:pStyle w:val="ListBullet"/>
        <w:spacing w:after="40"/>
      </w:pPr>
      <w:r>
        <w:t>Há efeito causal da educação sobre a saúde (parcial). Efeito causal da renda parental sobre saúde infantil é provável. Não há evidência clara para mudanças modestas de renda em adultos. Efeito causal da classe ocupacional permanece incerto.</w:t>
      </w:r>
    </w:p>
    <w:p>
      <w:r>
        <w:br w:type="page"/>
      </w:r>
    </w:p>
    <w:p>
      <w:pPr>
        <w:pStyle w:val="Heading1"/>
      </w:pPr>
      <w:r>
        <w:rPr>
          <w:sz w:val="30"/>
        </w:rPr>
        <w:t>3.3 Seis grupos de fatores contribuintes (perspectiva de curso de vida)</w:t>
      </w:r>
    </w:p>
    <w:p>
      <w:pPr>
        <w:spacing w:after="80"/>
      </w:pPr>
      <w:r>
        <w:t>Modelo de curso de vida: acúmulo de risco (desvantagens se somam ao longo da vida) + períodos críticos (útero, infância) + transmissão intergeracional.</w:t>
      </w:r>
    </w:p>
    <w:p>
      <w:pPr>
        <w:pStyle w:val="ListBullet"/>
        <w:spacing w:after="40"/>
      </w:pPr>
      <w:r>
        <w:rPr>
          <w:b/>
        </w:rPr>
        <w:t xml:space="preserve">1. </w:t>
      </w:r>
      <w:r>
        <w:t>Genética: variações genéticas (habilidade cognitiva, personalidade) atuam como confundidoras; também há gene-environment interaction e epigenética (esta última seria mediação, não confundimento).</w:t>
      </w:r>
    </w:p>
    <w:p>
      <w:pPr>
        <w:pStyle w:val="ListBullet"/>
        <w:spacing w:after="40"/>
      </w:pPr>
      <w:r>
        <w:rPr>
          <w:b/>
        </w:rPr>
        <w:t xml:space="preserve">2. </w:t>
      </w:r>
      <w:r>
        <w:t>Ambiente na infância: privação material/adversidade na infância prediz pior saúde adulta mesmo controlando PSE alcançada; afeta desenvolvimento neurocognitivo e até estrutura cerebral.</w:t>
      </w:r>
    </w:p>
    <w:p>
      <w:pPr>
        <w:pStyle w:val="ListBullet"/>
        <w:spacing w:after="40"/>
      </w:pPr>
      <w:r>
        <w:rPr>
          <w:b/>
        </w:rPr>
        <w:t xml:space="preserve">3. </w:t>
      </w:r>
      <w:r>
        <w:t>Condições materiais de vida: pobreza, condições de trabalho (esforço-recompensa, controle-demanda), desemprego/emprego precário, moradia e vizinhança.</w:t>
      </w:r>
    </w:p>
    <w:p>
      <w:pPr>
        <w:pStyle w:val="ListBullet"/>
        <w:spacing w:after="40"/>
      </w:pPr>
      <w:r>
        <w:rPr>
          <w:b/>
        </w:rPr>
        <w:t xml:space="preserve">4. </w:t>
      </w:r>
      <w:r>
        <w:t>Fatores sociais e psicológicos: estresse psicossocial (mais eventos negativos, menos controle e suporte social) atua por via comportamental e por via biológica direta (eixo HPA, cortisol, inflamação).</w:t>
      </w:r>
    </w:p>
    <w:p>
      <w:pPr>
        <w:pStyle w:val="ListBullet"/>
        <w:spacing w:after="40"/>
      </w:pPr>
      <w:r>
        <w:rPr>
          <w:b/>
        </w:rPr>
        <w:t xml:space="preserve">5. </w:t>
      </w:r>
      <w:r>
        <w:t>Comportamentos relacionados à saúde: tabagismo (fator mais estudado, com forte gradiente Norte-Sul na Europa), dieta, atividade física, obesidade, consumo excessivo de álcool — nem sempre "escolha livre"; revisão identifica 9-10 mecanismos causais (motivação, meios, traços latentes, causação reversa).</w:t>
      </w:r>
    </w:p>
    <w:p>
      <w:pPr>
        <w:pStyle w:val="ListBullet"/>
        <w:spacing w:after="40"/>
      </w:pPr>
      <w:r>
        <w:rPr>
          <w:b/>
        </w:rPr>
        <w:t xml:space="preserve">6. </w:t>
      </w:r>
      <w:r>
        <w:t>Cuidado em saúde: menor uso de serviços preventivos e curativos efetivos por grupos de menor PSE ("inverse care law"); desigualdades em sobrevida (ex.: câncer, infarto) mesmo após ajuste por estágio da doença.</w:t>
      </w:r>
    </w:p>
    <w:p>
      <w:pPr>
        <w:pStyle w:val="Heading2"/>
      </w:pPr>
      <w:r>
        <w:rPr>
          <w:sz w:val="24"/>
        </w:rPr>
        <w:t>Mecanismos biológicos</w:t>
      </w:r>
    </w:p>
    <w:p>
      <w:pPr>
        <w:pStyle w:val="ListBullet"/>
        <w:spacing w:after="40"/>
      </w:pPr>
      <w:r>
        <w:t>"Embodiment" (Krieger): experiências sociais se tornam biológicas. Conceito de allostatic load — desgaste físico cumulativo do estresse crônico (cortisol, adrenalina, marcadores metabólicos/inflamatórios); em um estudo dos EUA, explicou ~1/3 das desigualdades educacionais em mortalidade.</w:t>
      </w:r>
    </w:p>
    <w:p>
      <w:r>
        <w:br w:type="page"/>
      </w:r>
    </w:p>
    <w:p>
      <w:pPr>
        <w:pStyle w:val="Heading1"/>
      </w:pPr>
      <w:r>
        <w:rPr>
          <w:sz w:val="30"/>
        </w:rPr>
        <w:t>3.4 Teorias explicativas das desigualdades em saúde</w:t>
      </w:r>
    </w:p>
    <w:p>
      <w:pPr>
        <w:spacing w:after="80"/>
      </w:pPr>
      <w:r>
        <w:t>O autor organiza 9 teorias em 4 grupos, do mais "benigno" (seleção social) ao mais "conflitual" (produção social da doença). Nenhuma é mutuamente exclusiva.</w:t>
      </w:r>
    </w:p>
    <w:p>
      <w:pPr>
        <w:pStyle w:val="Heading2"/>
      </w:pPr>
      <w:r>
        <w:rPr>
          <w:sz w:val="24"/>
        </w:rPr>
        <w:t>I. Seleção para grupos socioeconômicos</w:t>
      </w:r>
    </w:p>
    <w:p>
      <w:pPr>
        <w:pStyle w:val="ListBullet"/>
        <w:spacing w:after="40"/>
      </w:pPr>
      <w:r>
        <w:t>Seleção social: características pessoais (cognição, personalidade) determinam tanto a mobilidade social quanto a saúde. Mais mobilidade social e mais seletividade nela → maiores desigualdades em saúde.</w:t>
      </w:r>
    </w:p>
    <w:p>
      <w:pPr>
        <w:pStyle w:val="ListBullet"/>
        <w:spacing w:after="40"/>
      </w:pPr>
      <w:r>
        <w:t>Meritocracia: paradoxalmente, sociedades mais meritocráticas substituem desvantagem herdada por desvantagem baseada em características pessoais (que também são parcialmente herdadas/genéticas).</w:t>
      </w:r>
    </w:p>
    <w:p>
      <w:pPr>
        <w:pStyle w:val="Heading2"/>
      </w:pPr>
      <w:r>
        <w:rPr>
          <w:sz w:val="24"/>
        </w:rPr>
        <w:t>II. Progresso desigual em saúde</w:t>
      </w:r>
    </w:p>
    <w:p>
      <w:pPr>
        <w:spacing w:after="80"/>
      </w:pPr>
      <w:r>
        <w:rPr>
          <w:i/>
        </w:rPr>
        <w:t>Anotação da autora: agrupa estas três teorias como movidas por "acesso à cultura, inovação e novos conceitos".</w:t>
      </w:r>
    </w:p>
    <w:p>
      <w:pPr>
        <w:pStyle w:val="ListBullet"/>
        <w:spacing w:after="40"/>
      </w:pPr>
      <w:r>
        <w:t>Difusão de inovações: grupos de PSE mais alta adotam (e abandonam) comportamentos/inovações primeiro — ex.: epidemia do tabagismo em 4 estágios.</w:t>
      </w:r>
    </w:p>
    <w:p>
      <w:pPr>
        <w:pStyle w:val="ListBullet"/>
        <w:spacing w:after="40"/>
      </w:pPr>
      <w:r>
        <w:t>Capital cultural (Bourdieu): comportamento como símbolo de status; "gostos" servem para distinção social e mudam de sentido ao longo do tempo ("trickle-down"/"sinking cultural goods").</w:t>
      </w:r>
    </w:p>
    <w:p>
      <w:pPr>
        <w:pStyle w:val="ListBullet"/>
        <w:spacing w:after="40"/>
      </w:pPr>
      <w:r>
        <w:t>Inverse equity: novas intervenções de saúde alcançam primeiro os grupos privilegiados; desigualdade cresce até ~50% de cobertura nacional, depois cai.</w:t>
      </w:r>
    </w:p>
    <w:p>
      <w:pPr>
        <w:pStyle w:val="Heading2"/>
      </w:pPr>
      <w:r>
        <w:rPr>
          <w:sz w:val="24"/>
        </w:rPr>
        <w:t>III. Desvantagem social</w:t>
      </w:r>
    </w:p>
    <w:p>
      <w:pPr>
        <w:pStyle w:val="ListBullet"/>
        <w:spacing w:after="40"/>
      </w:pPr>
      <w:r>
        <w:t>Inverse care law (Tudor Hart): a disponibilidade de bons cuidados de saúde varia inversamente à necessidade da população — mesmo em sistemas públicos universais.</w:t>
      </w:r>
    </w:p>
    <w:p>
      <w:pPr>
        <w:pStyle w:val="ListBullet"/>
        <w:spacing w:after="40"/>
      </w:pPr>
      <w:r>
        <w:t>Neo-materialismo (Black Report): recursos materiais (individuais e do investimento público) explicam a maior parte da desigualdade.</w:t>
      </w:r>
    </w:p>
    <w:p>
      <w:pPr>
        <w:pStyle w:val="ListBullet"/>
        <w:spacing w:after="40"/>
      </w:pPr>
      <w:r>
        <w:t>Ambiente psicossocial (Wilkinson, Marmot): desigualdade relativa (não apenas privação absoluta) gera ansiedade de status, perda de controle e estresse — "Status Syndrome".</w:t>
      </w:r>
    </w:p>
    <w:p>
      <w:pPr>
        <w:pStyle w:val="Heading2"/>
      </w:pPr>
      <w:r>
        <w:rPr>
          <w:sz w:val="24"/>
        </w:rPr>
        <w:t>IV. Produção social da doença</w:t>
      </w:r>
    </w:p>
    <w:p>
      <w:pPr>
        <w:spacing w:after="80"/>
      </w:pPr>
      <w:r>
        <w:rPr>
          <w:i/>
        </w:rPr>
        <w:t>Anotação da autora: identifica estas 4 teorias como as "teorias causais" centrais do capítulo.</w:t>
      </w:r>
    </w:p>
    <w:p>
      <w:pPr>
        <w:pStyle w:val="ListBullet"/>
        <w:spacing w:after="40"/>
      </w:pPr>
      <w:r>
        <w:t>Causas fundamentais (Link &amp; Phelan): PSE alta dá acesso a recursos flexíveis (dinheiro, conhecimento, poder, prestígio, conexões) usados para evitar riscos ou minimizar consequências da doença — por isso a desigualdade persiste mesmo quando os fatores de risco específicos mudam.</w:t>
      </w:r>
    </w:p>
    <w:p>
      <w:pPr>
        <w:pStyle w:val="ListBullet"/>
        <w:spacing w:after="40"/>
      </w:pPr>
      <w:r>
        <w:t>Economia política da saúde (Navarro, Krieger): desigualdades de poder político e econômico estruturam as condições materiais/sociais e, portanto, a exposição a riscos — pergunta central: a quem interessa a desigualdade em saúde?</w:t>
      </w:r>
    </w:p>
    <w:p>
      <w:r>
        <w:br w:type="page"/>
      </w:r>
    </w:p>
    <w:p>
      <w:pPr>
        <w:pStyle w:val="Heading1"/>
      </w:pPr>
      <w:r>
        <w:rPr>
          <w:sz w:val="30"/>
        </w:rPr>
        <w:t>Pontos-chave do capítulo</w:t>
      </w:r>
    </w:p>
    <w:p>
      <w:pPr>
        <w:pStyle w:val="ListBullet"/>
        <w:spacing w:after="40"/>
      </w:pPr>
      <w:r>
        <w:t>Avanços metodológicos recentes (abordagem contrafactual, novos métodos de mediação) geraram mais incerteza, não menos, sobre a causalidade PSE→saúde.</w:t>
      </w:r>
    </w:p>
    <w:p>
      <w:pPr>
        <w:pStyle w:val="ListBullet"/>
        <w:spacing w:after="40"/>
      </w:pPr>
      <w:r>
        <w:t>Efeito causal mais sólido: educação → saúde e renda parental → saúde infantil. Efeito de classe ocupacional permanece incerto; efeito de renda adulta modesta não tem boa evidência causal.</w:t>
      </w:r>
    </w:p>
    <w:p>
      <w:pPr>
        <w:pStyle w:val="ListBullet"/>
        <w:spacing w:after="40"/>
      </w:pPr>
      <w:r>
        <w:t>Seis grupos de fatores contribuintes ligam o "social" ao "biológico" ao longo do curso de vida.</w:t>
      </w:r>
    </w:p>
    <w:p>
      <w:pPr>
        <w:pStyle w:val="ListBullet"/>
        <w:spacing w:after="40"/>
      </w:pPr>
      <w:r>
        <w:t>Das nove teorias gerais, apenas "causas fundamentais" e "economia política da saúde" enfatizam explicitamente a origem social (produzida) das desigualdades — as demais tendem a naturalizar a desigualdade como resultado de seleção, difusão ou acesso desigual.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