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Caracterização das Escolas</w:t>
      </w:r>
    </w:p>
    <w:p>
      <w:pPr>
        <w:pStyle w:val="Heading1"/>
      </w:pPr>
      <w:r>
        <w:t>Tabela de Frequência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TP_DEPENDENCIA</w:t>
            </w:r>
          </w:p>
        </w:tc>
        <w:tc>
          <w:tcPr>
            <w:tcW w:type="dxa" w:w="1728"/>
          </w:tcPr>
          <w:p>
            <w:r>
              <w:t>TP_LOCALIZACAO</w:t>
            </w:r>
          </w:p>
        </w:tc>
        <w:tc>
          <w:tcPr>
            <w:tcW w:type="dxa" w:w="1728"/>
          </w:tcPr>
          <w:p>
            <w:r>
              <w:t>FREQUENCIA_ABSOLUTA</w:t>
            </w:r>
          </w:p>
        </w:tc>
        <w:tc>
          <w:tcPr>
            <w:tcW w:type="dxa" w:w="1728"/>
          </w:tcPr>
          <w:p>
            <w:r>
              <w:t>FREQUENCIA_RELATIVA</w:t>
            </w:r>
          </w:p>
        </w:tc>
        <w:tc>
          <w:tcPr>
            <w:tcW w:type="dxa" w:w="1728"/>
          </w:tcPr>
          <w:p>
            <w:r>
              <w:t>FREQUENCIA_RELATIVA (%)</w:t>
            </w:r>
          </w:p>
        </w:tc>
      </w:tr>
      <w:tr>
        <w:tc>
          <w:tcPr>
            <w:tcW w:type="dxa" w:w="1728"/>
          </w:tcPr>
          <w:p>
            <w:r>
              <w:t>Estadual</w:t>
            </w:r>
          </w:p>
        </w:tc>
        <w:tc>
          <w:tcPr>
            <w:tcW w:type="dxa" w:w="1728"/>
          </w:tcPr>
          <w:p>
            <w:r>
              <w:t>Rural</w:t>
            </w:r>
          </w:p>
        </w:tc>
        <w:tc>
          <w:tcPr>
            <w:tcW w:type="dxa" w:w="1728"/>
          </w:tcPr>
          <w:p>
            <w:r>
              <w:t>6960</w:t>
            </w:r>
          </w:p>
        </w:tc>
        <w:tc>
          <w:tcPr>
            <w:tcW w:type="dxa" w:w="1728"/>
          </w:tcPr>
          <w:p>
            <w:r>
              <w:t>0.031981619758759336</w:t>
            </w:r>
          </w:p>
        </w:tc>
        <w:tc>
          <w:tcPr>
            <w:tcW w:type="dxa" w:w="1728"/>
          </w:tcPr>
          <w:p>
            <w:r>
              <w:t>3.2</w:t>
            </w:r>
          </w:p>
        </w:tc>
      </w:tr>
      <w:tr>
        <w:tc>
          <w:tcPr>
            <w:tcW w:type="dxa" w:w="1728"/>
          </w:tcPr>
          <w:p>
            <w:r>
              <w:t>Estadual</w:t>
            </w:r>
          </w:p>
        </w:tc>
        <w:tc>
          <w:tcPr>
            <w:tcW w:type="dxa" w:w="1728"/>
          </w:tcPr>
          <w:p>
            <w:r>
              <w:t>Urbano</w:t>
            </w:r>
          </w:p>
        </w:tc>
        <w:tc>
          <w:tcPr>
            <w:tcW w:type="dxa" w:w="1728"/>
          </w:tcPr>
          <w:p>
            <w:r>
              <w:t>26586</w:t>
            </w:r>
          </w:p>
        </w:tc>
        <w:tc>
          <w:tcPr>
            <w:tcW w:type="dxa" w:w="1728"/>
          </w:tcPr>
          <w:p>
            <w:r>
              <w:t>0.12216427340608846</w:t>
            </w:r>
          </w:p>
        </w:tc>
        <w:tc>
          <w:tcPr>
            <w:tcW w:type="dxa" w:w="1728"/>
          </w:tcPr>
          <w:p>
            <w:r>
              <w:t>12.22</w:t>
            </w:r>
          </w:p>
        </w:tc>
      </w:tr>
      <w:tr>
        <w:tc>
          <w:tcPr>
            <w:tcW w:type="dxa" w:w="1728"/>
          </w:tcPr>
          <w:p>
            <w:r>
              <w:t>Federal</w:t>
            </w:r>
          </w:p>
        </w:tc>
        <w:tc>
          <w:tcPr>
            <w:tcW w:type="dxa" w:w="1728"/>
          </w:tcPr>
          <w:p>
            <w:r>
              <w:t>Rural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0.00044572085008615737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Federal</w:t>
            </w:r>
          </w:p>
        </w:tc>
        <w:tc>
          <w:tcPr>
            <w:tcW w:type="dxa" w:w="1728"/>
          </w:tcPr>
          <w:p>
            <w:r>
              <w:t>Urbano</w:t>
            </w:r>
          </w:p>
        </w:tc>
        <w:tc>
          <w:tcPr>
            <w:tcW w:type="dxa" w:w="1728"/>
          </w:tcPr>
          <w:p>
            <w:r>
              <w:t>628</w:t>
            </w:r>
          </w:p>
        </w:tc>
        <w:tc>
          <w:tcPr>
            <w:tcW w:type="dxa" w:w="1728"/>
          </w:tcPr>
          <w:p>
            <w:r>
              <w:t>0.0028856978747846067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Municipal</w:t>
            </w:r>
          </w:p>
        </w:tc>
        <w:tc>
          <w:tcPr>
            <w:tcW w:type="dxa" w:w="1728"/>
          </w:tcPr>
          <w:p>
            <w:r>
              <w:t>Rural</w:t>
            </w:r>
          </w:p>
        </w:tc>
        <w:tc>
          <w:tcPr>
            <w:tcW w:type="dxa" w:w="1728"/>
          </w:tcPr>
          <w:p>
            <w:r>
              <w:t>65436</w:t>
            </w:r>
          </w:p>
        </w:tc>
        <w:tc>
          <w:tcPr>
            <w:tcW w:type="dxa" w:w="1728"/>
          </w:tcPr>
          <w:p>
            <w:r>
              <w:t>0.3006823664560597</w:t>
            </w:r>
          </w:p>
        </w:tc>
        <w:tc>
          <w:tcPr>
            <w:tcW w:type="dxa" w:w="1728"/>
          </w:tcPr>
          <w:p>
            <w:r>
              <w:t>30.07</w:t>
            </w:r>
          </w:p>
        </w:tc>
      </w:tr>
      <w:tr>
        <w:tc>
          <w:tcPr>
            <w:tcW w:type="dxa" w:w="1728"/>
          </w:tcPr>
          <w:p>
            <w:r>
              <w:t>Municipal</w:t>
            </w:r>
          </w:p>
        </w:tc>
        <w:tc>
          <w:tcPr>
            <w:tcW w:type="dxa" w:w="1728"/>
          </w:tcPr>
          <w:p>
            <w:r>
              <w:t>Urbano</w:t>
            </w:r>
          </w:p>
        </w:tc>
        <w:tc>
          <w:tcPr>
            <w:tcW w:type="dxa" w:w="1728"/>
          </w:tcPr>
          <w:p>
            <w:r>
              <w:t>65273</w:t>
            </w:r>
          </w:p>
        </w:tc>
        <w:tc>
          <w:tcPr>
            <w:tcW w:type="dxa" w:w="1728"/>
          </w:tcPr>
          <w:p>
            <w:r>
              <w:t>0.2999333716255026</w:t>
            </w:r>
          </w:p>
        </w:tc>
        <w:tc>
          <w:tcPr>
            <w:tcW w:type="dxa" w:w="1728"/>
          </w:tcPr>
          <w:p>
            <w:r>
              <w:t>29.99</w:t>
            </w:r>
          </w:p>
        </w:tc>
      </w:tr>
      <w:tr>
        <w:tc>
          <w:tcPr>
            <w:tcW w:type="dxa" w:w="1728"/>
          </w:tcPr>
          <w:p>
            <w:r>
              <w:t>Privada</w:t>
            </w:r>
          </w:p>
        </w:tc>
        <w:tc>
          <w:tcPr>
            <w:tcW w:type="dxa" w:w="1728"/>
          </w:tcPr>
          <w:p>
            <w:r>
              <w:t>Rural</w:t>
            </w:r>
          </w:p>
        </w:tc>
        <w:tc>
          <w:tcPr>
            <w:tcW w:type="dxa" w:w="1728"/>
          </w:tcPr>
          <w:p>
            <w:r>
              <w:t>970</w:t>
            </w:r>
          </w:p>
        </w:tc>
        <w:tc>
          <w:tcPr>
            <w:tcW w:type="dxa" w:w="1728"/>
          </w:tcPr>
          <w:p>
            <w:r>
              <w:t>0.004457208500861573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Privada</w:t>
            </w:r>
          </w:p>
        </w:tc>
        <w:tc>
          <w:tcPr>
            <w:tcW w:type="dxa" w:w="1728"/>
          </w:tcPr>
          <w:p>
            <w:r>
              <w:t>Urbano</w:t>
            </w:r>
          </w:p>
        </w:tc>
        <w:tc>
          <w:tcPr>
            <w:tcW w:type="dxa" w:w="1728"/>
          </w:tcPr>
          <w:p>
            <w:r>
              <w:t>51675</w:t>
            </w:r>
          </w:p>
        </w:tc>
        <w:tc>
          <w:tcPr>
            <w:tcW w:type="dxa" w:w="1728"/>
          </w:tcPr>
          <w:p>
            <w:r>
              <w:t>0.23744974152785756</w:t>
            </w:r>
          </w:p>
        </w:tc>
        <w:tc>
          <w:tcPr>
            <w:tcW w:type="dxa" w:w="1728"/>
          </w:tcPr>
          <w:p>
            <w:r>
              <w:t>23.74</w:t>
            </w:r>
          </w:p>
        </w:tc>
      </w:tr>
    </w:tbl>
    <w:p>
      <w:pPr>
        <w:pStyle w:val="Heading1"/>
      </w:pPr>
      <w:r>
        <w:t>Gráficos de Frequência</w:t>
      </w:r>
    </w:p>
    <w:p>
      <w:pPr>
        <w:pStyle w:val="Heading2"/>
      </w:pPr>
      <w:r>
        <w:t>Gráfico de Frequência Relativa</w:t>
      </w:r>
    </w:p>
    <w:p>
      <w:r>
        <w:drawing>
          <wp:inline xmlns:a="http://schemas.openxmlformats.org/drawingml/2006/main" xmlns:pic="http://schemas.openxmlformats.org/drawingml/2006/picture">
            <wp:extent cx="5852160" cy="2926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equencia_relati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Gráfico de Frequência Absoluta</w:t>
      </w:r>
    </w:p>
    <w:p>
      <w:r>
        <w:drawing>
          <wp:inline xmlns:a="http://schemas.openxmlformats.org/drawingml/2006/main" xmlns:pic="http://schemas.openxmlformats.org/drawingml/2006/picture">
            <wp:extent cx="5852160" cy="2926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equencia_absolut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Análise</w:t>
      </w:r>
    </w:p>
    <w:p>
      <w:r>
        <w:br/>
        <w:t>As duas categorias com maior quantidade de escolas são ‘Municipal Rural’ e ‘Municipal Urbana’, com 65.436 (30,07%) e 65.273 (29,99%) escolas, respectivamente. Outras categorias com presença significativa são as escolas 'Privadas Urbanas' com 51675 (23.74%) e 'Estaduais Urbanas' com 26586 (12.22), embora em quantidades inferiores às prévias.</w:t>
        <w:br/>
        <w:br/>
        <w:br/>
        <w:t>As escolas municipais somam 60,06% do total de escolas do estado de São Paulo, enquanto as escolas privadas representam 24,19%. As escolas estaduais correspondem a apenas 15,42%, e as escolas federais têm uma participação mínima de 0,33%.</w:t>
        <w:br/>
        <w:br/>
        <w:br/>
        <w:t>A baixa representatividade de escolas federais (0,33%), especialmente quando se é comparado o cenário urbano (0,29%) ao rural (0,04%) e a frequência absoluta das escolas federais não igualizando a quantidade de escolas privadas rurais (a 3ª menor categoria), sugere uma presença limitada do governo federal em comparação a outros níveis de governo. Isso pode indicar uma falta de investimento ou de foco em políticas educacionais federais.</w:t>
        <w:br/>
        <w:br/>
        <w:br/>
        <w:t>Além disso, a discrepância significativa entre o número de escolas privadas em áreas rurais (0,45%) e em áreas urbanas (23,74%) pode ser uma reflexão da demanda, já que mais de 80% da população vive em áreas urbanas. No entanto, essa diferença não é tão pronunciada em outros tipos de dependência levantando a possibilidade de fatores mais relevantes incluem a diferença de renda e a disponibilidade de recursos entre áreas urbanas e rurais.</w:t>
        <w:br/>
        <w:br/>
        <w:br/>
        <w:t>Com a exceção das escolas municipais (onde a diferença entre ambas as categorias é menos de 0.1%), em todas as categorias, o setor urbano possui uma dominância quando comparado com o setor rural, onde as categorias urbanas mais que o triplo de presença quando comparado ao setor rural.</w:t>
        <w:br/>
        <w:br/>
        <w:br/>
        <w:t>Comparando as frequências relativas entre o setor rural e urbano de cada categoria, a diferença mais significativa está no setor privado com uma proporção aproximada de 96% isso se dá pelo motivo de uma área urbana possuir mais recursos para providenciar locais de ensinos privados e mais específicos.</w:t>
        <w:br/>
        <w:br/>
        <w:br/>
        <w:t>O setor estadual e federal também possui proporções aproximadas a favor do setor urbano, com uma diferença de 58% e 74% respectivamente, a dominância do setor Urbano em comparação ao Rural vem da Urbanização da capital de SP, que inflaciona os números a seu favor.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