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Caracterização das Escolas do Município de São Paulo</w:t>
      </w:r>
    </w:p>
    <w:p>
      <w:pPr>
        <w:pStyle w:val="Heading1"/>
      </w:pPr>
      <w:r>
        <w:t>Indicador-Resumo</w:t>
      </w:r>
    </w:p>
    <w:p>
      <w:r>
        <w:drawing>
          <wp:inline xmlns:a="http://schemas.openxmlformats.org/drawingml/2006/main" xmlns:pic="http://schemas.openxmlformats.org/drawingml/2006/picture">
            <wp:extent cx="5852160" cy="5363899"/>
            <wp:docPr id="1" name="Picture 1"/>
            <wp:cNvGraphicFramePr>
              <a:graphicFrameLocks noChangeAspect="1"/>
            </wp:cNvGraphicFramePr>
            <a:graphic>
              <a:graphicData uri="http://schemas.openxmlformats.org/drawingml/2006/picture">
                <pic:pic>
                  <pic:nvPicPr>
                    <pic:cNvPr id="0" name="correlacao.png"/>
                    <pic:cNvPicPr/>
                  </pic:nvPicPr>
                  <pic:blipFill>
                    <a:blip r:embed="rId9"/>
                    <a:stretch>
                      <a:fillRect/>
                    </a:stretch>
                  </pic:blipFill>
                  <pic:spPr>
                    <a:xfrm>
                      <a:off x="0" y="0"/>
                      <a:ext cx="5852160" cy="5363899"/>
                    </a:xfrm>
                    <a:prstGeom prst="rect"/>
                  </pic:spPr>
                </pic:pic>
              </a:graphicData>
            </a:graphic>
          </wp:inline>
        </w:drawing>
      </w:r>
    </w:p>
    <w:p>
      <w:r>
        <w:br/>
        <w:t>A fim de criar um heatmap de correlação, as variáveis categóricas foram quantificadas. Respostas binárias foram codificadas como "Sim" com valor 1 e "Não" com valor 0. No tipo de rede, "Nenhuma" e "Não informado" receberam o valor 0, "A Cabo" o valor 1, "Wireless" o valor 2, uma vez que essa tecnologia oferece mais flexibilidade e acessibilidade em comparação com a conexão a cabo, e "Ambas" o valor 3. Quanto à situação das unidades, "Extinta" foi representada por 0, "Paralisada" por 1 e "Ativa" por 2. As maiores correlações observadas foram: presença de laboratório de informática e quadra de esportes (0,61); laboratório de informática e sala de professores, e quadra de esportes e sala de professores (0,39); presença de banheiros e quantidade de computadores (0,37); laboratório de informática e quantidade de matrículas (0,34); e banheiro e sala de professores (0,31).</w:t>
        <w:br/>
        <w:br/>
        <w:t>A associação entre a presença de um laboratório de informática e outras amenidades, juntamente com a correlação entre a quantidade de matrículas e escolas que possuem laboratórios de informática, fortalece a justificativa para a escolha da quantidade de matrículas como indicador-resumo.</w:t>
        <w:br/>
        <w:br/>
        <w:t>As escolas foram segmentadas, baseando-se nos quartis da quantidade de matrículas, em diferentes portes: pequeno, médio, grande e muito grande. É importante considerar que os 14.18% das escolas extintas ou paralisadas não possuem salas ativas e estão incluídas entre as escolas de pequeno porte.</w:t>
        <w:br/>
      </w:r>
    </w:p>
    <w:p>
      <w:pPr>
        <w:pStyle w:val="Heading1"/>
      </w:pPr>
      <w:r>
        <w:t>Dados</w:t>
      </w:r>
    </w:p>
    <w:p>
      <w:pPr>
        <w:pStyle w:val="Heading2"/>
      </w:pPr>
      <w:r>
        <w:t>Variáveis Quantitativas</w:t>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QUANTITATIVAS.png"/>
                    <pic:cNvPicPr/>
                  </pic:nvPicPr>
                  <pic:blipFill>
                    <a:blip r:embed="rId10"/>
                    <a:stretch>
                      <a:fillRect/>
                    </a:stretch>
                  </pic:blipFill>
                  <pic:spPr>
                    <a:xfrm>
                      <a:off x="0" y="0"/>
                      <a:ext cx="5852160" cy="4389120"/>
                    </a:xfrm>
                    <a:prstGeom prst="rect"/>
                  </pic:spPr>
                </pic:pic>
              </a:graphicData>
            </a:graphic>
          </wp:inline>
        </w:drawing>
      </w:r>
    </w:p>
    <w:p>
      <w:r>
        <w:br/>
        <w:t>As variáveis de quantidade de matrículas e quantidade de salas utilizadas contêm valores atípicos que distorcem a análise. Para garantir maior precisão, utilizou-se o método do Intervalo Interquartil (IQR) para removê-los antes de gerar os histogramas</w:t>
        <w:br/>
      </w:r>
    </w:p>
    <w:p>
      <w:pPr>
        <w:pStyle w:val="Heading3"/>
      </w:pPr>
      <w:r>
        <w:t>Presença de Quantidade Salas Utilizadas</w:t>
      </w:r>
    </w:p>
    <w:tbl>
      <w:tblPr>
        <w:tblStyle w:val="LightList-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Média</w:t>
            </w:r>
          </w:p>
        </w:tc>
        <w:tc>
          <w:tcPr>
            <w:tcW w:type="dxa" w:w="1080"/>
          </w:tcPr>
          <w:p>
            <w:r>
              <w:t>Quartil 1 (25%)</w:t>
            </w:r>
          </w:p>
        </w:tc>
        <w:tc>
          <w:tcPr>
            <w:tcW w:type="dxa" w:w="1080"/>
          </w:tcPr>
          <w:p>
            <w:r>
              <w:t>Mediana (50%)</w:t>
            </w:r>
          </w:p>
        </w:tc>
        <w:tc>
          <w:tcPr>
            <w:tcW w:type="dxa" w:w="1080"/>
          </w:tcPr>
          <w:p>
            <w:r>
              <w:t>Quartil 3 (75%)</w:t>
            </w:r>
          </w:p>
        </w:tc>
        <w:tc>
          <w:tcPr>
            <w:tcW w:type="dxa" w:w="1080"/>
          </w:tcPr>
          <w:p>
            <w:r>
              <w:t>Mínimo</w:t>
            </w:r>
          </w:p>
        </w:tc>
        <w:tc>
          <w:tcPr>
            <w:tcW w:type="dxa" w:w="1080"/>
          </w:tcPr>
          <w:p>
            <w:r>
              <w:t>Máximo</w:t>
            </w:r>
          </w:p>
        </w:tc>
        <w:tc>
          <w:tcPr>
            <w:tcW w:type="dxa" w:w="1080"/>
          </w:tcPr>
          <w:p>
            <w:r>
              <w:t>Desvio Padrão</w:t>
            </w:r>
          </w:p>
        </w:tc>
        <w:tc>
          <w:tcPr>
            <w:tcW w:type="dxa" w:w="1080"/>
          </w:tcPr>
          <w:p>
            <w:r>
              <w:t>Coeficiente de Variação</w:t>
            </w:r>
          </w:p>
        </w:tc>
      </w:tr>
      <w:tr>
        <w:tc>
          <w:tcPr>
            <w:tcW w:type="dxa" w:w="1080"/>
          </w:tcPr>
          <w:p>
            <w:r>
              <w:t>11.13</w:t>
            </w:r>
          </w:p>
        </w:tc>
        <w:tc>
          <w:tcPr>
            <w:tcW w:type="dxa" w:w="1080"/>
          </w:tcPr>
          <w:p>
            <w:r>
              <w:t>5.0</w:t>
            </w:r>
          </w:p>
        </w:tc>
        <w:tc>
          <w:tcPr>
            <w:tcW w:type="dxa" w:w="1080"/>
          </w:tcPr>
          <w:p>
            <w:r>
              <w:t>9.0</w:t>
            </w:r>
          </w:p>
        </w:tc>
        <w:tc>
          <w:tcPr>
            <w:tcW w:type="dxa" w:w="1080"/>
          </w:tcPr>
          <w:p>
            <w:r>
              <w:t>14.0</w:t>
            </w:r>
          </w:p>
        </w:tc>
        <w:tc>
          <w:tcPr>
            <w:tcW w:type="dxa" w:w="1080"/>
          </w:tcPr>
          <w:p>
            <w:r>
              <w:t>0.0</w:t>
            </w:r>
          </w:p>
        </w:tc>
        <w:tc>
          <w:tcPr>
            <w:tcW w:type="dxa" w:w="1080"/>
          </w:tcPr>
          <w:p>
            <w:r>
              <w:t>2378.0</w:t>
            </w:r>
          </w:p>
        </w:tc>
        <w:tc>
          <w:tcPr>
            <w:tcW w:type="dxa" w:w="1080"/>
          </w:tcPr>
          <w:p>
            <w:r>
              <w:t>37.13</w:t>
            </w:r>
          </w:p>
        </w:tc>
        <w:tc>
          <w:tcPr>
            <w:tcW w:type="dxa" w:w="1080"/>
          </w:tcPr>
          <w:p>
            <w:r>
              <w:t>333.54</w:t>
            </w:r>
          </w:p>
        </w:tc>
      </w:tr>
    </w:tbl>
    <w:p>
      <w:r>
        <w:drawing>
          <wp:inline xmlns:a="http://schemas.openxmlformats.org/drawingml/2006/main" xmlns:pic="http://schemas.openxmlformats.org/drawingml/2006/picture">
            <wp:extent cx="5852160" cy="3431387"/>
            <wp:docPr id="3" name="Picture 3"/>
            <wp:cNvGraphicFramePr>
              <a:graphicFrameLocks noChangeAspect="1"/>
            </wp:cNvGraphicFramePr>
            <a:graphic>
              <a:graphicData uri="http://schemas.openxmlformats.org/drawingml/2006/picture">
                <pic:pic>
                  <pic:nvPicPr>
                    <pic:cNvPr id="0" name="QUANTIDADE_SALAS_UTILIZADAS.png"/>
                    <pic:cNvPicPr/>
                  </pic:nvPicPr>
                  <pic:blipFill>
                    <a:blip r:embed="rId11"/>
                    <a:stretch>
                      <a:fillRect/>
                    </a:stretch>
                  </pic:blipFill>
                  <pic:spPr>
                    <a:xfrm>
                      <a:off x="0" y="0"/>
                      <a:ext cx="5852160" cy="3431387"/>
                    </a:xfrm>
                    <a:prstGeom prst="rect"/>
                  </pic:spPr>
                </pic:pic>
              </a:graphicData>
            </a:graphic>
          </wp:inline>
        </w:drawing>
      </w:r>
    </w:p>
    <w:p>
      <w:pPr>
        <w:pStyle w:val="Heading3"/>
      </w:pPr>
      <w:r>
        <w:t>Presença de Quantidade Matriculas Basicas</w:t>
      </w:r>
    </w:p>
    <w:tbl>
      <w:tblPr>
        <w:tblStyle w:val="LightList-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Média</w:t>
            </w:r>
          </w:p>
        </w:tc>
        <w:tc>
          <w:tcPr>
            <w:tcW w:type="dxa" w:w="1080"/>
          </w:tcPr>
          <w:p>
            <w:r>
              <w:t>Quartil 1 (25%)</w:t>
            </w:r>
          </w:p>
        </w:tc>
        <w:tc>
          <w:tcPr>
            <w:tcW w:type="dxa" w:w="1080"/>
          </w:tcPr>
          <w:p>
            <w:r>
              <w:t>Mediana (50%)</w:t>
            </w:r>
          </w:p>
        </w:tc>
        <w:tc>
          <w:tcPr>
            <w:tcW w:type="dxa" w:w="1080"/>
          </w:tcPr>
          <w:p>
            <w:r>
              <w:t>Quartil 3 (75%)</w:t>
            </w:r>
          </w:p>
        </w:tc>
        <w:tc>
          <w:tcPr>
            <w:tcW w:type="dxa" w:w="1080"/>
          </w:tcPr>
          <w:p>
            <w:r>
              <w:t>Mínimo</w:t>
            </w:r>
          </w:p>
        </w:tc>
        <w:tc>
          <w:tcPr>
            <w:tcW w:type="dxa" w:w="1080"/>
          </w:tcPr>
          <w:p>
            <w:r>
              <w:t>Máximo</w:t>
            </w:r>
          </w:p>
        </w:tc>
        <w:tc>
          <w:tcPr>
            <w:tcW w:type="dxa" w:w="1080"/>
          </w:tcPr>
          <w:p>
            <w:r>
              <w:t>Desvio Padrão</w:t>
            </w:r>
          </w:p>
        </w:tc>
        <w:tc>
          <w:tcPr>
            <w:tcW w:type="dxa" w:w="1080"/>
          </w:tcPr>
          <w:p>
            <w:r>
              <w:t>Coeficiente de Variação</w:t>
            </w:r>
          </w:p>
        </w:tc>
      </w:tr>
      <w:tr>
        <w:tc>
          <w:tcPr>
            <w:tcW w:type="dxa" w:w="1080"/>
          </w:tcPr>
          <w:p>
            <w:r>
              <w:t>316.03</w:t>
            </w:r>
          </w:p>
        </w:tc>
        <w:tc>
          <w:tcPr>
            <w:tcW w:type="dxa" w:w="1080"/>
          </w:tcPr>
          <w:p>
            <w:r>
              <w:t>60.0</w:t>
            </w:r>
          </w:p>
        </w:tc>
        <w:tc>
          <w:tcPr>
            <w:tcW w:type="dxa" w:w="1080"/>
          </w:tcPr>
          <w:p>
            <w:r>
              <w:t>142.0</w:t>
            </w:r>
          </w:p>
        </w:tc>
        <w:tc>
          <w:tcPr>
            <w:tcW w:type="dxa" w:w="1080"/>
          </w:tcPr>
          <w:p>
            <w:r>
              <w:t>426.0</w:t>
            </w:r>
          </w:p>
        </w:tc>
        <w:tc>
          <w:tcPr>
            <w:tcW w:type="dxa" w:w="1080"/>
          </w:tcPr>
          <w:p>
            <w:r>
              <w:t>0.0</w:t>
            </w:r>
          </w:p>
        </w:tc>
        <w:tc>
          <w:tcPr>
            <w:tcW w:type="dxa" w:w="1080"/>
          </w:tcPr>
          <w:p>
            <w:r>
              <w:t>51791.0</w:t>
            </w:r>
          </w:p>
        </w:tc>
        <w:tc>
          <w:tcPr>
            <w:tcW w:type="dxa" w:w="1080"/>
          </w:tcPr>
          <w:p>
            <w:r>
              <w:t>701.44</w:t>
            </w:r>
          </w:p>
        </w:tc>
        <w:tc>
          <w:tcPr>
            <w:tcW w:type="dxa" w:w="1080"/>
          </w:tcPr>
          <w:p>
            <w:r>
              <w:t>221.96</w:t>
            </w:r>
          </w:p>
        </w:tc>
      </w:tr>
    </w:tbl>
    <w:p>
      <w:r>
        <w:drawing>
          <wp:inline xmlns:a="http://schemas.openxmlformats.org/drawingml/2006/main" xmlns:pic="http://schemas.openxmlformats.org/drawingml/2006/picture">
            <wp:extent cx="5852160" cy="3473991"/>
            <wp:docPr id="4" name="Picture 4"/>
            <wp:cNvGraphicFramePr>
              <a:graphicFrameLocks noChangeAspect="1"/>
            </wp:cNvGraphicFramePr>
            <a:graphic>
              <a:graphicData uri="http://schemas.openxmlformats.org/drawingml/2006/picture">
                <pic:pic>
                  <pic:nvPicPr>
                    <pic:cNvPr id="0" name="QUANTIDADE_MATRICULAS_BASICAS.png"/>
                    <pic:cNvPicPr/>
                  </pic:nvPicPr>
                  <pic:blipFill>
                    <a:blip r:embed="rId12"/>
                    <a:stretch>
                      <a:fillRect/>
                    </a:stretch>
                  </pic:blipFill>
                  <pic:spPr>
                    <a:xfrm>
                      <a:off x="0" y="0"/>
                      <a:ext cx="5852160" cy="3473991"/>
                    </a:xfrm>
                    <a:prstGeom prst="rect"/>
                  </pic:spPr>
                </pic:pic>
              </a:graphicData>
            </a:graphic>
          </wp:inline>
        </w:drawing>
      </w:r>
    </w:p>
    <w:p>
      <w:pPr>
        <w:pStyle w:val="Heading2"/>
      </w:pPr>
      <w:r>
        <w:t>Variáveis Categóricas</w:t>
      </w:r>
    </w:p>
    <w:p>
      <w:pPr>
        <w:pStyle w:val="Heading3"/>
      </w:pPr>
      <w:r>
        <w:t>Situacao Funcionamento</w:t>
      </w:r>
    </w:p>
    <w:p>
      <w:r>
        <w:drawing>
          <wp:inline xmlns:a="http://schemas.openxmlformats.org/drawingml/2006/main" xmlns:pic="http://schemas.openxmlformats.org/drawingml/2006/picture">
            <wp:extent cx="5852160" cy="4389120"/>
            <wp:docPr id="5" name="Picture 5"/>
            <wp:cNvGraphicFramePr>
              <a:graphicFrameLocks noChangeAspect="1"/>
            </wp:cNvGraphicFramePr>
            <a:graphic>
              <a:graphicData uri="http://schemas.openxmlformats.org/drawingml/2006/picture">
                <pic:pic>
                  <pic:nvPicPr>
                    <pic:cNvPr id="0" name="SITUACAO_FUNCIONAMENTO.png"/>
                    <pic:cNvPicPr/>
                  </pic:nvPicPr>
                  <pic:blipFill>
                    <a:blip r:embed="rId13"/>
                    <a:stretch>
                      <a:fillRect/>
                    </a:stretch>
                  </pic:blipFill>
                  <pic:spPr>
                    <a:xfrm>
                      <a:off x="0" y="0"/>
                      <a:ext cx="5852160" cy="4389120"/>
                    </a:xfrm>
                    <a:prstGeom prst="rect"/>
                  </pic:spPr>
                </pic:pic>
              </a:graphicData>
            </a:graphic>
          </wp:inline>
        </w:drawing>
      </w:r>
    </w:p>
    <w:p>
      <w:pPr>
        <w:pStyle w:val="Heading3"/>
      </w:pPr>
      <w:r>
        <w:t>Rede Local</w:t>
      </w:r>
    </w:p>
    <w:p>
      <w:r>
        <w:drawing>
          <wp:inline xmlns:a="http://schemas.openxmlformats.org/drawingml/2006/main" xmlns:pic="http://schemas.openxmlformats.org/drawingml/2006/picture">
            <wp:extent cx="5852160" cy="4389120"/>
            <wp:docPr id="6" name="Picture 6"/>
            <wp:cNvGraphicFramePr>
              <a:graphicFrameLocks noChangeAspect="1"/>
            </wp:cNvGraphicFramePr>
            <a:graphic>
              <a:graphicData uri="http://schemas.openxmlformats.org/drawingml/2006/picture">
                <pic:pic>
                  <pic:nvPicPr>
                    <pic:cNvPr id="0" name="REDE_LOCAL.png"/>
                    <pic:cNvPicPr/>
                  </pic:nvPicPr>
                  <pic:blipFill>
                    <a:blip r:embed="rId14"/>
                    <a:stretch>
                      <a:fillRect/>
                    </a:stretch>
                  </pic:blipFill>
                  <pic:spPr>
                    <a:xfrm>
                      <a:off x="0" y="0"/>
                      <a:ext cx="5852160" cy="4389120"/>
                    </a:xfrm>
                    <a:prstGeom prst="rect"/>
                  </pic:spPr>
                </pic:pic>
              </a:graphicData>
            </a:graphic>
          </wp:inline>
        </w:drawing>
      </w:r>
    </w:p>
    <w:p>
      <w:pPr>
        <w:pStyle w:val="Heading3"/>
      </w:pPr>
      <w:r>
        <w:t>Presença de Energia Rede Publica</w:t>
      </w:r>
    </w:p>
    <w:p>
      <w:r>
        <w:drawing>
          <wp:inline xmlns:a="http://schemas.openxmlformats.org/drawingml/2006/main" xmlns:pic="http://schemas.openxmlformats.org/drawingml/2006/picture">
            <wp:extent cx="5852160" cy="4389120"/>
            <wp:docPr id="7" name="Picture 7"/>
            <wp:cNvGraphicFramePr>
              <a:graphicFrameLocks noChangeAspect="1"/>
            </wp:cNvGraphicFramePr>
            <a:graphic>
              <a:graphicData uri="http://schemas.openxmlformats.org/drawingml/2006/picture">
                <pic:pic>
                  <pic:nvPicPr>
                    <pic:cNvPr id="0" name="ENERGIA_REDE_PUBLICA.png"/>
                    <pic:cNvPicPr/>
                  </pic:nvPicPr>
                  <pic:blipFill>
                    <a:blip r:embed="rId15"/>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8" name="Picture 8"/>
            <wp:cNvGraphicFramePr>
              <a:graphicFrameLocks noChangeAspect="1"/>
            </wp:cNvGraphicFramePr>
            <a:graphic>
              <a:graphicData uri="http://schemas.openxmlformats.org/drawingml/2006/picture">
                <pic:pic>
                  <pic:nvPicPr>
                    <pic:cNvPr id="0" name="SIZE_ENERGIA_REDE_PUBLICA.png"/>
                    <pic:cNvPicPr/>
                  </pic:nvPicPr>
                  <pic:blipFill>
                    <a:blip r:embed="rId16"/>
                    <a:stretch>
                      <a:fillRect/>
                    </a:stretch>
                  </pic:blipFill>
                  <pic:spPr>
                    <a:xfrm>
                      <a:off x="0" y="0"/>
                      <a:ext cx="5852160" cy="4389120"/>
                    </a:xfrm>
                    <a:prstGeom prst="rect"/>
                  </pic:spPr>
                </pic:pic>
              </a:graphicData>
            </a:graphic>
          </wp:inline>
        </w:drawing>
      </w:r>
    </w:p>
    <w:p>
      <w:pPr>
        <w:pStyle w:val="Heading3"/>
      </w:pPr>
      <w:r>
        <w:t>Presença de Banheiro</w:t>
      </w:r>
    </w:p>
    <w:p>
      <w:r>
        <w:drawing>
          <wp:inline xmlns:a="http://schemas.openxmlformats.org/drawingml/2006/main" xmlns:pic="http://schemas.openxmlformats.org/drawingml/2006/picture">
            <wp:extent cx="5852160" cy="4389120"/>
            <wp:docPr id="9" name="Picture 9"/>
            <wp:cNvGraphicFramePr>
              <a:graphicFrameLocks noChangeAspect="1"/>
            </wp:cNvGraphicFramePr>
            <a:graphic>
              <a:graphicData uri="http://schemas.openxmlformats.org/drawingml/2006/picture">
                <pic:pic>
                  <pic:nvPicPr>
                    <pic:cNvPr id="0" name="BANHEIRO.png"/>
                    <pic:cNvPicPr/>
                  </pic:nvPicPr>
                  <pic:blipFill>
                    <a:blip r:embed="rId17"/>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10" name="Picture 10"/>
            <wp:cNvGraphicFramePr>
              <a:graphicFrameLocks noChangeAspect="1"/>
            </wp:cNvGraphicFramePr>
            <a:graphic>
              <a:graphicData uri="http://schemas.openxmlformats.org/drawingml/2006/picture">
                <pic:pic>
                  <pic:nvPicPr>
                    <pic:cNvPr id="0" name="SIZE_BANHEIRO.png"/>
                    <pic:cNvPicPr/>
                  </pic:nvPicPr>
                  <pic:blipFill>
                    <a:blip r:embed="rId18"/>
                    <a:stretch>
                      <a:fillRect/>
                    </a:stretch>
                  </pic:blipFill>
                  <pic:spPr>
                    <a:xfrm>
                      <a:off x="0" y="0"/>
                      <a:ext cx="5852160" cy="4389120"/>
                    </a:xfrm>
                    <a:prstGeom prst="rect"/>
                  </pic:spPr>
                </pic:pic>
              </a:graphicData>
            </a:graphic>
          </wp:inline>
        </w:drawing>
      </w:r>
    </w:p>
    <w:p>
      <w:pPr>
        <w:pStyle w:val="Heading3"/>
      </w:pPr>
      <w:r>
        <w:t>Presença de Biblioteca</w:t>
      </w:r>
    </w:p>
    <w:p>
      <w:r>
        <w:drawing>
          <wp:inline xmlns:a="http://schemas.openxmlformats.org/drawingml/2006/main" xmlns:pic="http://schemas.openxmlformats.org/drawingml/2006/picture">
            <wp:extent cx="5852160" cy="4389120"/>
            <wp:docPr id="11" name="Picture 11"/>
            <wp:cNvGraphicFramePr>
              <a:graphicFrameLocks noChangeAspect="1"/>
            </wp:cNvGraphicFramePr>
            <a:graphic>
              <a:graphicData uri="http://schemas.openxmlformats.org/drawingml/2006/picture">
                <pic:pic>
                  <pic:nvPicPr>
                    <pic:cNvPr id="0" name="BIBLIOTECA.png"/>
                    <pic:cNvPicPr/>
                  </pic:nvPicPr>
                  <pic:blipFill>
                    <a:blip r:embed="rId19"/>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12" name="Picture 12"/>
            <wp:cNvGraphicFramePr>
              <a:graphicFrameLocks noChangeAspect="1"/>
            </wp:cNvGraphicFramePr>
            <a:graphic>
              <a:graphicData uri="http://schemas.openxmlformats.org/drawingml/2006/picture">
                <pic:pic>
                  <pic:nvPicPr>
                    <pic:cNvPr id="0" name="SIZE_BIBLIOTECA.png"/>
                    <pic:cNvPicPr/>
                  </pic:nvPicPr>
                  <pic:blipFill>
                    <a:blip r:embed="rId20"/>
                    <a:stretch>
                      <a:fillRect/>
                    </a:stretch>
                  </pic:blipFill>
                  <pic:spPr>
                    <a:xfrm>
                      <a:off x="0" y="0"/>
                      <a:ext cx="5852160" cy="4389120"/>
                    </a:xfrm>
                    <a:prstGeom prst="rect"/>
                  </pic:spPr>
                </pic:pic>
              </a:graphicData>
            </a:graphic>
          </wp:inline>
        </w:drawing>
      </w:r>
    </w:p>
    <w:p>
      <w:pPr>
        <w:pStyle w:val="Heading3"/>
      </w:pPr>
      <w:r>
        <w:t>Presença de Laboratorio Informatica</w:t>
      </w:r>
    </w:p>
    <w:p>
      <w:r>
        <w:drawing>
          <wp:inline xmlns:a="http://schemas.openxmlformats.org/drawingml/2006/main" xmlns:pic="http://schemas.openxmlformats.org/drawingml/2006/picture">
            <wp:extent cx="5852160" cy="4389120"/>
            <wp:docPr id="13" name="Picture 13"/>
            <wp:cNvGraphicFramePr>
              <a:graphicFrameLocks noChangeAspect="1"/>
            </wp:cNvGraphicFramePr>
            <a:graphic>
              <a:graphicData uri="http://schemas.openxmlformats.org/drawingml/2006/picture">
                <pic:pic>
                  <pic:nvPicPr>
                    <pic:cNvPr id="0" name="LABORATORIO_INFORMATICA.png"/>
                    <pic:cNvPicPr/>
                  </pic:nvPicPr>
                  <pic:blipFill>
                    <a:blip r:embed="rId21"/>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14" name="Picture 14"/>
            <wp:cNvGraphicFramePr>
              <a:graphicFrameLocks noChangeAspect="1"/>
            </wp:cNvGraphicFramePr>
            <a:graphic>
              <a:graphicData uri="http://schemas.openxmlformats.org/drawingml/2006/picture">
                <pic:pic>
                  <pic:nvPicPr>
                    <pic:cNvPr id="0" name="SIZE_LABORATORIO_INFORMATICA.png"/>
                    <pic:cNvPicPr/>
                  </pic:nvPicPr>
                  <pic:blipFill>
                    <a:blip r:embed="rId22"/>
                    <a:stretch>
                      <a:fillRect/>
                    </a:stretch>
                  </pic:blipFill>
                  <pic:spPr>
                    <a:xfrm>
                      <a:off x="0" y="0"/>
                      <a:ext cx="5852160" cy="4389120"/>
                    </a:xfrm>
                    <a:prstGeom prst="rect"/>
                  </pic:spPr>
                </pic:pic>
              </a:graphicData>
            </a:graphic>
          </wp:inline>
        </w:drawing>
      </w:r>
    </w:p>
    <w:p>
      <w:pPr>
        <w:pStyle w:val="Heading3"/>
      </w:pPr>
      <w:r>
        <w:t>Presença de Quadra Esportes</w:t>
      </w:r>
    </w:p>
    <w:p>
      <w:r>
        <w:drawing>
          <wp:inline xmlns:a="http://schemas.openxmlformats.org/drawingml/2006/main" xmlns:pic="http://schemas.openxmlformats.org/drawingml/2006/picture">
            <wp:extent cx="5852160" cy="4389120"/>
            <wp:docPr id="15" name="Picture 15"/>
            <wp:cNvGraphicFramePr>
              <a:graphicFrameLocks noChangeAspect="1"/>
            </wp:cNvGraphicFramePr>
            <a:graphic>
              <a:graphicData uri="http://schemas.openxmlformats.org/drawingml/2006/picture">
                <pic:pic>
                  <pic:nvPicPr>
                    <pic:cNvPr id="0" name="QUADRA_ESPORTES.png"/>
                    <pic:cNvPicPr/>
                  </pic:nvPicPr>
                  <pic:blipFill>
                    <a:blip r:embed="rId23"/>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16" name="Picture 16"/>
            <wp:cNvGraphicFramePr>
              <a:graphicFrameLocks noChangeAspect="1"/>
            </wp:cNvGraphicFramePr>
            <a:graphic>
              <a:graphicData uri="http://schemas.openxmlformats.org/drawingml/2006/picture">
                <pic:pic>
                  <pic:nvPicPr>
                    <pic:cNvPr id="0" name="SIZE_QUADRA_ESPORTES.png"/>
                    <pic:cNvPicPr/>
                  </pic:nvPicPr>
                  <pic:blipFill>
                    <a:blip r:embed="rId24"/>
                    <a:stretch>
                      <a:fillRect/>
                    </a:stretch>
                  </pic:blipFill>
                  <pic:spPr>
                    <a:xfrm>
                      <a:off x="0" y="0"/>
                      <a:ext cx="5852160" cy="4389120"/>
                    </a:xfrm>
                    <a:prstGeom prst="rect"/>
                  </pic:spPr>
                </pic:pic>
              </a:graphicData>
            </a:graphic>
          </wp:inline>
        </w:drawing>
      </w:r>
    </w:p>
    <w:p>
      <w:pPr>
        <w:pStyle w:val="Heading3"/>
      </w:pPr>
      <w:r>
        <w:t>Presença de Refeitorio</w:t>
      </w:r>
    </w:p>
    <w:p>
      <w:r>
        <w:drawing>
          <wp:inline xmlns:a="http://schemas.openxmlformats.org/drawingml/2006/main" xmlns:pic="http://schemas.openxmlformats.org/drawingml/2006/picture">
            <wp:extent cx="5852160" cy="4389120"/>
            <wp:docPr id="17" name="Picture 17"/>
            <wp:cNvGraphicFramePr>
              <a:graphicFrameLocks noChangeAspect="1"/>
            </wp:cNvGraphicFramePr>
            <a:graphic>
              <a:graphicData uri="http://schemas.openxmlformats.org/drawingml/2006/picture">
                <pic:pic>
                  <pic:nvPicPr>
                    <pic:cNvPr id="0" name="REFEITORIO.png"/>
                    <pic:cNvPicPr/>
                  </pic:nvPicPr>
                  <pic:blipFill>
                    <a:blip r:embed="rId25"/>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18" name="Picture 18"/>
            <wp:cNvGraphicFramePr>
              <a:graphicFrameLocks noChangeAspect="1"/>
            </wp:cNvGraphicFramePr>
            <a:graphic>
              <a:graphicData uri="http://schemas.openxmlformats.org/drawingml/2006/picture">
                <pic:pic>
                  <pic:nvPicPr>
                    <pic:cNvPr id="0" name="SIZE_REFEITORIO.png"/>
                    <pic:cNvPicPr/>
                  </pic:nvPicPr>
                  <pic:blipFill>
                    <a:blip r:embed="rId26"/>
                    <a:stretch>
                      <a:fillRect/>
                    </a:stretch>
                  </pic:blipFill>
                  <pic:spPr>
                    <a:xfrm>
                      <a:off x="0" y="0"/>
                      <a:ext cx="5852160" cy="4389120"/>
                    </a:xfrm>
                    <a:prstGeom prst="rect"/>
                  </pic:spPr>
                </pic:pic>
              </a:graphicData>
            </a:graphic>
          </wp:inline>
        </w:drawing>
      </w:r>
    </w:p>
    <w:p>
      <w:pPr>
        <w:pStyle w:val="Heading3"/>
      </w:pPr>
      <w:r>
        <w:t>Presença de Computador</w:t>
      </w:r>
    </w:p>
    <w:p>
      <w:r>
        <w:drawing>
          <wp:inline xmlns:a="http://schemas.openxmlformats.org/drawingml/2006/main" xmlns:pic="http://schemas.openxmlformats.org/drawingml/2006/picture">
            <wp:extent cx="5852160" cy="4389120"/>
            <wp:docPr id="19" name="Picture 19"/>
            <wp:cNvGraphicFramePr>
              <a:graphicFrameLocks noChangeAspect="1"/>
            </wp:cNvGraphicFramePr>
            <a:graphic>
              <a:graphicData uri="http://schemas.openxmlformats.org/drawingml/2006/picture">
                <pic:pic>
                  <pic:nvPicPr>
                    <pic:cNvPr id="0" name="COMPUTADOR.png"/>
                    <pic:cNvPicPr/>
                  </pic:nvPicPr>
                  <pic:blipFill>
                    <a:blip r:embed="rId27"/>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20" name="Picture 20"/>
            <wp:cNvGraphicFramePr>
              <a:graphicFrameLocks noChangeAspect="1"/>
            </wp:cNvGraphicFramePr>
            <a:graphic>
              <a:graphicData uri="http://schemas.openxmlformats.org/drawingml/2006/picture">
                <pic:pic>
                  <pic:nvPicPr>
                    <pic:cNvPr id="0" name="SIZE_COMPUTADOR.png"/>
                    <pic:cNvPicPr/>
                  </pic:nvPicPr>
                  <pic:blipFill>
                    <a:blip r:embed="rId28"/>
                    <a:stretch>
                      <a:fillRect/>
                    </a:stretch>
                  </pic:blipFill>
                  <pic:spPr>
                    <a:xfrm>
                      <a:off x="0" y="0"/>
                      <a:ext cx="5852160" cy="4389120"/>
                    </a:xfrm>
                    <a:prstGeom prst="rect"/>
                  </pic:spPr>
                </pic:pic>
              </a:graphicData>
            </a:graphic>
          </wp:inline>
        </w:drawing>
      </w:r>
    </w:p>
    <w:p>
      <w:pPr>
        <w:pStyle w:val="Heading3"/>
      </w:pPr>
      <w:r>
        <w:t>Presença de Sala Professor</w:t>
      </w:r>
    </w:p>
    <w:p>
      <w:r>
        <w:drawing>
          <wp:inline xmlns:a="http://schemas.openxmlformats.org/drawingml/2006/main" xmlns:pic="http://schemas.openxmlformats.org/drawingml/2006/picture">
            <wp:extent cx="5852160" cy="4389120"/>
            <wp:docPr id="21" name="Picture 21"/>
            <wp:cNvGraphicFramePr>
              <a:graphicFrameLocks noChangeAspect="1"/>
            </wp:cNvGraphicFramePr>
            <a:graphic>
              <a:graphicData uri="http://schemas.openxmlformats.org/drawingml/2006/picture">
                <pic:pic>
                  <pic:nvPicPr>
                    <pic:cNvPr id="0" name="SALA_PROFESSOR.png"/>
                    <pic:cNvPicPr/>
                  </pic:nvPicPr>
                  <pic:blipFill>
                    <a:blip r:embed="rId29"/>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22" name="Picture 22"/>
            <wp:cNvGraphicFramePr>
              <a:graphicFrameLocks noChangeAspect="1"/>
            </wp:cNvGraphicFramePr>
            <a:graphic>
              <a:graphicData uri="http://schemas.openxmlformats.org/drawingml/2006/picture">
                <pic:pic>
                  <pic:nvPicPr>
                    <pic:cNvPr id="0" name="SIZE_SALA_PROFESSOR.png"/>
                    <pic:cNvPicPr/>
                  </pic:nvPicPr>
                  <pic:blipFill>
                    <a:blip r:embed="rId30"/>
                    <a:stretch>
                      <a:fillRect/>
                    </a:stretch>
                  </pic:blipFill>
                  <pic:spPr>
                    <a:xfrm>
                      <a:off x="0" y="0"/>
                      <a:ext cx="5852160" cy="4389120"/>
                    </a:xfrm>
                    <a:prstGeom prst="rect"/>
                  </pic:spPr>
                </pic:pic>
              </a:graphicData>
            </a:graphic>
          </wp:inline>
        </w:drawing>
      </w:r>
    </w:p>
    <w:p>
      <w:pPr>
        <w:pStyle w:val="Heading3"/>
      </w:pPr>
      <w:r>
        <w:t>Presença de Alimentacao</w:t>
      </w:r>
    </w:p>
    <w:p>
      <w:r>
        <w:drawing>
          <wp:inline xmlns:a="http://schemas.openxmlformats.org/drawingml/2006/main" xmlns:pic="http://schemas.openxmlformats.org/drawingml/2006/picture">
            <wp:extent cx="5852160" cy="4389120"/>
            <wp:docPr id="23" name="Picture 23"/>
            <wp:cNvGraphicFramePr>
              <a:graphicFrameLocks noChangeAspect="1"/>
            </wp:cNvGraphicFramePr>
            <a:graphic>
              <a:graphicData uri="http://schemas.openxmlformats.org/drawingml/2006/picture">
                <pic:pic>
                  <pic:nvPicPr>
                    <pic:cNvPr id="0" name="ALIMENTACAO.png"/>
                    <pic:cNvPicPr/>
                  </pic:nvPicPr>
                  <pic:blipFill>
                    <a:blip r:embed="rId31"/>
                    <a:stretch>
                      <a:fillRect/>
                    </a:stretch>
                  </pic:blipFill>
                  <pic:spPr>
                    <a:xfrm>
                      <a:off x="0" y="0"/>
                      <a:ext cx="5852160" cy="4389120"/>
                    </a:xfrm>
                    <a:prstGeom prst="rect"/>
                  </pic:spPr>
                </pic:pic>
              </a:graphicData>
            </a:graphic>
          </wp:inline>
        </w:drawing>
      </w:r>
    </w:p>
    <w:p>
      <w:r>
        <w:drawing>
          <wp:inline xmlns:a="http://schemas.openxmlformats.org/drawingml/2006/main" xmlns:pic="http://schemas.openxmlformats.org/drawingml/2006/picture">
            <wp:extent cx="5852160" cy="4389120"/>
            <wp:docPr id="24" name="Picture 24"/>
            <wp:cNvGraphicFramePr>
              <a:graphicFrameLocks noChangeAspect="1"/>
            </wp:cNvGraphicFramePr>
            <a:graphic>
              <a:graphicData uri="http://schemas.openxmlformats.org/drawingml/2006/picture">
                <pic:pic>
                  <pic:nvPicPr>
                    <pic:cNvPr id="0" name="SIZE_ALIMENTACAO.png"/>
                    <pic:cNvPicPr/>
                  </pic:nvPicPr>
                  <pic:blipFill>
                    <a:blip r:embed="rId32"/>
                    <a:stretch>
                      <a:fillRect/>
                    </a:stretch>
                  </pic:blipFill>
                  <pic:spPr>
                    <a:xfrm>
                      <a:off x="0" y="0"/>
                      <a:ext cx="5852160" cy="4389120"/>
                    </a:xfrm>
                    <a:prstGeom prst="rect"/>
                  </pic:spPr>
                </pic:pic>
              </a:graphicData>
            </a:graphic>
          </wp:inline>
        </w:drawing>
      </w:r>
    </w:p>
    <w:p>
      <w:pPr>
        <w:pStyle w:val="Heading1"/>
      </w:pPr>
      <w:r>
        <w:t>Análise</w:t>
      </w:r>
    </w:p>
    <w:p>
      <w:r>
        <w:br/>
        <w:t>Observou-se que 7,2% das escolas foram extintas e 6,9% estão paralisadas, impactando a oferta educacional.</w:t>
        <w:br/>
        <w:t xml:space="preserve">Mais de 75% das escolas têm acesso à internet, mas apenas 34.4% possuem acesso wireless. Apenas 0,1% das escolas não têm eletricidade, um dado positivo. Em relação aos banheiros, 5,5% das escolas não têm esse recurso, com maior incidência em escolas de médio porte. Mais de 72% das escolas não possuem bibliotecas, sendo que as de grande porte têm a maior proporção (20%) e as de médio porte a menor (9%) é possível que a internet tenha tornado bibliotecas uma prioridade secundária e escolas maiores tenham acesso mais confiável à rede. Especialmente porque escolas de médio porte possuem a maior ocorrência e essas frequentemente se mostraram como a segmentação com menos recursos. </w:t>
        <w:br/>
        <w:t>Quanto aos laboratórios de informática, as escolas muito grandes (80%) apresentam a maior proporção, seguidas pelas grandes (30%), enquanto as de médio porte têm a menor (6%). O mesmo padrão se aplica às quadras esportivas, com 85% das instituições muito grandes, 43% das grandes e 16% das escolas com médio porte. Isso indica que escolas que não são de porte muito grande tem uma infraestrutura menos apropriada para disponibilizar elementos escolares além de aulas padrões, resultando em matérias como Educação física ou informática não sendo ensinadas nessas instituições, 40% das escolas possuindo apenas rede local via cabo pode resultar em alunos sem acesso à internet.</w:t>
        <w:br/>
        <w:t xml:space="preserve">A análise das salas de professores mostra que a proporção de cada categoria aumenta com o tamanho das instituições, com valores de 43%, 52%, 77% e 96%. A média de salas de aula utilizadas também varia conforme o porte: 0,05 em escolas pequenas, 8,38 em médias, 12,06 em grandes e 20,68 em muito grandes, evidenciando ainda mais que instituições maiores possuem mais recursos. </w:t>
        <w:br/>
        <w:t>Em contrapartida, a presença de um refeitório na escola aparenta ser inversamente proporcional ao seu porte, com a maior porcentagem de escolas sem refeitório sendo as de grande porte (8.04%), enquanto as de baixo porte apresentam menos escolas com ausência de refeitórios (3.80%). Nossos dados indicam que é mais comum as escolas de porte médio com ausência alimentar (6.43%), e as de grande porte são menos comuns (4.82%).</w:t>
        <w:br/>
        <w:t>Apenas 0.01% das escolas não tem acesso a eletricidade, isso demonstra não só a urbanização da capital de São Paulo quase todas as escolas, incluindo de porte pequeno, tem acesso à tecnologia contemporânea. Contudo, mesmo urbanizado, escolas de porte menores sofrem com falta de certos recursos, incluindo uma quantidade boa de escolas faltando alimentação, salas de computador para uso educativo e alguma área esportiva, em muitas situações, escolas de médio porte possuíam menor incidência da infraestrutura analisada em comparação com escolas de menor porte. É possível que escolas de menor porte tenham mais apoio das comunidades em que elas estejam presentes e, portanto, maior assistência.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