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B1DF"/>
          <w:sz w:val="17"/>
          <w:szCs w:val="17"/>
        </w:rPr>
        <w:t xml:space="preserve">QA Automatizador · Semana 3 · Laboratorio</w:t>
      </w:r>
    </w:p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Matriz de trazabilidad v1</w:t>
      </w:r>
    </w:p>
    <w:p>
      <w:pPr>
        <w:spacing w:after="200"/>
      </w:pPr>
      <w:r>
        <w:rPr>
          <w:rFonts w:ascii="Arial" w:cs="Arial" w:eastAsia="Arial" w:hAnsi="Arial"/>
          <w:color w:val="5F6B76"/>
          <w:sz w:val="22"/>
          <w:szCs w:val="22"/>
        </w:rPr>
        <w:t xml:space="preserve">Proyecto: Sistema de Facturación y Gestión para Minimarket (TPV Minimarket v4.5, ambiente demo)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none" w:color="FFFFFF" w:sz="0"/>
              <w:left w:val="single" w:color="00B1DF" w:sz="24"/>
              <w:bottom w:val="none" w:color="FFFFFF" w:sz="0"/>
              <w:right w:val="none" w:color="FFFFFF" w:sz="0"/>
            </w:tcBorders>
            <w:shd w:fill="E8F6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del documento.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Relaciona cada requisito con sus casos, su estado y sus defectos. Cada defecto queda asociado a su requisito. Como el sistema no tiene manual de usuario, los requisitos se derivan de lo que muestra la pantalla, del documento de alcance y de WCAG 2.2. Los casos sin ejecutar se marcan </w:t>
            </w:r>
            <w:r>
              <w:rPr>
                <w:rFonts w:ascii="Arial" w:cs="Arial" w:eastAsia="Arial" w:hAnsi="Arial"/>
                <w:b/>
                <w:bCs/>
                <w:color w:val="B26B00"/>
                <w:sz w:val="19"/>
                <w:szCs w:val="19"/>
              </w:rPr>
              <w:t xml:space="preserve">POR EJECUTAR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270"/>
      </w:tblGrid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QA-MTZ-001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19-oct-2026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Gabriela Villanueva Martel (QA)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Documentos base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QA-ALC-001 · casos-manuales-v1 · tabla-decision-v1 · sesion-exploratoria-1 · reporte-defectos-v1</w:t>
            </w:r>
          </w:p>
        </w:tc>
      </w:tr>
      <w:tr>
        <w:tc>
          <w:tcPr>
            <w:tcW w:type="dxa" w:w="2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122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docs/matriz-trazabilidad-v1.docx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1. Requisitos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6870"/>
        <w:gridCol w:w="5500"/>
      </w:tblGrid>
      <w:tr>
        <w:trPr>
          <w:tblHeader/>
        </w:trP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agregar un producto con una cantidad válida, el subtotal de la línea es precio × cantidad.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Pantalla Punto de Venta (precio c/u y subtotal por línea)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cantidad en el carrito no puede superar el stock mostrado del producto (incluye productos con stock 0).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Pantalla Punto de Venta («Stock: 80», «Stock: 0»); riesgo R03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RQ-03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cantidad mínima es 1: cero y negativos se rechazan.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Regla de casos manuales v1, sección 1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cantidad vacía o no numérica se rechaza con un mensaje claro.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Regla de casos manuales v1, sección 1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RQ-05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M14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pantalla de inicio de sesión no muestra credenciales de acceso.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QA-ALC-001, M14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RQ-06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avisa con un mensaje en texto cuando el dato ingresado es inválido.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WCAG 2.2, pauta 3.3; heurística de prevención de errores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RQ-07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imágenes de los productos y el logo cargan o tienen texto alternativo.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WCAG 2.2, criterio 1.1.1</w:t>
            </w:r>
          </w:p>
        </w:tc>
      </w:tr>
      <w:tr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RQ-08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Punto de Venta se puede operar con teclado y el foco es visible.</w:t>
            </w:r>
          </w:p>
        </w:tc>
        <w:tc>
          <w:tcPr>
            <w:tcW w:type="dxa" w:w="5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WCAG 2.2, criterios 2.1.1 y 2.4.7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2. Matriz requisito → caso → defecto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100"/>
        <w:gridCol w:w="3620"/>
        <w:gridCol w:w="1000"/>
        <w:gridCol w:w="1900"/>
        <w:gridCol w:w="1500"/>
        <w:gridCol w:w="1500"/>
        <w:gridCol w:w="2700"/>
      </w:tblGrid>
      <w:tr>
        <w:trPr>
          <w:tblHeader/>
        </w:trP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caso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 defecto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CP-01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10 → subtotal S/65.00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CP-04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1 (límite inferior) → S/6.50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QPM-4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CP-05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2 → S/13.00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QPM-5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 / 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CP-06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79 → S/513.50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QPM-6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 / 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CP-07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80 (= stock) → S/520.00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QPM-7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CP-08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81 (stock + 1)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DEF-01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QPM-16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figura-1, figura-2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CP-09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82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QPM-8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CP-14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999999999 se rechaza (nuevo)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CP-18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Producto con stock 0 (Arroz Costeño), 3 unidades, se rechaza (nuevo, SE-01)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DEF-04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RQ-03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CP-02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0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RQ-03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CP-03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-1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QPM-3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CP-10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 vacía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QPM-9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CP-11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«abc» se rechaza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QPM-10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CP-12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Caracteres «@#$» se rechazan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QPM-11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CP-15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Alfanumérico «5abc» se rechaza (nuevo)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CP-16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espacios se rechaza (nuevo)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CP-17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 2.5 (nuevo; regla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CONFIRMAR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RQ-05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CP-13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login no muestra credenciales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QPM-13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DEF-02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QPM-17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figura-3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RQ-06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CP-08 / H1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en texto al superar el stock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QPM-12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DEF-01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QPM-16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figura-2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RQ-07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CP-19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 imágenes del logo y de los productos cargan en Punto de Venta (nuevo; H2, SE-01-H4)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Fallido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DEF-03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figura-1, figura-4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RQ-08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CP-20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Operar el carrito con productos solo con teclado: «–», «+» y Cobrar (nuevo; H3)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EJECUTAR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RQ-0_</w:t>
            </w:r>
          </w:p>
        </w:tc>
        <w:tc>
          <w:tcPr>
            <w:tcW w:type="dxa" w:w="11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CP-__</w:t>
            </w:r>
          </w:p>
        </w:tc>
        <w:tc>
          <w:tcPr>
            <w:tcW w:type="dxa" w:w="362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DEF-05 de la sesión exploratoria 2</w:t>
            </w:r>
          </w:p>
        </w:tc>
        <w:tc>
          <w:tcPr>
            <w:tcW w:type="dxa" w:w="1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9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DEF-05</w:t>
            </w:r>
          </w:p>
        </w:tc>
        <w:tc>
          <w:tcPr>
            <w:tcW w:type="dxa" w:w="15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  <w:tc>
          <w:tcPr>
            <w:tcW w:type="dxa" w:w="27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3. Huecos encontrados y casos creados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70"/>
        <w:gridCol w:w="6400"/>
      </w:tblGrid>
      <w:tr>
        <w:trPr>
          <w:tblHeader/>
        </w:trP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Hueco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había un caso para un producto con stock 0.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 CP-18 (encontrado en SE-01, Fallido → DEF-04).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había un caso con un valor muy grande.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 CP-14 (tabla de decisión, regla S2).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RQ-04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Faltaban entradas alfanuméricas, espacios y decimales.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crean CP-15, CP-16 y CP-17 (tabla de decisión, regla S4).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RQ-06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tenía el hallazgo H1, sin caso.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vincula a CP-08, cuyo resultado esperado incluye el mensaje.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RQ-07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tenía el hallazgo H2, sin caso ni defecto en Jira.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 CP-19 y se vincula a DEF-03.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RQ-08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prueba de teclado (H3) se hizo con el carrito vacío.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crea CP-20 con productos en el carrito.</w:t>
            </w:r>
          </w:p>
        </w:tc>
      </w:tr>
      <w:tr>
        <w:tc>
          <w:tcPr>
            <w:tcW w:type="dxa" w:w="13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M03 a M12</w:t>
            </w:r>
          </w:p>
        </w:tc>
        <w:tc>
          <w:tcPr>
            <w:tcW w:type="dxa" w:w="68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módulos de prioridad alta (salvo M02) no tienen requisitos.</w:t>
            </w:r>
          </w:p>
        </w:tc>
        <w:tc>
          <w:tcPr>
            <w:tcW w:type="dxa" w:w="64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Fuera de esta versión; se declaran no cubiertos (plan de pruebas, sección 3).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0B1DF" w:sz="6" w:space="4"/>
        </w:pBdr>
        <w:spacing w:after="140" w:before="320"/>
      </w:pPr>
      <w:r>
        <w:rPr>
          <w:rFonts w:ascii="Arial" w:cs="Arial" w:eastAsia="Arial" w:hAnsi="Arial"/>
        </w:rPr>
        <w:t xml:space="preserve">4. Resumen de cobertura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7570"/>
      </w:tblGrid>
      <w:tr>
        <w:trPr>
          <w:tblHeader/>
        </w:trPr>
        <w:tc>
          <w:tcPr>
            <w:tcW w:type="dxa" w:w="5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75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00B1D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5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Requisitos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5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RQ-01 a RQ-08, todos con al menos un caso</w:t>
            </w:r>
          </w:p>
        </w:tc>
      </w:tr>
      <w:tr>
        <w:tc>
          <w:tcPr>
            <w:tcW w:type="dxa" w:w="5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Casos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5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CP-01 a CP-13 (casos manuales v1) y CP-14 a CP-20 (nuevos)</w:t>
            </w:r>
          </w:p>
        </w:tc>
      </w:tr>
      <w:tr>
        <w:tc>
          <w:tcPr>
            <w:tcW w:type="dxa" w:w="5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Casos ejecutados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 20</w:t>
            </w:r>
          </w:p>
        </w:tc>
        <w:tc>
          <w:tcPr>
            <w:tcW w:type="dxa" w:w="75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CP-08, CP-13, CP-18 y CP-19, todos fallidos</w:t>
            </w:r>
          </w:p>
        </w:tc>
      </w:tr>
      <w:tr>
        <w:tc>
          <w:tcPr>
            <w:tcW w:type="dxa" w:w="5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Defectos vinculados a un requisito</w:t>
            </w:r>
          </w:p>
        </w:tc>
        <w:tc>
          <w:tcPr>
            <w:tcW w:type="dxa" w:w="20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 5</w:t>
            </w:r>
          </w:p>
        </w:tc>
        <w:tc>
          <w:tcPr>
            <w:tcW w:type="dxa" w:w="757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DEF-01 y DEF-04 → RQ-02 · DEF-02 → RQ-05 · DEF-03 → RQ-07 · DEF-05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POR COMPLETAR</w:t>
            </w:r>
          </w:p>
        </w:tc>
      </w:tr>
    </w:tbl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6A0"/>
        <w:sz w:val="16"/>
        <w:szCs w:val="16"/>
      </w:rPr>
      <w:t xml:space="preserve">Matriz de trazabilidad v1 · TPV Minimarket · QA Automatizador · Tecsup Virtual · Página </w:t>
    </w:r>
    <w:r>
      <w:rPr>
        <w:rFonts w:ascii="Arial" w:cs="Arial" w:eastAsia="Arial" w:hAnsi="Arial"/>
        <w:color w:val="8A9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A1F2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F2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2026-10-20T03:14:34.659Z</dcterms:created>
  <dcterms:modified xsi:type="dcterms:W3CDTF">2026-10-20T03:14:34.659Z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