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color w:val="64748B"/>
          <w:sz w:val="22"/>
        </w:rPr>
        <w:t>PROYECTO INVESTIC / EVA</w:t>
      </w:r>
    </w:p>
    <w:p>
      <w:pPr>
        <w:spacing w:before="480"/>
        <w:jc w:val="center"/>
      </w:pPr>
      <w:r>
        <w:rPr>
          <w:rFonts w:ascii="Arial" w:hAnsi="Arial"/>
          <w:b/>
          <w:color w:val="540D6E"/>
          <w:sz w:val="44"/>
        </w:rPr>
        <w:t>Instrumento de Evaluación de Software</w:t>
      </w:r>
    </w:p>
    <w:p>
      <w:pPr>
        <w:spacing w:before="120"/>
        <w:jc w:val="center"/>
      </w:pPr>
      <w:r>
        <w:rPr>
          <w:rFonts w:ascii="Arial" w:hAnsi="Arial"/>
          <w:b/>
          <w:color w:val="1E293B"/>
          <w:sz w:val="32"/>
        </w:rPr>
        <w:t>Plataforma EVA — Entorno Virtual de Aprendizaje</w:t>
      </w:r>
    </w:p>
    <w:p>
      <w:pPr>
        <w:spacing w:before="80"/>
        <w:jc w:val="center"/>
      </w:pPr>
      <w:r>
        <w:rPr>
          <w:rFonts w:ascii="Arial" w:hAnsi="Arial"/>
          <w:color w:val="64748B"/>
          <w:sz w:val="26"/>
        </w:rPr>
        <w:t>Evaluación de Funcionalidad y Usabilidad por Expertos</w:t>
      </w:r>
    </w:p>
    <w:p>
      <w:pPr>
        <w:spacing w:before="600" w:after="600"/>
        <w:jc w:val="center"/>
        <w:pBdr>
          <w:bottom w:val="single" w:sz="12" w:space="1" w:color="540D6E"/>
        </w:pBdr>
      </w:pPr>
    </w:p>
    <w:p>
      <w:pPr>
        <w:spacing w:after="80"/>
        <w:jc w:val="center"/>
      </w:pPr>
      <w:r>
        <w:rPr>
          <w:rFonts w:ascii="Arial" w:hAnsi="Arial"/>
          <w:b/>
          <w:color w:val="540D6E"/>
          <w:sz w:val="22"/>
        </w:rPr>
        <w:t xml:space="preserve">Dirigido a:  </w:t>
      </w:r>
      <w:r>
        <w:rPr>
          <w:rFonts w:ascii="Arial" w:hAnsi="Arial"/>
          <w:color w:val="1E293B"/>
          <w:sz w:val="22"/>
        </w:rPr>
        <w:t>Expertos en educación, tecnología educativa y diseño de software</w:t>
      </w:r>
    </w:p>
    <w:p>
      <w:pPr>
        <w:spacing w:after="80"/>
        <w:jc w:val="center"/>
      </w:pPr>
      <w:r>
        <w:rPr>
          <w:rFonts w:ascii="Arial" w:hAnsi="Arial"/>
          <w:b/>
          <w:color w:val="540D6E"/>
          <w:sz w:val="22"/>
        </w:rPr>
        <w:t xml:space="preserve">Estándar de referencia:  </w:t>
      </w:r>
      <w:r>
        <w:rPr>
          <w:rFonts w:ascii="Arial" w:hAnsi="Arial"/>
          <w:color w:val="1E293B"/>
          <w:sz w:val="22"/>
        </w:rPr>
        <w:t>ISO/IEC 25010 — Calidad del producto de software</w:t>
      </w:r>
    </w:p>
    <w:p>
      <w:pPr>
        <w:spacing w:after="80"/>
        <w:jc w:val="center"/>
      </w:pPr>
      <w:r>
        <w:rPr>
          <w:rFonts w:ascii="Arial" w:hAnsi="Arial"/>
          <w:b/>
          <w:color w:val="540D6E"/>
          <w:sz w:val="22"/>
        </w:rPr>
        <w:t xml:space="preserve">Metodología:  </w:t>
      </w:r>
      <w:r>
        <w:rPr>
          <w:rFonts w:ascii="Arial" w:hAnsi="Arial"/>
          <w:color w:val="1E293B"/>
          <w:sz w:val="22"/>
        </w:rPr>
        <w:t>Escala Likert (1–5) + preguntas abiertas</w:t>
      </w:r>
    </w:p>
    <w:p>
      <w:pPr>
        <w:spacing w:after="80"/>
        <w:jc w:val="center"/>
      </w:pPr>
      <w:r>
        <w:rPr>
          <w:rFonts w:ascii="Arial" w:hAnsi="Arial"/>
          <w:b/>
          <w:color w:val="540D6E"/>
          <w:sz w:val="22"/>
        </w:rPr>
        <w:t xml:space="preserve">Versión:  </w:t>
      </w:r>
      <w:r>
        <w:rPr>
          <w:rFonts w:ascii="Arial" w:hAnsi="Arial"/>
          <w:color w:val="1E293B"/>
          <w:sz w:val="22"/>
        </w:rPr>
        <w:t>1.0</w:t>
      </w:r>
    </w:p>
    <w:p>
      <w:r>
        <w:br w:type="page"/>
      </w:r>
    </w:p>
    <w:p>
      <w:pPr>
        <w:spacing w:before="120" w:after="120"/>
        <w:jc w:val="center"/>
        <w:shd w:val="clear" w:color="auto" w:fill="540D6E"/>
      </w:pPr>
      <w:r>
        <w:rPr>
          <w:rFonts w:ascii="Arial" w:hAnsi="Arial"/>
          <w:b/>
          <w:color w:val="FFFFFF"/>
          <w:sz w:val="32"/>
        </w:rPr>
        <w:t>PARTE I — FUNDAMENTACIÓN TEÓRICA</w:t>
      </w:r>
    </w:p>
    <w:p>
      <w:pPr>
        <w:spacing w:before="240" w:after="120"/>
      </w:pPr>
      <w:r>
        <w:rPr>
          <w:rFonts w:ascii="Arial" w:hAnsi="Arial"/>
          <w:b/>
          <w:color w:val="540D6E"/>
          <w:sz w:val="32"/>
        </w:rPr>
        <w:t>1. Introducción</w:t>
      </w:r>
    </w:p>
    <w:p>
      <w:pPr>
        <w:spacing w:before="0" w:after="80"/>
        <w:ind w:left="0"/>
        <w:jc w:val="both"/>
      </w:pPr>
      <w:r>
        <w:rPr>
          <w:rFonts w:ascii="Arial" w:hAnsi="Arial"/>
          <w:b w:val="0"/>
          <w:i w:val="0"/>
          <w:sz w:val="22"/>
        </w:rPr>
        <w:t>El presente instrumento forma parte del proyecto INVESTIC/EVA, cuyo objetivo es diseñar, desarrollar y validar una plataforma de gestión académica orientada a instituciones de educación básica. La plataforma EVA (Entorno Virtual de Aprendizaje) integra funcionalidades de autenticación diferenciada por roles, administración de usuarios y cursos, asignación de Objetos Virtuales de Aprendizaje (OVA), seguimiento de evaluaciones y generación de reportes.</w:t>
      </w:r>
    </w:p>
    <w:p>
      <w:pPr>
        <w:spacing w:before="0" w:after="80"/>
        <w:ind w:left="0"/>
        <w:jc w:val="both"/>
      </w:pPr>
      <w:r>
        <w:rPr>
          <w:rFonts w:ascii="Arial" w:hAnsi="Arial"/>
          <w:b w:val="0"/>
          <w:i w:val="0"/>
          <w:sz w:val="22"/>
        </w:rPr>
        <w:t>Con el propósito de garantizar que el sistema cumple los estándares internacionales de calidad del software, se diseñó este instrumento de evaluación para ser aplicado por expertos en educación y tecnología. La evaluación externa por parte de especialistas constituye una etapa fundamental del ciclo de vida del software, ya que permite identificar brechas funcionales y de usabilidad antes de la implantación definitiva en contextos reales.</w:t>
      </w:r>
    </w:p>
    <w:p>
      <w:pPr>
        <w:spacing w:before="0" w:after="80"/>
        <w:ind w:left="0"/>
        <w:jc w:val="both"/>
      </w:pPr>
      <w:r>
        <w:rPr>
          <w:rFonts w:ascii="Arial" w:hAnsi="Arial"/>
          <w:b w:val="0"/>
          <w:i w:val="0"/>
          <w:sz w:val="22"/>
        </w:rPr>
        <w:t>El instrumento está estructurado en dos partes: (I) una fundamentación teórica que sustenta metodológicamente las dimensiones evaluadas, y (II) el cuestionario de evaluación propiamente dicho, organizado en cuatro secciones (datos generales, funcionalidad, usabilidad y preguntas abiertas).</w:t>
      </w:r>
    </w:p>
    <w:p>
      <w:pPr>
        <w:spacing w:before="240" w:after="120"/>
      </w:pPr>
      <w:r>
        <w:rPr>
          <w:rFonts w:ascii="Arial" w:hAnsi="Arial"/>
          <w:b/>
          <w:color w:val="540D6E"/>
          <w:sz w:val="32"/>
        </w:rPr>
        <w:t>2. Evaluación de Software: Marco Conceptual</w:t>
      </w:r>
    </w:p>
    <w:p>
      <w:pPr>
        <w:spacing w:before="0" w:after="80"/>
        <w:ind w:left="0"/>
        <w:jc w:val="both"/>
      </w:pPr>
      <w:r>
        <w:rPr>
          <w:rFonts w:ascii="Arial" w:hAnsi="Arial"/>
          <w:b w:val="0"/>
          <w:i w:val="0"/>
          <w:sz w:val="22"/>
        </w:rPr>
        <w:t>La evaluación de software es el proceso sistemático mediante el cual se verifica que un producto de software satisface los requisitos especificados y cumple criterios de calidad predefinidos. Según Pressman (2010), la evaluación es una actividad de aseguramiento de calidad que acompaña todo el proceso de desarrollo, desde la elicitación de requisitos hasta la entrega del producto.</w:t>
      </w:r>
    </w:p>
    <w:p>
      <w:pPr>
        <w:spacing w:before="0" w:after="80"/>
        <w:ind w:left="0"/>
        <w:jc w:val="both"/>
      </w:pPr>
      <w:r>
        <w:rPr>
          <w:rFonts w:ascii="Arial" w:hAnsi="Arial"/>
          <w:b w:val="0"/>
          <w:i w:val="0"/>
          <w:sz w:val="22"/>
        </w:rPr>
        <w:t>Sommerville (2011) distingue entre validación —comprobar que el software hace lo que el cliente necesita— y verificación —comprobar que el software cumple la especificación. Ambas dimensiones son pertinentes para EVA: la validación se aborda mediante la evaluación de funcionalidad; la verificación, implícitamente, a través de las pruebas unitarias del sistema.</w:t>
      </w:r>
    </w:p>
    <w:p>
      <w:pPr>
        <w:spacing w:before="240" w:after="120"/>
      </w:pPr>
      <w:r>
        <w:rPr>
          <w:rFonts w:ascii="Arial" w:hAnsi="Arial"/>
          <w:b/>
          <w:color w:val="540D6E"/>
          <w:sz w:val="28"/>
        </w:rPr>
        <w:t>2.1 Proceso de evaluación según ISO/IEC 25040</w:t>
      </w:r>
    </w:p>
    <w:p>
      <w:pPr>
        <w:spacing w:before="0" w:after="80"/>
        <w:ind w:left="0"/>
        <w:jc w:val="both"/>
      </w:pPr>
      <w:r>
        <w:rPr>
          <w:rFonts w:ascii="Arial" w:hAnsi="Arial"/>
          <w:b w:val="0"/>
          <w:i w:val="0"/>
          <w:sz w:val="22"/>
        </w:rPr>
        <w:t>La norma ISO/IEC 25040 (SQuaRE — Software Measurement and Evaluation) establece un proceso de evaluación en cinco etapas:</w:t>
      </w:r>
    </w:p>
    <w:p>
      <w:pPr>
        <w:pStyle w:val="ListBullet"/>
        <w:spacing w:after="40" w:before="0"/>
        <w:ind w:left="283"/>
      </w:pPr>
      <w:r>
        <w:rPr>
          <w:rFonts w:ascii="Arial" w:hAnsi="Arial"/>
          <w:sz w:val="22"/>
        </w:rPr>
        <w:t>Establecer los requisitos de la evaluación: definir el propósito, el modelo de calidad y las métricas.</w:t>
      </w:r>
    </w:p>
    <w:p>
      <w:pPr>
        <w:pStyle w:val="ListBullet"/>
        <w:spacing w:after="40" w:before="0"/>
        <w:ind w:left="283"/>
      </w:pPr>
      <w:r>
        <w:rPr>
          <w:rFonts w:ascii="Arial" w:hAnsi="Arial"/>
          <w:sz w:val="22"/>
        </w:rPr>
        <w:t>Especificar la evaluación: seleccionar módulos y métricas cuantificables.</w:t>
      </w:r>
    </w:p>
    <w:p>
      <w:pPr>
        <w:pStyle w:val="ListBullet"/>
        <w:spacing w:after="40" w:before="0"/>
        <w:ind w:left="283"/>
      </w:pPr>
      <w:r>
        <w:rPr>
          <w:rFonts w:ascii="Arial" w:hAnsi="Arial"/>
          <w:sz w:val="22"/>
        </w:rPr>
        <w:t>Diseñar la evaluación: crear el plan de pruebas e instrumentos.</w:t>
      </w:r>
    </w:p>
    <w:p>
      <w:pPr>
        <w:pStyle w:val="ListBullet"/>
        <w:spacing w:after="40" w:before="0"/>
        <w:ind w:left="283"/>
      </w:pPr>
      <w:r>
        <w:rPr>
          <w:rFonts w:ascii="Arial" w:hAnsi="Arial"/>
          <w:sz w:val="22"/>
        </w:rPr>
        <w:t>Ejecutar la evaluación: aplicar el instrumento y recopilar datos.</w:t>
      </w:r>
    </w:p>
    <w:p>
      <w:pPr>
        <w:pStyle w:val="ListBullet"/>
        <w:spacing w:after="40" w:before="0"/>
        <w:ind w:left="283"/>
      </w:pPr>
      <w:r>
        <w:rPr>
          <w:rFonts w:ascii="Arial" w:hAnsi="Arial"/>
          <w:sz w:val="22"/>
        </w:rPr>
        <w:t>Concluir la evaluación: analizar resultados e informar hallazgos.</w:t>
      </w:r>
    </w:p>
    <w:p>
      <w:pPr>
        <w:spacing w:before="0" w:after="80"/>
        <w:ind w:left="0"/>
        <w:jc w:val="both"/>
      </w:pPr>
      <w:r>
        <w:rPr>
          <w:rFonts w:ascii="Arial" w:hAnsi="Arial"/>
          <w:b w:val="0"/>
          <w:i w:val="0"/>
          <w:sz w:val="22"/>
        </w:rPr>
        <w:t>Este instrumento corresponde a la etapa de diseño y ejecución de la evaluación, aplicando el modelo de calidad ISO/IEC 25010 como referente normativo.</w:t>
      </w:r>
    </w:p>
    <w:p>
      <w:pPr>
        <w:spacing w:before="240" w:after="120"/>
      </w:pPr>
      <w:r>
        <w:rPr>
          <w:rFonts w:ascii="Arial" w:hAnsi="Arial"/>
          <w:b/>
          <w:color w:val="540D6E"/>
          <w:sz w:val="32"/>
        </w:rPr>
        <w:t>3. Funcionalidad según ISO/IEC 25010</w:t>
      </w:r>
    </w:p>
    <w:p>
      <w:pPr>
        <w:spacing w:before="0" w:after="80"/>
        <w:ind w:left="0"/>
        <w:jc w:val="both"/>
      </w:pPr>
      <w:r>
        <w:rPr>
          <w:rFonts w:ascii="Arial" w:hAnsi="Arial"/>
          <w:b w:val="0"/>
          <w:i w:val="0"/>
          <w:sz w:val="22"/>
        </w:rPr>
        <w:t>La característica de adecuación funcional en ISO/IEC 25010 se subdivide en tres subcaracterísticas que guían la evaluación de los módulos de EVA:</w:t>
      </w:r>
    </w:p>
    <w:p>
      <w:pPr>
        <w:spacing w:before="240" w:after="120"/>
      </w:pPr>
      <w:r>
        <w:rPr>
          <w:rFonts w:ascii="Arial" w:hAnsi="Arial"/>
          <w:b/>
          <w:color w:val="540D6E"/>
          <w:sz w:val="28"/>
        </w:rPr>
        <w:t>3.1 Completitud funcional</w:t>
      </w:r>
    </w:p>
    <w:p>
      <w:pPr>
        <w:spacing w:before="0" w:after="80"/>
        <w:ind w:left="0"/>
        <w:jc w:val="both"/>
      </w:pPr>
      <w:r>
        <w:rPr>
          <w:rFonts w:ascii="Arial" w:hAnsi="Arial"/>
          <w:b w:val="0"/>
          <w:i w:val="0"/>
          <w:sz w:val="22"/>
        </w:rPr>
        <w:t>Grado en el que el conjunto de funciones cubre todas las tareas y objetivos de usuario especificados. En EVA, esto implica verificar que todos los módulos (autenticación, gestión de usuarios, cursos, OVA, evaluaciones, reportes y avatar) están implementados y accesibles según el rol del usuario (estudiante, docente, administrador).</w:t>
      </w:r>
    </w:p>
    <w:p>
      <w:pPr>
        <w:spacing w:before="240" w:after="120"/>
      </w:pPr>
      <w:r>
        <w:rPr>
          <w:rFonts w:ascii="Arial" w:hAnsi="Arial"/>
          <w:b/>
          <w:color w:val="540D6E"/>
          <w:sz w:val="28"/>
        </w:rPr>
        <w:t>3.2 Corrección funcional</w:t>
      </w:r>
    </w:p>
    <w:p>
      <w:pPr>
        <w:spacing w:before="0" w:after="80"/>
        <w:ind w:left="0"/>
        <w:jc w:val="both"/>
      </w:pPr>
      <w:r>
        <w:rPr>
          <w:rFonts w:ascii="Arial" w:hAnsi="Arial"/>
          <w:b w:val="0"/>
          <w:i w:val="0"/>
          <w:sz w:val="22"/>
        </w:rPr>
        <w:t>Grado en el que el producto proporciona resultados correctos con el nivel de precisión requerido. Se evalúa si las operaciones del sistema (registro de usuarios, asignación masiva, cálculo de promedios, generación de PDF) producen resultados exactos y sin errores lógicos.</w:t>
      </w:r>
    </w:p>
    <w:p>
      <w:pPr>
        <w:spacing w:before="240" w:after="120"/>
      </w:pPr>
      <w:r>
        <w:rPr>
          <w:rFonts w:ascii="Arial" w:hAnsi="Arial"/>
          <w:b/>
          <w:color w:val="540D6E"/>
          <w:sz w:val="28"/>
        </w:rPr>
        <w:t>3.3 Adecuación funcional</w:t>
      </w:r>
    </w:p>
    <w:p>
      <w:pPr>
        <w:spacing w:before="0" w:after="80"/>
        <w:ind w:left="0"/>
        <w:jc w:val="both"/>
      </w:pPr>
      <w:r>
        <w:rPr>
          <w:rFonts w:ascii="Arial" w:hAnsi="Arial"/>
          <w:b w:val="0"/>
          <w:i w:val="0"/>
          <w:sz w:val="22"/>
        </w:rPr>
        <w:t>Grado en el que las funciones facilitan el cumplimiento de las tareas y objetivos especificados. En el contexto de EVA, se refiere a la pertinencia pedagógica de los OVA, la claridad de los mecanismos de evaluación y la utilidad de los reportes para la toma de decisiones docentes.</w:t>
      </w:r>
    </w:p>
    <w:p>
      <w:pPr>
        <w:spacing w:before="240" w:after="120"/>
      </w:pPr>
      <w:r>
        <w:rPr>
          <w:rFonts w:ascii="Arial" w:hAnsi="Arial"/>
          <w:b/>
          <w:color w:val="540D6E"/>
          <w:sz w:val="32"/>
        </w:rPr>
        <w:t>4. Usabilidad: Modelos y Heurísticas</w:t>
      </w:r>
    </w:p>
    <w:p>
      <w:pPr>
        <w:spacing w:before="0" w:after="80"/>
        <w:ind w:left="0"/>
        <w:jc w:val="both"/>
      </w:pPr>
      <w:r>
        <w:rPr>
          <w:rFonts w:ascii="Arial" w:hAnsi="Arial"/>
          <w:b w:val="0"/>
          <w:i w:val="0"/>
          <w:sz w:val="22"/>
        </w:rPr>
        <w:t>La usabilidad es la capacidad de un producto de software para ser entendido, aprendido y usado por usuarios específicos, logrando objetivos específicos con efectividad, eficiencia y satisfacción en un contexto de uso determinado (ISO/IEC 25010, 2011).</w:t>
      </w:r>
    </w:p>
    <w:p>
      <w:pPr>
        <w:spacing w:before="240" w:after="120"/>
      </w:pPr>
      <w:r>
        <w:rPr>
          <w:rFonts w:ascii="Arial" w:hAnsi="Arial"/>
          <w:b/>
          <w:color w:val="540D6E"/>
          <w:sz w:val="28"/>
        </w:rPr>
        <w:t>4.1 Subcaracterísticas de usabilidad — ISO/IEC 25010</w:t>
      </w:r>
    </w:p>
    <w:p>
      <w:pPr>
        <w:pStyle w:val="ListBullet"/>
        <w:spacing w:after="40" w:before="0"/>
        <w:ind w:left="283"/>
      </w:pPr>
      <w:r>
        <w:rPr>
          <w:rFonts w:ascii="Arial" w:hAnsi="Arial"/>
          <w:sz w:val="22"/>
        </w:rPr>
        <w:t>Reconocibilidad de la adecuación: el usuario puede reconocer si el producto es adecuado para sus necesidades.</w:t>
      </w:r>
    </w:p>
    <w:p>
      <w:pPr>
        <w:pStyle w:val="ListBullet"/>
        <w:spacing w:after="40" w:before="0"/>
        <w:ind w:left="283"/>
      </w:pPr>
      <w:r>
        <w:rPr>
          <w:rFonts w:ascii="Arial" w:hAnsi="Arial"/>
          <w:sz w:val="22"/>
        </w:rPr>
        <w:t>Capacidad de aprendizaje: facilidad con la que los usuarios aprenden a usar el sistema.</w:t>
      </w:r>
    </w:p>
    <w:p>
      <w:pPr>
        <w:pStyle w:val="ListBullet"/>
        <w:spacing w:after="40" w:before="0"/>
        <w:ind w:left="283"/>
      </w:pPr>
      <w:r>
        <w:rPr>
          <w:rFonts w:ascii="Arial" w:hAnsi="Arial"/>
          <w:sz w:val="22"/>
        </w:rPr>
        <w:t>Operabilidad: facilidad de operación y control del sistema.</w:t>
      </w:r>
    </w:p>
    <w:p>
      <w:pPr>
        <w:pStyle w:val="ListBullet"/>
        <w:spacing w:after="40" w:before="0"/>
        <w:ind w:left="283"/>
      </w:pPr>
      <w:r>
        <w:rPr>
          <w:rFonts w:ascii="Arial" w:hAnsi="Arial"/>
          <w:sz w:val="22"/>
        </w:rPr>
        <w:t>Protección frente a errores de usuario: el sistema previene que el usuario cometa errores.</w:t>
      </w:r>
    </w:p>
    <w:p>
      <w:pPr>
        <w:pStyle w:val="ListBullet"/>
        <w:spacing w:after="40" w:before="0"/>
        <w:ind w:left="283"/>
      </w:pPr>
      <w:r>
        <w:rPr>
          <w:rFonts w:ascii="Arial" w:hAnsi="Arial"/>
          <w:sz w:val="22"/>
        </w:rPr>
        <w:t>Estética de la interfaz de usuario: la interfaz agrada visualmente al usuario.</w:t>
      </w:r>
    </w:p>
    <w:p>
      <w:pPr>
        <w:pStyle w:val="ListBullet"/>
        <w:spacing w:after="40" w:before="0"/>
        <w:ind w:left="283"/>
      </w:pPr>
      <w:r>
        <w:rPr>
          <w:rFonts w:ascii="Arial" w:hAnsi="Arial"/>
          <w:sz w:val="22"/>
        </w:rPr>
        <w:t>Accesibilidad: el producto puede ser usado por personas con diversas capacidades.</w:t>
      </w:r>
    </w:p>
    <w:p>
      <w:pPr>
        <w:spacing w:before="240" w:after="120"/>
      </w:pPr>
      <w:r>
        <w:rPr>
          <w:rFonts w:ascii="Arial" w:hAnsi="Arial"/>
          <w:b/>
          <w:color w:val="540D6E"/>
          <w:sz w:val="28"/>
        </w:rPr>
        <w:t>4.2 Las 10 heurísticas de Nielsen</w:t>
      </w:r>
    </w:p>
    <w:p>
      <w:pPr>
        <w:spacing w:before="0" w:after="80"/>
        <w:ind w:left="0"/>
        <w:jc w:val="both"/>
      </w:pPr>
      <w:r>
        <w:rPr>
          <w:rFonts w:ascii="Arial" w:hAnsi="Arial"/>
          <w:b w:val="0"/>
          <w:i w:val="0"/>
          <w:sz w:val="22"/>
        </w:rPr>
        <w:t>Nielsen (1994) estableció diez principios heurísticos para el diseño de interfaces de usuario, ampliamente adoptados como estándar de facto en la evaluación de usabilidad:</w:t>
      </w:r>
    </w:p>
    <w:p>
      <w:pPr>
        <w:spacing w:before="160" w:after="60"/>
      </w:pPr>
      <w:r>
        <w:rPr>
          <w:rFonts w:ascii="Arial" w:hAnsi="Arial"/>
          <w:b/>
          <w:color w:val="1E293B"/>
          <w:sz w:val="24"/>
        </w:rPr>
        <w:t>H1 — Visibilidad del estado del sistema</w:t>
      </w:r>
    </w:p>
    <w:p>
      <w:pPr>
        <w:spacing w:before="0" w:after="80"/>
        <w:ind w:left="0"/>
        <w:jc w:val="both"/>
      </w:pPr>
      <w:r>
        <w:rPr>
          <w:rFonts w:ascii="Arial" w:hAnsi="Arial"/>
          <w:b w:val="0"/>
          <w:i w:val="0"/>
          <w:sz w:val="22"/>
        </w:rPr>
        <w:t>El sistema debe mantener informados a los usuarios sobre lo que está ocurriendo, mediante retroalimentación apropiada dentro de un tiempo razonable. En EVA, esto se verifica a través de mensajes de confirmación, indicadores de carga y notificaciones de éxito o error.</w:t>
      </w:r>
    </w:p>
    <w:p>
      <w:pPr>
        <w:spacing w:before="160" w:after="60"/>
      </w:pPr>
      <w:r>
        <w:rPr>
          <w:rFonts w:ascii="Arial" w:hAnsi="Arial"/>
          <w:b/>
          <w:color w:val="1E293B"/>
          <w:sz w:val="24"/>
        </w:rPr>
        <w:t>H2 — Correspondencia entre el sistema y el mundo real</w:t>
      </w:r>
    </w:p>
    <w:p>
      <w:pPr>
        <w:spacing w:before="0" w:after="80"/>
        <w:ind w:left="0"/>
        <w:jc w:val="both"/>
      </w:pPr>
      <w:r>
        <w:rPr>
          <w:rFonts w:ascii="Arial" w:hAnsi="Arial"/>
          <w:b w:val="0"/>
          <w:i w:val="0"/>
          <w:sz w:val="22"/>
        </w:rPr>
        <w:t>El sistema debe hablar el idioma del usuario, con palabras, frases y conceptos familiares. EVA utiliza terminología educativa estándar (curso, estudiante, calificación) y avatares con nombres en español para favorecer la identificación.</w:t>
      </w:r>
    </w:p>
    <w:p>
      <w:pPr>
        <w:spacing w:before="160" w:after="60"/>
      </w:pPr>
      <w:r>
        <w:rPr>
          <w:rFonts w:ascii="Arial" w:hAnsi="Arial"/>
          <w:b/>
          <w:color w:val="1E293B"/>
          <w:sz w:val="24"/>
        </w:rPr>
        <w:t>H3 — Control y libertad del usuario</w:t>
      </w:r>
    </w:p>
    <w:p>
      <w:pPr>
        <w:spacing w:before="0" w:after="80"/>
        <w:ind w:left="0"/>
        <w:jc w:val="both"/>
      </w:pPr>
      <w:r>
        <w:rPr>
          <w:rFonts w:ascii="Arial" w:hAnsi="Arial"/>
          <w:b w:val="0"/>
          <w:i w:val="0"/>
          <w:sz w:val="22"/>
        </w:rPr>
        <w:t>Los usuarios eligen funciones del sistema por error y necesitan "salidas de emergencia" claramente marcadas. EVA debe ofrecer opciones de cancelar, cerrar modales y navegar hacia atrás sin consecuencias no deseadas.</w:t>
      </w:r>
    </w:p>
    <w:p>
      <w:pPr>
        <w:spacing w:before="160" w:after="60"/>
      </w:pPr>
      <w:r>
        <w:rPr>
          <w:rFonts w:ascii="Arial" w:hAnsi="Arial"/>
          <w:b/>
          <w:color w:val="1E293B"/>
          <w:sz w:val="24"/>
        </w:rPr>
        <w:t>H4 — Consistencia y estándares</w:t>
      </w:r>
    </w:p>
    <w:p>
      <w:pPr>
        <w:spacing w:before="0" w:after="80"/>
        <w:ind w:left="0"/>
        <w:jc w:val="both"/>
      </w:pPr>
      <w:r>
        <w:rPr>
          <w:rFonts w:ascii="Arial" w:hAnsi="Arial"/>
          <w:b w:val="0"/>
          <w:i w:val="0"/>
          <w:sz w:val="22"/>
        </w:rPr>
        <w:t>Los usuarios no deberían tener que preguntarse si palabras, situaciones o acciones diferentes significan lo mismo. EVA aplica un sistema de diseño unificado: mismos colores (#540D6E, #EE4266), tipografía (Nunito) e iconografía (Lucide) en todos los módulos.</w:t>
      </w:r>
    </w:p>
    <w:p>
      <w:pPr>
        <w:spacing w:before="160" w:after="60"/>
      </w:pPr>
      <w:r>
        <w:rPr>
          <w:rFonts w:ascii="Arial" w:hAnsi="Arial"/>
          <w:b/>
          <w:color w:val="1E293B"/>
          <w:sz w:val="24"/>
        </w:rPr>
        <w:t>H5 — Prevención de errores</w:t>
      </w:r>
    </w:p>
    <w:p>
      <w:pPr>
        <w:spacing w:before="0" w:after="80"/>
        <w:ind w:left="0"/>
        <w:jc w:val="both"/>
      </w:pPr>
      <w:r>
        <w:rPr>
          <w:rFonts w:ascii="Arial" w:hAnsi="Arial"/>
          <w:b w:val="0"/>
          <w:i w:val="0"/>
          <w:sz w:val="22"/>
        </w:rPr>
        <w:t>Mejor que buenos mensajes de error es un diseño cuidadoso que evite que los problemas ocurran. EVA implementa validación en tiempo real en formularios, confirmación antes de eliminar recursos y mensajes de advertencia en operaciones destructivas.</w:t>
      </w:r>
    </w:p>
    <w:p>
      <w:pPr>
        <w:spacing w:before="160" w:after="60"/>
      </w:pPr>
      <w:r>
        <w:rPr>
          <w:rFonts w:ascii="Arial" w:hAnsi="Arial"/>
          <w:b/>
          <w:color w:val="1E293B"/>
          <w:sz w:val="24"/>
        </w:rPr>
        <w:t>H6 — Reconocimiento antes que recuerdo</w:t>
      </w:r>
    </w:p>
    <w:p>
      <w:pPr>
        <w:spacing w:before="0" w:after="80"/>
        <w:ind w:left="0"/>
        <w:jc w:val="both"/>
      </w:pPr>
      <w:r>
        <w:rPr>
          <w:rFonts w:ascii="Arial" w:hAnsi="Arial"/>
          <w:b w:val="0"/>
          <w:i w:val="0"/>
          <w:sz w:val="22"/>
        </w:rPr>
        <w:t>Minimizar la carga de memoria del usuario haciendo visibles los objetos, acciones y opciones. EVA muestra rutas de navegación, avatares identificativos y atajos visibles en el panel lateral.</w:t>
      </w:r>
    </w:p>
    <w:p>
      <w:pPr>
        <w:spacing w:before="160" w:after="60"/>
      </w:pPr>
      <w:r>
        <w:rPr>
          <w:rFonts w:ascii="Arial" w:hAnsi="Arial"/>
          <w:b/>
          <w:color w:val="1E293B"/>
          <w:sz w:val="24"/>
        </w:rPr>
        <w:t>H7 — Flexibilidad y eficiencia de uso</w:t>
      </w:r>
    </w:p>
    <w:p>
      <w:pPr>
        <w:spacing w:before="0" w:after="80"/>
        <w:ind w:left="0"/>
        <w:jc w:val="both"/>
      </w:pPr>
      <w:r>
        <w:rPr>
          <w:rFonts w:ascii="Arial" w:hAnsi="Arial"/>
          <w:b w:val="0"/>
          <w:i w:val="0"/>
          <w:sz w:val="22"/>
        </w:rPr>
        <w:t>Los aceleradores —invisibles para el usuario novato— pueden hacer más rápida la interacción para el experto. EVA ofrece inscripción masiva vía CSV, acciones rápidas en tablas y filtros avanzados de búsqueda.</w:t>
      </w:r>
    </w:p>
    <w:p>
      <w:pPr>
        <w:spacing w:before="160" w:after="60"/>
      </w:pPr>
      <w:r>
        <w:rPr>
          <w:rFonts w:ascii="Arial" w:hAnsi="Arial"/>
          <w:b/>
          <w:color w:val="1E293B"/>
          <w:sz w:val="24"/>
        </w:rPr>
        <w:t>H8 — Diseño estético y minimalista</w:t>
      </w:r>
    </w:p>
    <w:p>
      <w:pPr>
        <w:spacing w:before="0" w:after="80"/>
        <w:ind w:left="0"/>
        <w:jc w:val="both"/>
      </w:pPr>
      <w:r>
        <w:rPr>
          <w:rFonts w:ascii="Arial" w:hAnsi="Arial"/>
          <w:b w:val="0"/>
          <w:i w:val="0"/>
          <w:sz w:val="22"/>
        </w:rPr>
        <w:t>Los diálogos no deben contener información irrelevante o raramente necesaria. EVA utiliza tarjetas con información esencial, evita la sobrecarga visual y prioriza los datos más relevantes según el rol del usuario.</w:t>
      </w:r>
    </w:p>
    <w:p>
      <w:pPr>
        <w:spacing w:before="160" w:after="60"/>
      </w:pPr>
      <w:r>
        <w:rPr>
          <w:rFonts w:ascii="Arial" w:hAnsi="Arial"/>
          <w:b/>
          <w:color w:val="1E293B"/>
          <w:sz w:val="24"/>
        </w:rPr>
        <w:t>H9 — Ayuda a reconocer, diagnosticar y recuperarse de errores</w:t>
      </w:r>
    </w:p>
    <w:p>
      <w:pPr>
        <w:spacing w:before="0" w:after="80"/>
        <w:ind w:left="0"/>
        <w:jc w:val="both"/>
      </w:pPr>
      <w:r>
        <w:rPr>
          <w:rFonts w:ascii="Arial" w:hAnsi="Arial"/>
          <w:b w:val="0"/>
          <w:i w:val="0"/>
          <w:sz w:val="22"/>
        </w:rPr>
        <w:t>Los mensajes de error deben expresarse en lenguaje sencillo (sin códigos), indicar el problema con precisión y sugerir constructivamente una solución. EVA utiliza mensajes en español, con indicadores visuales de color y texto explicativo.</w:t>
      </w:r>
    </w:p>
    <w:p>
      <w:pPr>
        <w:spacing w:before="160" w:after="60"/>
      </w:pPr>
      <w:r>
        <w:rPr>
          <w:rFonts w:ascii="Arial" w:hAnsi="Arial"/>
          <w:b/>
          <w:color w:val="1E293B"/>
          <w:sz w:val="24"/>
        </w:rPr>
        <w:t>H10 — Ayuda y documentación</w:t>
      </w:r>
    </w:p>
    <w:p>
      <w:pPr>
        <w:spacing w:before="0" w:after="80"/>
        <w:ind w:left="0"/>
        <w:jc w:val="both"/>
      </w:pPr>
      <w:r>
        <w:rPr>
          <w:rFonts w:ascii="Arial" w:hAnsi="Arial"/>
          <w:b w:val="0"/>
          <w:i w:val="0"/>
          <w:sz w:val="22"/>
        </w:rPr>
        <w:t>Aunque es mejor que el sistema pueda usarse sin documentación, puede ser necesario proveer ayuda. EVA incorpora textos orientadores en cada sección, tooltips en acciones no evidentes y mensajes de bienvenida que guían al usuario novato.</w:t>
      </w:r>
    </w:p>
    <w:p>
      <w:pPr>
        <w:spacing w:before="240" w:after="120"/>
      </w:pPr>
      <w:r>
        <w:rPr>
          <w:rFonts w:ascii="Arial" w:hAnsi="Arial"/>
          <w:b/>
          <w:color w:val="540D6E"/>
          <w:sz w:val="28"/>
        </w:rPr>
        <w:t>4.3 Escala de Usabilidad del Sistema (SUS)</w:t>
      </w:r>
    </w:p>
    <w:p>
      <w:pPr>
        <w:spacing w:before="0" w:after="80"/>
        <w:ind w:left="0"/>
        <w:jc w:val="both"/>
      </w:pPr>
      <w:r>
        <w:rPr>
          <w:rFonts w:ascii="Arial" w:hAnsi="Arial"/>
          <w:b w:val="0"/>
          <w:i w:val="0"/>
          <w:sz w:val="22"/>
        </w:rPr>
        <w:t>Brooke (1996) desarrolló el System Usability Scale (SUS) como una herramienta rápida y confiable para medir la usabilidad percibida. El SUS consta de 10 ítems en escala Likert (1–5) y genera una puntuación de 0 a 100. Una puntuación ≥ 68 se considera por encima del promedio; ≥ 80, excelente.</w:t>
      </w:r>
    </w:p>
    <w:p>
      <w:pPr>
        <w:spacing w:before="0" w:after="80"/>
        <w:ind w:left="0"/>
        <w:jc w:val="both"/>
      </w:pPr>
      <w:r>
        <w:rPr>
          <w:rFonts w:ascii="Arial" w:hAnsi="Arial"/>
          <w:b w:val="0"/>
          <w:i w:val="0"/>
          <w:sz w:val="22"/>
        </w:rPr>
        <w:t>En la Tabla 1 se presenta una comparación sintética de los tres modelos de usabilidad empleados como referente en la Sección C del instrumento: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540D6E"/>
          </w:tcPr>
          <w:p>
            <w:pPr>
              <w:jc w:val="center"/>
            </w:pPr>
            <w:r>
              <w:rPr>
                <w:rFonts w:ascii="Arial" w:hAnsi="Arial"/>
                <w:b/>
                <w:color w:val="FFFFFF"/>
                <w:sz w:val="20"/>
              </w:rPr>
              <w:t>Modelo</w:t>
            </w:r>
          </w:p>
        </w:tc>
        <w:tc>
          <w:tcPr>
            <w:tcW w:type="dxa" w:w="2268"/>
            <w:shd w:val="clear" w:color="auto" w:fill="540D6E"/>
          </w:tcPr>
          <w:p>
            <w:pPr>
              <w:jc w:val="center"/>
            </w:pPr>
            <w:r>
              <w:rPr>
                <w:rFonts w:ascii="Arial" w:hAnsi="Arial"/>
                <w:b/>
                <w:color w:val="FFFFFF"/>
                <w:sz w:val="20"/>
              </w:rPr>
              <w:t>Origen</w:t>
            </w:r>
          </w:p>
        </w:tc>
        <w:tc>
          <w:tcPr>
            <w:tcW w:type="dxa" w:w="2268"/>
            <w:shd w:val="clear" w:color="auto" w:fill="540D6E"/>
          </w:tcPr>
          <w:p>
            <w:pPr>
              <w:jc w:val="center"/>
            </w:pPr>
            <w:r>
              <w:rPr>
                <w:rFonts w:ascii="Arial" w:hAnsi="Arial"/>
                <w:b/>
                <w:color w:val="FFFFFF"/>
                <w:sz w:val="20"/>
              </w:rPr>
              <w:t>Dimensiones clave</w:t>
            </w:r>
          </w:p>
        </w:tc>
        <w:tc>
          <w:tcPr>
            <w:tcW w:type="dxa" w:w="2268"/>
            <w:shd w:val="clear" w:color="auto" w:fill="540D6E"/>
          </w:tcPr>
          <w:p>
            <w:pPr>
              <w:jc w:val="center"/>
            </w:pPr>
            <w:r>
              <w:rPr>
                <w:rFonts w:ascii="Arial" w:hAnsi="Arial"/>
                <w:b/>
                <w:color w:val="FFFFFF"/>
                <w:sz w:val="20"/>
              </w:rPr>
              <w:t>Aplicación en EVA</w:t>
            </w:r>
          </w:p>
        </w:tc>
      </w:tr>
      <w:tr>
        <w:tc>
          <w:tcPr>
            <w:tcW w:type="dxa" w:w="2268"/>
          </w:tcPr>
          <w:p>
            <w:r>
              <w:rPr>
                <w:rFonts w:ascii="Arial" w:hAnsi="Arial"/>
                <w:sz w:val="20"/>
              </w:rPr>
              <w:t>ISO/IEC 25010</w:t>
            </w:r>
          </w:p>
        </w:tc>
        <w:tc>
          <w:tcPr>
            <w:tcW w:type="dxa" w:w="2268"/>
          </w:tcPr>
          <w:p>
            <w:r>
              <w:rPr>
                <w:rFonts w:ascii="Arial" w:hAnsi="Arial"/>
                <w:sz w:val="20"/>
              </w:rPr>
              <w:t>ISO/IEC, 2011</w:t>
            </w:r>
          </w:p>
        </w:tc>
        <w:tc>
          <w:tcPr>
            <w:tcW w:type="dxa" w:w="2268"/>
          </w:tcPr>
          <w:p>
            <w:r>
              <w:rPr>
                <w:rFonts w:ascii="Arial" w:hAnsi="Arial"/>
                <w:sz w:val="20"/>
              </w:rPr>
              <w:t>Reconocibilidad, aprendizaje, operabilidad, prevención de errores, estética, accesibilidad</w:t>
            </w:r>
          </w:p>
        </w:tc>
        <w:tc>
          <w:tcPr>
            <w:tcW w:type="dxa" w:w="2268"/>
          </w:tcPr>
          <w:p>
            <w:r>
              <w:rPr>
                <w:rFonts w:ascii="Arial" w:hAnsi="Arial"/>
                <w:sz w:val="20"/>
              </w:rPr>
              <w:t>Marco normativo base del instrumento</w:t>
            </w:r>
          </w:p>
        </w:tc>
      </w:tr>
      <w:tr>
        <w:tc>
          <w:tcPr>
            <w:tcW w:type="dxa" w:w="2268"/>
            <w:shd w:val="clear" w:color="auto" w:fill="F3E8FF"/>
          </w:tcPr>
          <w:p>
            <w:r>
              <w:rPr>
                <w:rFonts w:ascii="Arial" w:hAnsi="Arial"/>
                <w:sz w:val="20"/>
              </w:rPr>
              <w:t>Heurísticas Nielsen</w:t>
            </w:r>
          </w:p>
        </w:tc>
        <w:tc>
          <w:tcPr>
            <w:tcW w:type="dxa" w:w="2268"/>
            <w:shd w:val="clear" w:color="auto" w:fill="F3E8FF"/>
          </w:tcPr>
          <w:p>
            <w:r>
              <w:rPr>
                <w:rFonts w:ascii="Arial" w:hAnsi="Arial"/>
                <w:sz w:val="20"/>
              </w:rPr>
              <w:t>Nielsen, 1994</w:t>
            </w:r>
          </w:p>
        </w:tc>
        <w:tc>
          <w:tcPr>
            <w:tcW w:type="dxa" w:w="2268"/>
            <w:shd w:val="clear" w:color="auto" w:fill="F3E8FF"/>
          </w:tcPr>
          <w:p>
            <w:r>
              <w:rPr>
                <w:rFonts w:ascii="Arial" w:hAnsi="Arial"/>
                <w:sz w:val="20"/>
              </w:rPr>
              <w:t>H1–H10: visibilidad, correspondencia, control, consistencia, prevención, reconocimiento, flexibilidad, minimalismo, errores, ayuda</w:t>
            </w:r>
          </w:p>
        </w:tc>
        <w:tc>
          <w:tcPr>
            <w:tcW w:type="dxa" w:w="2268"/>
            <w:shd w:val="clear" w:color="auto" w:fill="F3E8FF"/>
          </w:tcPr>
          <w:p>
            <w:r>
              <w:rPr>
                <w:rFonts w:ascii="Arial" w:hAnsi="Arial"/>
                <w:sz w:val="20"/>
              </w:rPr>
              <w:t>Guía de ítems Sección C</w:t>
            </w:r>
          </w:p>
        </w:tc>
      </w:tr>
      <w:tr>
        <w:tc>
          <w:tcPr>
            <w:tcW w:type="dxa" w:w="2268"/>
          </w:tcPr>
          <w:p>
            <w:r>
              <w:rPr>
                <w:rFonts w:ascii="Arial" w:hAnsi="Arial"/>
                <w:sz w:val="20"/>
              </w:rPr>
              <w:t>SUS</w:t>
            </w:r>
          </w:p>
        </w:tc>
        <w:tc>
          <w:tcPr>
            <w:tcW w:type="dxa" w:w="2268"/>
          </w:tcPr>
          <w:p>
            <w:r>
              <w:rPr>
                <w:rFonts w:ascii="Arial" w:hAnsi="Arial"/>
                <w:sz w:val="20"/>
              </w:rPr>
              <w:t>Brooke, 1996</w:t>
            </w:r>
          </w:p>
        </w:tc>
        <w:tc>
          <w:tcPr>
            <w:tcW w:type="dxa" w:w="2268"/>
          </w:tcPr>
          <w:p>
            <w:r>
              <w:rPr>
                <w:rFonts w:ascii="Arial" w:hAnsi="Arial"/>
                <w:sz w:val="20"/>
              </w:rPr>
              <w:t>10 ítems, escala 0–100, validez convergente con otras escalas de usabilidad</w:t>
            </w:r>
          </w:p>
        </w:tc>
        <w:tc>
          <w:tcPr>
            <w:tcW w:type="dxa" w:w="2268"/>
          </w:tcPr>
          <w:p>
            <w:r>
              <w:rPr>
                <w:rFonts w:ascii="Arial" w:hAnsi="Arial"/>
                <w:sz w:val="20"/>
              </w:rPr>
              <w:t>Referencia para puntaje global de usabilidad</w:t>
            </w:r>
          </w:p>
        </w:tc>
      </w:tr>
    </w:tbl>
    <w:p>
      <w:pPr>
        <w:spacing w:before="80"/>
        <w:jc w:val="center"/>
      </w:pPr>
      <w:r>
        <w:rPr>
          <w:rFonts w:ascii="Arial" w:hAnsi="Arial"/>
          <w:i/>
          <w:color w:val="64748B"/>
          <w:sz w:val="18"/>
        </w:rPr>
        <w:t>Tabla 1. Comparación de modelos de usabilidad empleados en el instrumento.</w:t>
      </w:r>
    </w:p>
    <w:p>
      <w:pPr>
        <w:spacing w:before="240" w:after="120"/>
      </w:pPr>
      <w:r>
        <w:rPr>
          <w:rFonts w:ascii="Arial" w:hAnsi="Arial"/>
          <w:b/>
          <w:color w:val="540D6E"/>
          <w:sz w:val="32"/>
        </w:rPr>
        <w:t>5. Justificación Metodológica del Instrumento</w:t>
      </w:r>
    </w:p>
    <w:p>
      <w:pPr>
        <w:spacing w:before="240" w:after="120"/>
      </w:pPr>
      <w:r>
        <w:rPr>
          <w:rFonts w:ascii="Arial" w:hAnsi="Arial"/>
          <w:b/>
          <w:color w:val="540D6E"/>
          <w:sz w:val="28"/>
        </w:rPr>
        <w:t>5.1 Cuestionario de tipo Likert</w:t>
      </w:r>
    </w:p>
    <w:p>
      <w:pPr>
        <w:spacing w:before="0" w:after="80"/>
        <w:ind w:left="0"/>
        <w:jc w:val="both"/>
      </w:pPr>
      <w:r>
        <w:rPr>
          <w:rFonts w:ascii="Arial" w:hAnsi="Arial"/>
          <w:b w:val="0"/>
          <w:i w:val="0"/>
          <w:sz w:val="22"/>
        </w:rPr>
        <w:t>El cuestionario Likert (Likert, 1932) es el método más ampliamente utilizado para medir actitudes, percepciones y opiniones en investigación educativa y de sistemas de información. Sus ventajas principales son: facilidad de construcción, análisis estadístico robusto (medias, desviaciones, correlaciones), y alta confiabilidad cuando se aplica a poblaciones con perfil experto.</w:t>
      </w:r>
    </w:p>
    <w:p>
      <w:pPr>
        <w:spacing w:before="0" w:after="80"/>
        <w:ind w:left="0"/>
        <w:jc w:val="both"/>
      </w:pPr>
      <w:r>
        <w:rPr>
          <w:rFonts w:ascii="Arial" w:hAnsi="Arial"/>
          <w:b w:val="0"/>
          <w:i w:val="0"/>
          <w:sz w:val="22"/>
        </w:rPr>
        <w:t>En este instrumento se emplea una escala Likert de cinco puntos, con los siguientes anclajes verbales: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540D6E"/>
          </w:tcPr>
          <w:p>
            <w:pPr>
              <w:jc w:val="center"/>
            </w:pPr>
            <w:r>
              <w:rPr>
                <w:rFonts w:ascii="Arial" w:hAnsi="Arial"/>
                <w:b/>
                <w:color w:val="FFFFFF"/>
                <w:sz w:val="20"/>
              </w:rPr>
              <w:t>Puntaje</w:t>
            </w:r>
          </w:p>
        </w:tc>
        <w:tc>
          <w:tcPr>
            <w:tcW w:type="dxa" w:w="3024"/>
            <w:shd w:val="clear" w:color="auto" w:fill="540D6E"/>
          </w:tcPr>
          <w:p>
            <w:pPr>
              <w:jc w:val="center"/>
            </w:pPr>
            <w:r>
              <w:rPr>
                <w:rFonts w:ascii="Arial" w:hAnsi="Arial"/>
                <w:b/>
                <w:color w:val="FFFFFF"/>
                <w:sz w:val="20"/>
              </w:rPr>
              <w:t>Anclaje verbal</w:t>
            </w:r>
          </w:p>
        </w:tc>
        <w:tc>
          <w:tcPr>
            <w:tcW w:type="dxa" w:w="3024"/>
            <w:shd w:val="clear" w:color="auto" w:fill="540D6E"/>
          </w:tcPr>
          <w:p>
            <w:pPr>
              <w:jc w:val="center"/>
            </w:pPr>
            <w:r>
              <w:rPr>
                <w:rFonts w:ascii="Arial" w:hAnsi="Arial"/>
                <w:b/>
                <w:color w:val="FFFFFF"/>
                <w:sz w:val="20"/>
              </w:rPr>
              <w:t>Interpretación operacional</w:t>
            </w:r>
          </w:p>
        </w:tc>
      </w:tr>
      <w:tr>
        <w:tc>
          <w:tcPr>
            <w:tcW w:type="dxa" w:w="3024"/>
          </w:tcPr>
          <w:p>
            <w:pPr>
              <w:jc w:val="center"/>
            </w:pPr>
            <w:r>
              <w:rPr>
                <w:rFonts w:ascii="Arial" w:hAnsi="Arial"/>
                <w:sz w:val="20"/>
              </w:rPr>
              <w:t>1</w:t>
            </w:r>
          </w:p>
        </w:tc>
        <w:tc>
          <w:tcPr>
            <w:tcW w:type="dxa" w:w="3024"/>
          </w:tcPr>
          <w:p>
            <w:r>
              <w:rPr>
                <w:rFonts w:ascii="Arial" w:hAnsi="Arial"/>
                <w:sz w:val="20"/>
              </w:rPr>
              <w:t>Totalmente en desacuerdo</w:t>
            </w:r>
          </w:p>
        </w:tc>
        <w:tc>
          <w:tcPr>
            <w:tcW w:type="dxa" w:w="3024"/>
          </w:tcPr>
          <w:p>
            <w:r>
              <w:rPr>
                <w:rFonts w:ascii="Arial" w:hAnsi="Arial"/>
                <w:sz w:val="20"/>
              </w:rPr>
              <w:t>La funcionalidad/usabilidad evaluada está ausente o es deficiente.</w:t>
            </w:r>
          </w:p>
        </w:tc>
      </w:tr>
      <w:tr>
        <w:tc>
          <w:tcPr>
            <w:tcW w:type="dxa" w:w="3024"/>
            <w:shd w:val="clear" w:color="auto" w:fill="F3E8FF"/>
          </w:tcPr>
          <w:p>
            <w:pPr>
              <w:jc w:val="center"/>
            </w:pPr>
            <w:r>
              <w:rPr>
                <w:rFonts w:ascii="Arial" w:hAnsi="Arial"/>
                <w:sz w:val="20"/>
              </w:rPr>
              <w:t>2</w:t>
            </w:r>
          </w:p>
        </w:tc>
        <w:tc>
          <w:tcPr>
            <w:tcW w:type="dxa" w:w="3024"/>
            <w:shd w:val="clear" w:color="auto" w:fill="F3E8FF"/>
          </w:tcPr>
          <w:p>
            <w:r>
              <w:rPr>
                <w:rFonts w:ascii="Arial" w:hAnsi="Arial"/>
                <w:sz w:val="20"/>
              </w:rPr>
              <w:t>En desacuerdo</w:t>
            </w:r>
          </w:p>
        </w:tc>
        <w:tc>
          <w:tcPr>
            <w:tcW w:type="dxa" w:w="3024"/>
            <w:shd w:val="clear" w:color="auto" w:fill="F3E8FF"/>
          </w:tcPr>
          <w:p>
            <w:r>
              <w:rPr>
                <w:rFonts w:ascii="Arial" w:hAnsi="Arial"/>
                <w:sz w:val="20"/>
              </w:rPr>
              <w:t>La característica existe pero presenta fallos significativos.</w:t>
            </w:r>
          </w:p>
        </w:tc>
      </w:tr>
      <w:tr>
        <w:tc>
          <w:tcPr>
            <w:tcW w:type="dxa" w:w="3024"/>
          </w:tcPr>
          <w:p>
            <w:pPr>
              <w:jc w:val="center"/>
            </w:pPr>
            <w:r>
              <w:rPr>
                <w:rFonts w:ascii="Arial" w:hAnsi="Arial"/>
                <w:sz w:val="20"/>
              </w:rPr>
              <w:t>3</w:t>
            </w:r>
          </w:p>
        </w:tc>
        <w:tc>
          <w:tcPr>
            <w:tcW w:type="dxa" w:w="3024"/>
          </w:tcPr>
          <w:p>
            <w:r>
              <w:rPr>
                <w:rFonts w:ascii="Arial" w:hAnsi="Arial"/>
                <w:sz w:val="20"/>
              </w:rPr>
              <w:t>Ni de acuerdo ni en desacuerdo</w:t>
            </w:r>
          </w:p>
        </w:tc>
        <w:tc>
          <w:tcPr>
            <w:tcW w:type="dxa" w:w="3024"/>
          </w:tcPr>
          <w:p>
            <w:r>
              <w:rPr>
                <w:rFonts w:ascii="Arial" w:hAnsi="Arial"/>
                <w:sz w:val="20"/>
              </w:rPr>
              <w:t>La característica es aceptable pero mejorable.</w:t>
            </w:r>
          </w:p>
        </w:tc>
      </w:tr>
      <w:tr>
        <w:tc>
          <w:tcPr>
            <w:tcW w:type="dxa" w:w="3024"/>
            <w:shd w:val="clear" w:color="auto" w:fill="F3E8FF"/>
          </w:tcPr>
          <w:p>
            <w:pPr>
              <w:jc w:val="center"/>
            </w:pPr>
            <w:r>
              <w:rPr>
                <w:rFonts w:ascii="Arial" w:hAnsi="Arial"/>
                <w:sz w:val="20"/>
              </w:rPr>
              <w:t>4</w:t>
            </w:r>
          </w:p>
        </w:tc>
        <w:tc>
          <w:tcPr>
            <w:tcW w:type="dxa" w:w="3024"/>
            <w:shd w:val="clear" w:color="auto" w:fill="F3E8FF"/>
          </w:tcPr>
          <w:p>
            <w:r>
              <w:rPr>
                <w:rFonts w:ascii="Arial" w:hAnsi="Arial"/>
                <w:sz w:val="20"/>
              </w:rPr>
              <w:t>De acuerdo</w:t>
            </w:r>
          </w:p>
        </w:tc>
        <w:tc>
          <w:tcPr>
            <w:tcW w:type="dxa" w:w="3024"/>
            <w:shd w:val="clear" w:color="auto" w:fill="F3E8FF"/>
          </w:tcPr>
          <w:p>
            <w:r>
              <w:rPr>
                <w:rFonts w:ascii="Arial" w:hAnsi="Arial"/>
                <w:sz w:val="20"/>
              </w:rPr>
              <w:t>La característica funciona correctamente con observaciones menores.</w:t>
            </w:r>
          </w:p>
        </w:tc>
      </w:tr>
      <w:tr>
        <w:tc>
          <w:tcPr>
            <w:tcW w:type="dxa" w:w="3024"/>
          </w:tcPr>
          <w:p>
            <w:pPr>
              <w:jc w:val="center"/>
            </w:pPr>
            <w:r>
              <w:rPr>
                <w:rFonts w:ascii="Arial" w:hAnsi="Arial"/>
                <w:sz w:val="20"/>
              </w:rPr>
              <w:t>5</w:t>
            </w:r>
          </w:p>
        </w:tc>
        <w:tc>
          <w:tcPr>
            <w:tcW w:type="dxa" w:w="3024"/>
          </w:tcPr>
          <w:p>
            <w:r>
              <w:rPr>
                <w:rFonts w:ascii="Arial" w:hAnsi="Arial"/>
                <w:sz w:val="20"/>
              </w:rPr>
              <w:t>Totalmente de acuerdo</w:t>
            </w:r>
          </w:p>
        </w:tc>
        <w:tc>
          <w:tcPr>
            <w:tcW w:type="dxa" w:w="3024"/>
          </w:tcPr>
          <w:p>
            <w:r>
              <w:rPr>
                <w:rFonts w:ascii="Arial" w:hAnsi="Arial"/>
                <w:sz w:val="20"/>
              </w:rPr>
              <w:t>La característica está implementada de forma excelente.</w:t>
            </w:r>
          </w:p>
        </w:tc>
      </w:tr>
    </w:tbl>
    <w:p>
      <w:pPr>
        <w:spacing w:before="80"/>
        <w:jc w:val="center"/>
      </w:pPr>
      <w:r>
        <w:rPr>
          <w:rFonts w:ascii="Arial" w:hAnsi="Arial"/>
          <w:i/>
          <w:color w:val="64748B"/>
          <w:sz w:val="18"/>
        </w:rPr>
        <w:t>Tabla 2. Escala Likert con anclajes verbales e interpretación operacional.</w:t>
      </w:r>
    </w:p>
    <w:p>
      <w:pPr>
        <w:spacing w:before="240" w:after="120"/>
      </w:pPr>
      <w:r>
        <w:rPr>
          <w:rFonts w:ascii="Arial" w:hAnsi="Arial"/>
          <w:b/>
          <w:color w:val="540D6E"/>
          <w:sz w:val="28"/>
        </w:rPr>
        <w:t>5.2 Perfil del evaluador experto</w:t>
      </w:r>
    </w:p>
    <w:p>
      <w:pPr>
        <w:spacing w:before="0" w:after="80"/>
        <w:ind w:left="0"/>
        <w:jc w:val="both"/>
      </w:pPr>
      <w:r>
        <w:rPr>
          <w:rFonts w:ascii="Arial" w:hAnsi="Arial"/>
          <w:b w:val="0"/>
          <w:i w:val="0"/>
          <w:sz w:val="22"/>
        </w:rPr>
        <w:t>Para garantizar la validez de contenido del instrumento, los evaluadores deben cumplir al menos tres de los siguientes criterios:</w:t>
      </w:r>
    </w:p>
    <w:p>
      <w:pPr>
        <w:pStyle w:val="ListBullet"/>
        <w:spacing w:after="40" w:before="0"/>
        <w:ind w:left="283"/>
      </w:pPr>
      <w:r>
        <w:rPr>
          <w:rFonts w:ascii="Arial" w:hAnsi="Arial"/>
          <w:sz w:val="22"/>
        </w:rPr>
        <w:t>Formación académica en educación, ingeniería de software, sistemas de información o áreas afines.</w:t>
      </w:r>
    </w:p>
    <w:p>
      <w:pPr>
        <w:pStyle w:val="ListBullet"/>
        <w:spacing w:after="40" w:before="0"/>
        <w:ind w:left="283"/>
      </w:pPr>
      <w:r>
        <w:rPr>
          <w:rFonts w:ascii="Arial" w:hAnsi="Arial"/>
          <w:sz w:val="22"/>
        </w:rPr>
        <w:t>Experiencia mínima de dos años en diseño, evaluación o implementación de sistemas de información educativa.</w:t>
      </w:r>
    </w:p>
    <w:p>
      <w:pPr>
        <w:pStyle w:val="ListBullet"/>
        <w:spacing w:after="40" w:before="0"/>
        <w:ind w:left="283"/>
      </w:pPr>
      <w:r>
        <w:rPr>
          <w:rFonts w:ascii="Arial" w:hAnsi="Arial"/>
          <w:sz w:val="22"/>
        </w:rPr>
        <w:t>Conocimiento de estándares de calidad de software (ISO, IEEE) o de usabilidad (Nielsen, SUS).</w:t>
      </w:r>
    </w:p>
    <w:p>
      <w:pPr>
        <w:pStyle w:val="ListBullet"/>
        <w:spacing w:after="40" w:before="0"/>
        <w:ind w:left="283"/>
      </w:pPr>
      <w:r>
        <w:rPr>
          <w:rFonts w:ascii="Arial" w:hAnsi="Arial"/>
          <w:sz w:val="22"/>
        </w:rPr>
        <w:t>Experiencia docente o en gestión académica en instituciones de educación básica o media.</w:t>
      </w:r>
    </w:p>
    <w:p>
      <w:pPr>
        <w:pStyle w:val="ListBullet"/>
        <w:spacing w:after="40" w:before="0"/>
        <w:ind w:left="283"/>
      </w:pPr>
      <w:r>
        <w:rPr>
          <w:rFonts w:ascii="Arial" w:hAnsi="Arial"/>
          <w:sz w:val="22"/>
        </w:rPr>
        <w:t>Familiaridad con herramientas digitales y entornos virtuales de aprendizaje (Moodle, Google Classroom u otros).</w:t>
      </w:r>
    </w:p>
    <w:p>
      <w:pPr>
        <w:spacing w:before="240" w:after="120"/>
      </w:pPr>
      <w:r>
        <w:rPr>
          <w:rFonts w:ascii="Arial" w:hAnsi="Arial"/>
          <w:b/>
          <w:color w:val="540D6E"/>
          <w:sz w:val="32"/>
        </w:rPr>
        <w:t>6. Referencias</w:t>
      </w:r>
    </w:p>
    <w:p>
      <w:pPr>
        <w:spacing w:after="80"/>
        <w:ind w:left="709" w:hanging="709"/>
      </w:pPr>
      <w:r>
        <w:rPr>
          <w:rFonts w:ascii="Arial" w:hAnsi="Arial"/>
          <w:color w:val="1E293B"/>
          <w:sz w:val="20"/>
        </w:rPr>
        <w:t>Brooke, J. (1996). SUS: A quick and dirty usability scale. En P. W. Jordan, B. Thomas, B. A. Weerdmeester &amp; I. L. McClelland (Eds.), Usability evaluation in industry (pp. 189–194). Taylor &amp; Francis.</w:t>
      </w:r>
    </w:p>
    <w:p>
      <w:pPr>
        <w:spacing w:after="80"/>
        <w:ind w:left="709" w:hanging="709"/>
      </w:pPr>
      <w:r>
        <w:rPr>
          <w:rFonts w:ascii="Arial" w:hAnsi="Arial"/>
          <w:color w:val="1E293B"/>
          <w:sz w:val="20"/>
        </w:rPr>
        <w:t>International Organization for Standardization. (2011). ISO/IEC 25010:2011 — Systems and software engineering — Systems and software Quality Requirements and Evaluation (SQuaRE) — System and software quality models. ISO.</w:t>
      </w:r>
    </w:p>
    <w:p>
      <w:pPr>
        <w:spacing w:after="80"/>
        <w:ind w:left="709" w:hanging="709"/>
      </w:pPr>
      <w:r>
        <w:rPr>
          <w:rFonts w:ascii="Arial" w:hAnsi="Arial"/>
          <w:color w:val="1E293B"/>
          <w:sz w:val="20"/>
        </w:rPr>
        <w:t>International Organization for Standardization. (2014). ISO/IEC 25040:2011 — Systems and software engineering — Systems and software Quality Requirements and Evaluation (SQuaRE) — Evaluation process. ISO.</w:t>
      </w:r>
    </w:p>
    <w:p>
      <w:pPr>
        <w:spacing w:after="80"/>
        <w:ind w:left="709" w:hanging="709"/>
      </w:pPr>
      <w:r>
        <w:rPr>
          <w:rFonts w:ascii="Arial" w:hAnsi="Arial"/>
          <w:color w:val="1E293B"/>
          <w:sz w:val="20"/>
        </w:rPr>
        <w:t>Likert, R. (1932). A technique for the measurement of attitudes. Archives of Psychology, 22(140), 1–55.</w:t>
      </w:r>
    </w:p>
    <w:p>
      <w:pPr>
        <w:spacing w:after="80"/>
        <w:ind w:left="709" w:hanging="709"/>
      </w:pPr>
      <w:r>
        <w:rPr>
          <w:rFonts w:ascii="Arial" w:hAnsi="Arial"/>
          <w:color w:val="1E293B"/>
          <w:sz w:val="20"/>
        </w:rPr>
        <w:t>Nielsen, J. (1994). Enhancing the explanatory power of usability heuristics. En Proceedings of the SIGCHI Conference on Human Factors in Computing Systems (pp. 152–158). ACM. https://doi.org/10.1145/191666.191729</w:t>
      </w:r>
    </w:p>
    <w:p>
      <w:pPr>
        <w:spacing w:after="80"/>
        <w:ind w:left="709" w:hanging="709"/>
      </w:pPr>
      <w:r>
        <w:rPr>
          <w:rFonts w:ascii="Arial" w:hAnsi="Arial"/>
          <w:color w:val="1E293B"/>
          <w:sz w:val="20"/>
        </w:rPr>
        <w:t>Nielsen, J. (1994). Usability engineering. Academic Press.</w:t>
      </w:r>
    </w:p>
    <w:p>
      <w:pPr>
        <w:spacing w:after="80"/>
        <w:ind w:left="709" w:hanging="709"/>
      </w:pPr>
      <w:r>
        <w:rPr>
          <w:rFonts w:ascii="Arial" w:hAnsi="Arial"/>
          <w:color w:val="1E293B"/>
          <w:sz w:val="20"/>
        </w:rPr>
        <w:t>Pressman, R. S. (2010). Ingeniería del software: Un enfoque práctico (7.ª ed.). McGraw-Hill.</w:t>
      </w:r>
    </w:p>
    <w:p>
      <w:pPr>
        <w:spacing w:after="80"/>
        <w:ind w:left="709" w:hanging="709"/>
      </w:pPr>
      <w:r>
        <w:rPr>
          <w:rFonts w:ascii="Arial" w:hAnsi="Arial"/>
          <w:color w:val="1E293B"/>
          <w:sz w:val="20"/>
        </w:rPr>
        <w:t>Sauro, J., &amp; Lewis, J. R. (2016). Quantifying the user experience: Practical statistics for user research (2.ª ed.). Morgan Kaufmann.</w:t>
      </w:r>
    </w:p>
    <w:p>
      <w:pPr>
        <w:spacing w:after="80"/>
        <w:ind w:left="709" w:hanging="709"/>
      </w:pPr>
      <w:r>
        <w:rPr>
          <w:rFonts w:ascii="Arial" w:hAnsi="Arial"/>
          <w:color w:val="1E293B"/>
          <w:sz w:val="20"/>
        </w:rPr>
        <w:t>Sommerville, I. (2011). Ingeniería del software (9.ª ed.). Pearson Educación.</w:t>
      </w:r>
    </w:p>
    <w:p>
      <w:pPr>
        <w:spacing w:after="80"/>
        <w:ind w:left="709" w:hanging="709"/>
      </w:pPr>
      <w:r>
        <w:rPr>
          <w:rFonts w:ascii="Arial" w:hAnsi="Arial"/>
          <w:color w:val="1E293B"/>
          <w:sz w:val="20"/>
        </w:rPr>
        <w:t>Tullis, T., &amp; Albert, B. (2013). Measuring the user experience: Collecting, analyzing, and presenting usability metrics (2.ª ed.). Morgan Kaufmann.</w:t>
      </w:r>
    </w:p>
    <w:p>
      <w:pPr>
        <w:spacing w:after="80"/>
        <w:ind w:left="709" w:hanging="709"/>
      </w:pPr>
      <w:r>
        <w:rPr>
          <w:rFonts w:ascii="Arial" w:hAnsi="Arial"/>
          <w:color w:val="1E293B"/>
          <w:sz w:val="20"/>
        </w:rPr>
        <w:t>Wohlin, C., Runeson, P., Höst, M., Ohlsson, M. C., Regnell, B., &amp; Wesslén, A. (2012). Experimentation in software engineering. Springer.</w:t>
      </w:r>
    </w:p>
    <w:p>
      <w:r>
        <w:br w:type="page"/>
      </w:r>
    </w:p>
    <w:p>
      <w:pPr>
        <w:spacing w:before="120" w:after="120"/>
        <w:jc w:val="center"/>
        <w:shd w:val="clear" w:color="auto" w:fill="540D6E"/>
      </w:pPr>
      <w:r>
        <w:rPr>
          <w:rFonts w:ascii="Arial" w:hAnsi="Arial"/>
          <w:b/>
          <w:color w:val="FFFFFF"/>
          <w:sz w:val="32"/>
        </w:rPr>
        <w:t>PARTE II — INSTRUMENTO DE EVALUACIÓN</w:t>
      </w:r>
    </w:p>
    <w:p>
      <w:pPr>
        <w:spacing w:after="320"/>
        <w:jc w:val="center"/>
      </w:pPr>
      <w:r>
        <w:rPr>
          <w:rFonts w:ascii="Arial" w:hAnsi="Arial"/>
          <w:i/>
          <w:color w:val="64748B"/>
          <w:sz w:val="22"/>
        </w:rPr>
        <w:t>Evaluación de Funcionalidad y Usabilidad — Plataforma EVA</w:t>
      </w:r>
    </w:p>
    <w:p>
      <w:pPr>
        <w:shd w:val="clear" w:color="auto" w:fill="1E293B"/>
        <w:spacing w:before="240" w:after="40"/>
      </w:pPr>
      <w:r>
        <w:rPr>
          <w:rFonts w:ascii="Arial" w:hAnsi="Arial"/>
          <w:b/>
          <w:color w:val="FFFFFF"/>
          <w:sz w:val="24"/>
        </w:rPr>
        <w:t>SECCIÓN A — DATOS GENERALES DEL EVALUADOR</w:t>
      </w:r>
    </w:p>
    <w:p>
      <w:pPr>
        <w:spacing w:before="0" w:after="160"/>
        <w:ind w:left="0"/>
        <w:jc w:val="both"/>
      </w:pPr>
      <w:r>
        <w:rPr>
          <w:rFonts w:ascii="Arial" w:hAnsi="Arial"/>
          <w:b w:val="0"/>
          <w:i/>
          <w:color w:val="64748B"/>
          <w:sz w:val="22"/>
        </w:rPr>
        <w:t>📋 Nota para Google Forms: Configurar cada campo como "Respuesta corta" o "Párrafo" según corresponda.</w:t>
      </w:r>
    </w:p>
    <w:p>
      <w:pPr>
        <w:spacing w:after="40" w:before="80"/>
      </w:pPr>
      <w:r>
        <w:rPr>
          <w:rFonts w:ascii="Arial" w:hAnsi="Arial"/>
          <w:b/>
          <w:color w:val="540D6E"/>
          <w:sz w:val="22"/>
        </w:rPr>
        <w:t>A1. Nombre completo</w:t>
      </w:r>
    </w:p>
    <w:p>
      <w:pPr>
        <w:spacing w:after="20"/>
        <w:ind w:left="454"/>
      </w:pPr>
      <w:r>
        <w:rPr>
          <w:rFonts w:ascii="Arial" w:hAnsi="Arial"/>
          <w:sz w:val="22"/>
        </w:rPr>
        <w:t>Respuesta: ________________________________________________________________</w:t>
      </w:r>
    </w:p>
    <w:p>
      <w:pPr>
        <w:spacing w:after="120"/>
        <w:ind w:left="454"/>
      </w:pPr>
      <w:r>
        <w:rPr>
          <w:rFonts w:ascii="Arial" w:hAnsi="Arial"/>
          <w:i/>
          <w:color w:val="64748B"/>
          <w:sz w:val="18"/>
        </w:rPr>
        <w:t>[Forms: Respuesta corta]</w:t>
      </w:r>
    </w:p>
    <w:p>
      <w:pPr>
        <w:spacing w:after="40" w:before="80"/>
      </w:pPr>
      <w:r>
        <w:rPr>
          <w:rFonts w:ascii="Arial" w:hAnsi="Arial"/>
          <w:b/>
          <w:color w:val="540D6E"/>
          <w:sz w:val="22"/>
        </w:rPr>
        <w:t>A2. Correo electrónico institucional</w:t>
      </w:r>
    </w:p>
    <w:p>
      <w:pPr>
        <w:spacing w:after="20"/>
        <w:ind w:left="454"/>
      </w:pPr>
      <w:r>
        <w:rPr>
          <w:rFonts w:ascii="Arial" w:hAnsi="Arial"/>
          <w:sz w:val="22"/>
        </w:rPr>
        <w:t>Respuesta: ________________________________________________________________</w:t>
      </w:r>
    </w:p>
    <w:p>
      <w:pPr>
        <w:spacing w:after="120"/>
        <w:ind w:left="454"/>
      </w:pPr>
      <w:r>
        <w:rPr>
          <w:rFonts w:ascii="Arial" w:hAnsi="Arial"/>
          <w:i/>
          <w:color w:val="64748B"/>
          <w:sz w:val="18"/>
        </w:rPr>
        <w:t>[Forms: Respuesta corta]</w:t>
      </w:r>
    </w:p>
    <w:p>
      <w:pPr>
        <w:spacing w:after="40" w:before="80"/>
      </w:pPr>
      <w:r>
        <w:rPr>
          <w:rFonts w:ascii="Arial" w:hAnsi="Arial"/>
          <w:b/>
          <w:color w:val="540D6E"/>
          <w:sz w:val="22"/>
        </w:rPr>
        <w:t>A3. Formación académica (título más alto obtenido)</w:t>
      </w:r>
    </w:p>
    <w:p>
      <w:pPr>
        <w:spacing w:after="20"/>
        <w:ind w:left="454"/>
      </w:pPr>
      <w:r>
        <w:rPr>
          <w:rFonts w:ascii="Arial" w:hAnsi="Arial"/>
          <w:sz w:val="22"/>
        </w:rPr>
        <w:t>Respuesta: ________________________________________________________________</w:t>
      </w:r>
    </w:p>
    <w:p>
      <w:pPr>
        <w:spacing w:after="120"/>
        <w:ind w:left="454"/>
      </w:pPr>
      <w:r>
        <w:rPr>
          <w:rFonts w:ascii="Arial" w:hAnsi="Arial"/>
          <w:i/>
          <w:color w:val="64748B"/>
          <w:sz w:val="18"/>
        </w:rPr>
        <w:t>[Forms: Respuesta corta]</w:t>
      </w:r>
    </w:p>
    <w:p>
      <w:pPr>
        <w:spacing w:after="40" w:before="80"/>
      </w:pPr>
      <w:r>
        <w:rPr>
          <w:rFonts w:ascii="Arial" w:hAnsi="Arial"/>
          <w:b/>
          <w:color w:val="540D6E"/>
          <w:sz w:val="22"/>
        </w:rPr>
        <w:t>A4. Área de especialización</w:t>
      </w:r>
    </w:p>
    <w:p>
      <w:pPr>
        <w:spacing w:after="20"/>
        <w:ind w:left="454"/>
      </w:pPr>
      <w:r>
        <w:rPr>
          <w:rFonts w:ascii="Arial" w:hAnsi="Arial"/>
          <w:sz w:val="22"/>
        </w:rPr>
        <w:t>Respuesta: ________________________________________________________________</w:t>
      </w:r>
    </w:p>
    <w:p>
      <w:pPr>
        <w:spacing w:after="120"/>
        <w:ind w:left="454"/>
      </w:pPr>
      <w:r>
        <w:rPr>
          <w:rFonts w:ascii="Arial" w:hAnsi="Arial"/>
          <w:i/>
          <w:color w:val="64748B"/>
          <w:sz w:val="18"/>
        </w:rPr>
        <w:t>[Forms: Respuesta corta]</w:t>
      </w:r>
    </w:p>
    <w:p>
      <w:pPr>
        <w:spacing w:after="40" w:before="80"/>
      </w:pPr>
      <w:r>
        <w:rPr>
          <w:rFonts w:ascii="Arial" w:hAnsi="Arial"/>
          <w:b/>
          <w:color w:val="540D6E"/>
          <w:sz w:val="22"/>
        </w:rPr>
        <w:t>A5. Años de experiencia en educación o tecnología educativa</w:t>
      </w:r>
    </w:p>
    <w:p>
      <w:pPr>
        <w:spacing w:after="20"/>
        <w:ind w:left="454"/>
      </w:pPr>
      <w:r>
        <w:rPr>
          <w:rFonts w:ascii="Arial" w:hAnsi="Arial"/>
          <w:sz w:val="22"/>
        </w:rPr>
        <w:t>Respuesta: ________________________________________________________________</w:t>
      </w:r>
    </w:p>
    <w:p>
      <w:pPr>
        <w:spacing w:after="120"/>
        <w:ind w:left="454"/>
      </w:pPr>
      <w:r>
        <w:rPr>
          <w:rFonts w:ascii="Arial" w:hAnsi="Arial"/>
          <w:i/>
          <w:color w:val="64748B"/>
          <w:sz w:val="18"/>
        </w:rPr>
        <w:t>[Forms: Desplegable: &lt; 2 años / 2–5 años / 6–10 años / &gt; 10 años]</w:t>
      </w:r>
    </w:p>
    <w:p>
      <w:pPr>
        <w:spacing w:after="40" w:before="80"/>
      </w:pPr>
      <w:r>
        <w:rPr>
          <w:rFonts w:ascii="Arial" w:hAnsi="Arial"/>
          <w:b/>
          <w:color w:val="540D6E"/>
          <w:sz w:val="22"/>
        </w:rPr>
        <w:t>A6. Nivel académico en el que ha trabajado principalmente</w:t>
      </w:r>
    </w:p>
    <w:p>
      <w:pPr>
        <w:spacing w:after="20"/>
        <w:ind w:left="454"/>
      </w:pPr>
      <w:r>
        <w:rPr>
          <w:rFonts w:ascii="Arial" w:hAnsi="Arial"/>
          <w:sz w:val="22"/>
        </w:rPr>
        <w:t>Respuesta: ________________________________________________________________</w:t>
      </w:r>
    </w:p>
    <w:p>
      <w:pPr>
        <w:spacing w:after="120"/>
        <w:ind w:left="454"/>
      </w:pPr>
      <w:r>
        <w:rPr>
          <w:rFonts w:ascii="Arial" w:hAnsi="Arial"/>
          <w:i/>
          <w:color w:val="64748B"/>
          <w:sz w:val="18"/>
        </w:rPr>
        <w:t>[Forms: Casillas: Preescolar / Básica primaria / Básica secundaria / Media / Superior / Otro]</w:t>
      </w:r>
    </w:p>
    <w:p>
      <w:pPr>
        <w:spacing w:after="40" w:before="80"/>
      </w:pPr>
      <w:r>
        <w:rPr>
          <w:rFonts w:ascii="Arial" w:hAnsi="Arial"/>
          <w:b/>
          <w:color w:val="540D6E"/>
          <w:sz w:val="22"/>
        </w:rPr>
        <w:t>A7. Experiencia en evaluación de software educativo</w:t>
      </w:r>
    </w:p>
    <w:p>
      <w:pPr>
        <w:spacing w:after="20"/>
        <w:ind w:left="454"/>
      </w:pPr>
      <w:r>
        <w:rPr>
          <w:rFonts w:ascii="Arial" w:hAnsi="Arial"/>
          <w:sz w:val="22"/>
        </w:rPr>
        <w:t>Respuesta: ________________________________________________________________</w:t>
      </w:r>
    </w:p>
    <w:p>
      <w:pPr>
        <w:spacing w:after="120"/>
        <w:ind w:left="454"/>
      </w:pPr>
      <w:r>
        <w:rPr>
          <w:rFonts w:ascii="Arial" w:hAnsi="Arial"/>
          <w:i/>
          <w:color w:val="64748B"/>
          <w:sz w:val="18"/>
        </w:rPr>
        <w:t>[Forms: Selección única: Ninguna / Básica / Intermedia / Avanzada]</w:t>
      </w:r>
    </w:p>
    <w:p>
      <w:pPr>
        <w:spacing w:after="40" w:before="80"/>
      </w:pPr>
      <w:r>
        <w:rPr>
          <w:rFonts w:ascii="Arial" w:hAnsi="Arial"/>
          <w:b/>
          <w:color w:val="540D6E"/>
          <w:sz w:val="22"/>
        </w:rPr>
        <w:t>A8. Familiaridad con entornos virtuales de aprendizaje (LMS)</w:t>
      </w:r>
    </w:p>
    <w:p>
      <w:pPr>
        <w:spacing w:after="20"/>
        <w:ind w:left="454"/>
      </w:pPr>
      <w:r>
        <w:rPr>
          <w:rFonts w:ascii="Arial" w:hAnsi="Arial"/>
          <w:sz w:val="22"/>
        </w:rPr>
        <w:t>Respuesta: ________________________________________________________________</w:t>
      </w:r>
    </w:p>
    <w:p>
      <w:pPr>
        <w:spacing w:after="120"/>
        <w:ind w:left="454"/>
      </w:pPr>
      <w:r>
        <w:rPr>
          <w:rFonts w:ascii="Arial" w:hAnsi="Arial"/>
          <w:i/>
          <w:color w:val="64748B"/>
          <w:sz w:val="18"/>
        </w:rPr>
        <w:t>[Forms: Selección única: Ninguna / He usado como estudiante / He administrado / He diseñado / He evaluado]</w:t>
      </w:r>
    </w:p>
    <w:p>
      <w:r>
        <w:br w:type="page"/>
      </w:r>
    </w:p>
    <w:p>
      <w:pPr>
        <w:shd w:val="clear" w:color="auto" w:fill="1E293B"/>
        <w:spacing w:before="240" w:after="40"/>
      </w:pPr>
      <w:r>
        <w:rPr>
          <w:rFonts w:ascii="Arial" w:hAnsi="Arial"/>
          <w:b/>
          <w:color w:val="FFFFFF"/>
          <w:sz w:val="24"/>
        </w:rPr>
        <w:t>SECCIÓN B — EVALUACIÓN DE FUNCIONALIDAD</w:t>
      </w:r>
    </w:p>
    <w:p>
      <w:pPr>
        <w:spacing w:before="0" w:after="120"/>
        <w:ind w:left="0"/>
        <w:jc w:val="both"/>
      </w:pPr>
      <w:r>
        <w:rPr>
          <w:rFonts w:ascii="Arial" w:hAnsi="Arial"/>
          <w:b w:val="0"/>
          <w:i/>
          <w:color w:val="64748B"/>
          <w:sz w:val="22"/>
        </w:rPr>
        <w:t>Instrucciones: Valore cada ítem según la escala: 1 = Totalmente en desacuerdo · 2 = En desacuerdo · 3 = Ni de acuerdo ni en desacuerdo · 4 = De acuerdo · 5 = Totalmente de acuerdo.</w:t>
      </w:r>
    </w:p>
    <w:p>
      <w:pPr>
        <w:spacing w:before="0" w:after="200"/>
        <w:ind w:left="0"/>
        <w:jc w:val="both"/>
      </w:pPr>
      <w:r>
        <w:rPr>
          <w:rFonts w:ascii="Arial" w:hAnsi="Arial"/>
          <w:b w:val="0"/>
          <w:i/>
          <w:color w:val="64748B"/>
          <w:sz w:val="22"/>
        </w:rPr>
        <w:t>📋 Nota para Google Forms: Configurar como "Cuadrícula de opción múltiple" (filas = ítems, columnas = 1 a 5).</w:t>
      </w:r>
    </w:p>
    <w:p>
      <w:pPr>
        <w:spacing w:before="200" w:after="40"/>
        <w:shd w:val="clear" w:color="auto" w:fill="7C3AED"/>
      </w:pPr>
      <w:r>
        <w:rPr>
          <w:rFonts w:ascii="Arial" w:hAnsi="Arial"/>
          <w:b/>
          <w:color w:val="FFFFFF"/>
          <w:sz w:val="20"/>
        </w:rPr>
        <w:t xml:space="preserve">  Autenticación y roles  </w:t>
      </w:r>
    </w:p>
    <w:p>
      <w:pPr>
        <w:spacing w:before="60" w:after="20"/>
        <w:ind w:left="0"/>
      </w:pPr>
      <w:r>
        <w:rPr>
          <w:rFonts w:ascii="Arial" w:hAnsi="Arial"/>
          <w:b/>
          <w:color w:val="540D6E"/>
          <w:sz w:val="22"/>
        </w:rPr>
        <w:t xml:space="preserve">B1. </w:t>
      </w:r>
      <w:r>
        <w:rPr>
          <w:rFonts w:ascii="Arial" w:hAnsi="Arial"/>
          <w:sz w:val="22"/>
        </w:rPr>
        <w:t>El sistema permite el inicio de sesión diferenciado para estudiantes (PIN), docentes y administradores (usuario + PIN).</w:t>
      </w:r>
    </w:p>
    <w:p>
      <w:pPr>
        <w:spacing w:after="40"/>
        <w:ind w:left="283"/>
      </w:pPr>
      <w:r>
        <w:rPr>
          <w:rFonts w:ascii="Arial" w:hAnsi="Arial"/>
          <w:i/>
          <w:color w:val="64748B"/>
          <w:sz w:val="18"/>
        </w:rPr>
        <w:t>Referencia: ISO 25010 — Completitud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60" w:after="20"/>
        <w:ind w:left="0"/>
      </w:pPr>
      <w:r>
        <w:rPr>
          <w:rFonts w:ascii="Arial" w:hAnsi="Arial"/>
          <w:b/>
          <w:color w:val="540D6E"/>
          <w:sz w:val="22"/>
        </w:rPr>
        <w:t xml:space="preserve">B2. </w:t>
      </w:r>
      <w:r>
        <w:rPr>
          <w:rFonts w:ascii="Arial" w:hAnsi="Arial"/>
          <w:sz w:val="22"/>
        </w:rPr>
        <w:t>El acceso a cada módulo está correctamente restringido según el rol del usuario autenticado.</w:t>
      </w:r>
    </w:p>
    <w:p>
      <w:pPr>
        <w:spacing w:after="40"/>
        <w:ind w:left="283"/>
      </w:pPr>
      <w:r>
        <w:rPr>
          <w:rFonts w:ascii="Arial" w:hAnsi="Arial"/>
          <w:i/>
          <w:color w:val="64748B"/>
          <w:sz w:val="18"/>
        </w:rPr>
        <w:t>Referencia: ISO 25010 — Corrección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200" w:after="40"/>
        <w:shd w:val="clear" w:color="auto" w:fill="7C3AED"/>
      </w:pPr>
      <w:r>
        <w:rPr>
          <w:rFonts w:ascii="Arial" w:hAnsi="Arial"/>
          <w:b/>
          <w:color w:val="FFFFFF"/>
          <w:sz w:val="20"/>
        </w:rPr>
        <w:t xml:space="preserve">  Gestión de usuarios  </w:t>
      </w:r>
    </w:p>
    <w:p>
      <w:pPr>
        <w:spacing w:before="60" w:after="20"/>
        <w:ind w:left="0"/>
      </w:pPr>
      <w:r>
        <w:rPr>
          <w:rFonts w:ascii="Arial" w:hAnsi="Arial"/>
          <w:b/>
          <w:color w:val="540D6E"/>
          <w:sz w:val="22"/>
        </w:rPr>
        <w:t xml:space="preserve">B3. </w:t>
      </w:r>
      <w:r>
        <w:rPr>
          <w:rFonts w:ascii="Arial" w:hAnsi="Arial"/>
          <w:sz w:val="22"/>
        </w:rPr>
        <w:t>El administrador puede crear, editar, activar/desactivar y eliminar usuarios de todos los roles.</w:t>
      </w:r>
    </w:p>
    <w:p>
      <w:pPr>
        <w:spacing w:after="40"/>
        <w:ind w:left="283"/>
      </w:pPr>
      <w:r>
        <w:rPr>
          <w:rFonts w:ascii="Arial" w:hAnsi="Arial"/>
          <w:i/>
          <w:color w:val="64748B"/>
          <w:sz w:val="18"/>
        </w:rPr>
        <w:t>Referencia: ISO 25010 — Completitud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60" w:after="20"/>
        <w:ind w:left="0"/>
      </w:pPr>
      <w:r>
        <w:rPr>
          <w:rFonts w:ascii="Arial" w:hAnsi="Arial"/>
          <w:b/>
          <w:color w:val="540D6E"/>
          <w:sz w:val="22"/>
        </w:rPr>
        <w:t xml:space="preserve">B4. </w:t>
      </w:r>
      <w:r>
        <w:rPr>
          <w:rFonts w:ascii="Arial" w:hAnsi="Arial"/>
          <w:sz w:val="22"/>
        </w:rPr>
        <w:t>La asignación de roles es correcta y se refleja inmediatamente en los permisos del sistema.</w:t>
      </w:r>
    </w:p>
    <w:p>
      <w:pPr>
        <w:spacing w:after="40"/>
        <w:ind w:left="283"/>
      </w:pPr>
      <w:r>
        <w:rPr>
          <w:rFonts w:ascii="Arial" w:hAnsi="Arial"/>
          <w:i/>
          <w:color w:val="64748B"/>
          <w:sz w:val="18"/>
        </w:rPr>
        <w:t>Referencia: ISO 25010 — Corrección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200" w:after="40"/>
        <w:shd w:val="clear" w:color="auto" w:fill="7C3AED"/>
      </w:pPr>
      <w:r>
        <w:rPr>
          <w:rFonts w:ascii="Arial" w:hAnsi="Arial"/>
          <w:b/>
          <w:color w:val="FFFFFF"/>
          <w:sz w:val="20"/>
        </w:rPr>
        <w:t xml:space="preserve">  Gestión de cursos  </w:t>
      </w:r>
    </w:p>
    <w:p>
      <w:pPr>
        <w:spacing w:before="60" w:after="20"/>
        <w:ind w:left="0"/>
      </w:pPr>
      <w:r>
        <w:rPr>
          <w:rFonts w:ascii="Arial" w:hAnsi="Arial"/>
          <w:b/>
          <w:color w:val="540D6E"/>
          <w:sz w:val="22"/>
        </w:rPr>
        <w:t xml:space="preserve">B5. </w:t>
      </w:r>
      <w:r>
        <w:rPr>
          <w:rFonts w:ascii="Arial" w:hAnsi="Arial"/>
          <w:sz w:val="22"/>
        </w:rPr>
        <w:t>El docente puede crear cursos, inscribir estudiantes individualmente y realizar inscripción masiva por CSV.</w:t>
      </w:r>
    </w:p>
    <w:p>
      <w:pPr>
        <w:spacing w:after="40"/>
        <w:ind w:left="283"/>
      </w:pPr>
      <w:r>
        <w:rPr>
          <w:rFonts w:ascii="Arial" w:hAnsi="Arial"/>
          <w:i/>
          <w:color w:val="64748B"/>
          <w:sz w:val="18"/>
        </w:rPr>
        <w:t>Referencia: ISO 25010 — Completitud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60" w:after="20"/>
        <w:ind w:left="0"/>
      </w:pPr>
      <w:r>
        <w:rPr>
          <w:rFonts w:ascii="Arial" w:hAnsi="Arial"/>
          <w:b/>
          <w:color w:val="540D6E"/>
          <w:sz w:val="22"/>
        </w:rPr>
        <w:t xml:space="preserve">B6. </w:t>
      </w:r>
      <w:r>
        <w:rPr>
          <w:rFonts w:ascii="Arial" w:hAnsi="Arial"/>
          <w:sz w:val="22"/>
        </w:rPr>
        <w:t>La generación de credenciales (usuario + PIN) para estudiantes inscritos masivamente funciona correctamente.</w:t>
      </w:r>
    </w:p>
    <w:p>
      <w:pPr>
        <w:spacing w:after="40"/>
        <w:ind w:left="283"/>
      </w:pPr>
      <w:r>
        <w:rPr>
          <w:rFonts w:ascii="Arial" w:hAnsi="Arial"/>
          <w:i/>
          <w:color w:val="64748B"/>
          <w:sz w:val="18"/>
        </w:rPr>
        <w:t>Referencia: ISO 25010 — Corrección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200" w:after="40"/>
        <w:shd w:val="clear" w:color="auto" w:fill="7C3AED"/>
      </w:pPr>
      <w:r>
        <w:rPr>
          <w:rFonts w:ascii="Arial" w:hAnsi="Arial"/>
          <w:b/>
          <w:color w:val="FFFFFF"/>
          <w:sz w:val="20"/>
        </w:rPr>
        <w:t xml:space="preserve">  OVA — Objetos Virtuales de Aprendizaje  </w:t>
      </w:r>
    </w:p>
    <w:p>
      <w:pPr>
        <w:spacing w:before="60" w:after="20"/>
        <w:ind w:left="0"/>
      </w:pPr>
      <w:r>
        <w:rPr>
          <w:rFonts w:ascii="Arial" w:hAnsi="Arial"/>
          <w:b/>
          <w:color w:val="540D6E"/>
          <w:sz w:val="22"/>
        </w:rPr>
        <w:t xml:space="preserve">B7. </w:t>
      </w:r>
      <w:r>
        <w:rPr>
          <w:rFonts w:ascii="Arial" w:hAnsi="Arial"/>
          <w:sz w:val="22"/>
        </w:rPr>
        <w:t>El sistema permite asignar OVA a cursos y los estudiantes pueden acceder a ellos sin errores.</w:t>
      </w:r>
    </w:p>
    <w:p>
      <w:pPr>
        <w:spacing w:after="40"/>
        <w:ind w:left="283"/>
      </w:pPr>
      <w:r>
        <w:rPr>
          <w:rFonts w:ascii="Arial" w:hAnsi="Arial"/>
          <w:i/>
          <w:color w:val="64748B"/>
          <w:sz w:val="18"/>
        </w:rPr>
        <w:t>Referencia: ISO 25010 — Completitud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60" w:after="20"/>
        <w:ind w:left="0"/>
      </w:pPr>
      <w:r>
        <w:rPr>
          <w:rFonts w:ascii="Arial" w:hAnsi="Arial"/>
          <w:b/>
          <w:color w:val="540D6E"/>
          <w:sz w:val="22"/>
        </w:rPr>
        <w:t xml:space="preserve">B8. </w:t>
      </w:r>
      <w:r>
        <w:rPr>
          <w:rFonts w:ascii="Arial" w:hAnsi="Arial"/>
          <w:sz w:val="22"/>
        </w:rPr>
        <w:t>Los OVA están organizados por área temática y son pertinentes para el nivel educativo de los estudiantes.</w:t>
      </w:r>
    </w:p>
    <w:p>
      <w:pPr>
        <w:spacing w:after="40"/>
        <w:ind w:left="283"/>
      </w:pPr>
      <w:r>
        <w:rPr>
          <w:rFonts w:ascii="Arial" w:hAnsi="Arial"/>
          <w:i/>
          <w:color w:val="64748B"/>
          <w:sz w:val="18"/>
        </w:rPr>
        <w:t>Referencia: ISO 25010 — Adecuación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200" w:after="40"/>
        <w:shd w:val="clear" w:color="auto" w:fill="7C3AED"/>
      </w:pPr>
      <w:r>
        <w:rPr>
          <w:rFonts w:ascii="Arial" w:hAnsi="Arial"/>
          <w:b/>
          <w:color w:val="FFFFFF"/>
          <w:sz w:val="20"/>
        </w:rPr>
        <w:t xml:space="preserve">  Evaluaciones  </w:t>
      </w:r>
    </w:p>
    <w:p>
      <w:pPr>
        <w:spacing w:before="60" w:after="20"/>
        <w:ind w:left="0"/>
      </w:pPr>
      <w:r>
        <w:rPr>
          <w:rFonts w:ascii="Arial" w:hAnsi="Arial"/>
          <w:b/>
          <w:color w:val="540D6E"/>
          <w:sz w:val="22"/>
        </w:rPr>
        <w:t xml:space="preserve">B9. </w:t>
      </w:r>
      <w:r>
        <w:rPr>
          <w:rFonts w:ascii="Arial" w:hAnsi="Arial"/>
          <w:sz w:val="22"/>
        </w:rPr>
        <w:t>El módulo de evaluaciones registra correctamente los intentos, puntajes y el progreso del estudiante.</w:t>
      </w:r>
    </w:p>
    <w:p>
      <w:pPr>
        <w:spacing w:after="40"/>
        <w:ind w:left="283"/>
      </w:pPr>
      <w:r>
        <w:rPr>
          <w:rFonts w:ascii="Arial" w:hAnsi="Arial"/>
          <w:i/>
          <w:color w:val="64748B"/>
          <w:sz w:val="18"/>
        </w:rPr>
        <w:t>Referencia: ISO 25010 — Corrección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60" w:after="20"/>
        <w:ind w:left="0"/>
      </w:pPr>
      <w:r>
        <w:rPr>
          <w:rFonts w:ascii="Arial" w:hAnsi="Arial"/>
          <w:b/>
          <w:color w:val="540D6E"/>
          <w:sz w:val="22"/>
        </w:rPr>
        <w:t xml:space="preserve">B10. </w:t>
      </w:r>
      <w:r>
        <w:rPr>
          <w:rFonts w:ascii="Arial" w:hAnsi="Arial"/>
          <w:sz w:val="22"/>
        </w:rPr>
        <w:t>El docente/administrador puede visualizar los resultados de evaluaciones sin que estos se almacenen como intentos propios.</w:t>
      </w:r>
    </w:p>
    <w:p>
      <w:pPr>
        <w:spacing w:after="40"/>
        <w:ind w:left="283"/>
      </w:pPr>
      <w:r>
        <w:rPr>
          <w:rFonts w:ascii="Arial" w:hAnsi="Arial"/>
          <w:i/>
          <w:color w:val="64748B"/>
          <w:sz w:val="18"/>
        </w:rPr>
        <w:t>Referencia: ISO 25010 — Corrección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200" w:after="40"/>
        <w:shd w:val="clear" w:color="auto" w:fill="7C3AED"/>
      </w:pPr>
      <w:r>
        <w:rPr>
          <w:rFonts w:ascii="Arial" w:hAnsi="Arial"/>
          <w:b/>
          <w:color w:val="FFFFFF"/>
          <w:sz w:val="20"/>
        </w:rPr>
        <w:t xml:space="preserve">  Reportes y exportación  </w:t>
      </w:r>
    </w:p>
    <w:p>
      <w:pPr>
        <w:spacing w:before="60" w:after="20"/>
        <w:ind w:left="0"/>
      </w:pPr>
      <w:r>
        <w:rPr>
          <w:rFonts w:ascii="Arial" w:hAnsi="Arial"/>
          <w:b/>
          <w:color w:val="540D6E"/>
          <w:sz w:val="22"/>
        </w:rPr>
        <w:t xml:space="preserve">B11. </w:t>
      </w:r>
      <w:r>
        <w:rPr>
          <w:rFonts w:ascii="Arial" w:hAnsi="Arial"/>
          <w:sz w:val="22"/>
        </w:rPr>
        <w:t>El sistema genera reportes de estudiantes por curso con la información completa y actualizada.</w:t>
      </w:r>
    </w:p>
    <w:p>
      <w:pPr>
        <w:spacing w:after="40"/>
        <w:ind w:left="283"/>
      </w:pPr>
      <w:r>
        <w:rPr>
          <w:rFonts w:ascii="Arial" w:hAnsi="Arial"/>
          <w:i/>
          <w:color w:val="64748B"/>
          <w:sz w:val="18"/>
        </w:rPr>
        <w:t>Referencia: ISO 25010 — Completitud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60" w:after="20"/>
        <w:ind w:left="0"/>
      </w:pPr>
      <w:r>
        <w:rPr>
          <w:rFonts w:ascii="Arial" w:hAnsi="Arial"/>
          <w:b/>
          <w:color w:val="540D6E"/>
          <w:sz w:val="22"/>
        </w:rPr>
        <w:t xml:space="preserve">B12. </w:t>
      </w:r>
      <w:r>
        <w:rPr>
          <w:rFonts w:ascii="Arial" w:hAnsi="Arial"/>
          <w:sz w:val="22"/>
        </w:rPr>
        <w:t>La exportación de credenciales en formato PDF y CSV produce archivos correctos y descargables automáticamente.</w:t>
      </w:r>
    </w:p>
    <w:p>
      <w:pPr>
        <w:spacing w:after="40"/>
        <w:ind w:left="283"/>
      </w:pPr>
      <w:r>
        <w:rPr>
          <w:rFonts w:ascii="Arial" w:hAnsi="Arial"/>
          <w:i/>
          <w:color w:val="64748B"/>
          <w:sz w:val="18"/>
        </w:rPr>
        <w:t>Referencia: ISO 25010 — Corrección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200" w:after="40"/>
        <w:shd w:val="clear" w:color="auto" w:fill="7C3AED"/>
      </w:pPr>
      <w:r>
        <w:rPr>
          <w:rFonts w:ascii="Arial" w:hAnsi="Arial"/>
          <w:b/>
          <w:color w:val="FFFFFF"/>
          <w:sz w:val="20"/>
        </w:rPr>
        <w:t xml:space="preserve">  Avatar y personalización  </w:t>
      </w:r>
    </w:p>
    <w:p>
      <w:pPr>
        <w:spacing w:before="60" w:after="20"/>
        <w:ind w:left="0"/>
      </w:pPr>
      <w:r>
        <w:rPr>
          <w:rFonts w:ascii="Arial" w:hAnsi="Arial"/>
          <w:b/>
          <w:color w:val="540D6E"/>
          <w:sz w:val="22"/>
        </w:rPr>
        <w:t xml:space="preserve">B13. </w:t>
      </w:r>
      <w:r>
        <w:rPr>
          <w:rFonts w:ascii="Arial" w:hAnsi="Arial"/>
          <w:sz w:val="22"/>
        </w:rPr>
        <w:t>El módulo de selección de avatar funciona correctamente y persiste la elección del estudiante entre sesiones.</w:t>
      </w:r>
    </w:p>
    <w:p>
      <w:pPr>
        <w:spacing w:after="40"/>
        <w:ind w:left="283"/>
      </w:pPr>
      <w:r>
        <w:rPr>
          <w:rFonts w:ascii="Arial" w:hAnsi="Arial"/>
          <w:i/>
          <w:color w:val="64748B"/>
          <w:sz w:val="18"/>
        </w:rPr>
        <w:t>Referencia: ISO 25010 — Completitud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200" w:after="40"/>
        <w:shd w:val="clear" w:color="auto" w:fill="7C3AED"/>
      </w:pPr>
      <w:r>
        <w:rPr>
          <w:rFonts w:ascii="Arial" w:hAnsi="Arial"/>
          <w:b/>
          <w:color w:val="FFFFFF"/>
          <w:sz w:val="20"/>
        </w:rPr>
        <w:t xml:space="preserve">  Integración de módulos  </w:t>
      </w:r>
    </w:p>
    <w:p>
      <w:pPr>
        <w:spacing w:before="60" w:after="20"/>
        <w:ind w:left="0"/>
      </w:pPr>
      <w:r>
        <w:rPr>
          <w:rFonts w:ascii="Arial" w:hAnsi="Arial"/>
          <w:b/>
          <w:color w:val="540D6E"/>
          <w:sz w:val="22"/>
        </w:rPr>
        <w:t xml:space="preserve">B14. </w:t>
      </w:r>
      <w:r>
        <w:rPr>
          <w:rFonts w:ascii="Arial" w:hAnsi="Arial"/>
          <w:sz w:val="22"/>
        </w:rPr>
        <w:t>Los módulos del sistema (autenticación, cursos, OVA, evaluaciones) están integrados de forma coherente y sin inconsistencias.</w:t>
      </w:r>
    </w:p>
    <w:p>
      <w:pPr>
        <w:spacing w:after="40"/>
        <w:ind w:left="283"/>
      </w:pPr>
      <w:r>
        <w:rPr>
          <w:rFonts w:ascii="Arial" w:hAnsi="Arial"/>
          <w:i/>
          <w:color w:val="64748B"/>
          <w:sz w:val="18"/>
        </w:rPr>
        <w:t>Referencia: ISO 25010 — Adecuación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pPr>
        <w:spacing w:before="200" w:after="40"/>
        <w:shd w:val="clear" w:color="auto" w:fill="7C3AED"/>
      </w:pPr>
      <w:r>
        <w:rPr>
          <w:rFonts w:ascii="Arial" w:hAnsi="Arial"/>
          <w:b/>
          <w:color w:val="FFFFFF"/>
          <w:sz w:val="20"/>
        </w:rPr>
        <w:t xml:space="preserve">  Gestión global del sistema  </w:t>
      </w:r>
    </w:p>
    <w:p>
      <w:pPr>
        <w:spacing w:before="60" w:after="20"/>
        <w:ind w:left="0"/>
      </w:pPr>
      <w:r>
        <w:rPr>
          <w:rFonts w:ascii="Arial" w:hAnsi="Arial"/>
          <w:b/>
          <w:color w:val="540D6E"/>
          <w:sz w:val="22"/>
        </w:rPr>
        <w:t xml:space="preserve">B15. </w:t>
      </w:r>
      <w:r>
        <w:rPr>
          <w:rFonts w:ascii="Arial" w:hAnsi="Arial"/>
          <w:sz w:val="22"/>
        </w:rPr>
        <w:t>Las funciones administrativas (usuarios, cursos, OVA, reportes) cubren de forma completa las necesidades de gestión académica descritas.</w:t>
      </w:r>
    </w:p>
    <w:p>
      <w:pPr>
        <w:spacing w:after="40"/>
        <w:ind w:left="283"/>
      </w:pPr>
      <w:r>
        <w:rPr>
          <w:rFonts w:ascii="Arial" w:hAnsi="Arial"/>
          <w:i/>
          <w:color w:val="64748B"/>
          <w:sz w:val="18"/>
        </w:rPr>
        <w:t>Referencia: ISO 25010 — Completitud funcional</w:t>
      </w:r>
    </w:p>
    <w:p>
      <w:pPr>
        <w:spacing w:after="80"/>
        <w:ind w:left="283"/>
      </w:pPr>
      <w:r>
        <w:rPr>
          <w:rFonts w:ascii="Arial" w:hAnsi="Arial"/>
          <w:color w:val="1E293B"/>
          <w:sz w:val="20"/>
        </w:rPr>
        <w:t>Valoración:   ○ 1 — Totalmente en desacuerdo     ○ 2 — En desacuerdo     ○ 3 — Neutral     ○ 4 — De acuerdo     ○ 5 — Totalmente de acuerdo</w:t>
      </w:r>
    </w:p>
    <w:p>
      <w:pPr>
        <w:spacing w:after="120"/>
        <w:ind w:left="283"/>
      </w:pPr>
      <w:r>
        <w:rPr>
          <w:rFonts w:ascii="Arial" w:hAnsi="Arial"/>
          <w:color w:val="64748B"/>
          <w:sz w:val="20"/>
        </w:rPr>
        <w:t>Observación (opcional): _____________________________________________________________</w:t>
      </w:r>
    </w:p>
    <w:p>
      <w:r>
        <w:br w:type="page"/>
      </w:r>
    </w:p>
    <w:p>
      <w:pPr>
        <w:shd w:val="clear" w:color="auto" w:fill="1E293B"/>
        <w:spacing w:before="240" w:after="40"/>
      </w:pPr>
      <w:r>
        <w:rPr>
          <w:rFonts w:ascii="Arial" w:hAnsi="Arial"/>
          <w:b/>
          <w:color w:val="FFFFFF"/>
          <w:sz w:val="24"/>
        </w:rPr>
        <w:t>SECCIÓN C — EVALUACIÓN DE USABILIDAD</w:t>
      </w:r>
    </w:p>
    <w:p>
      <w:pPr>
        <w:spacing w:before="0" w:after="120"/>
        <w:ind w:left="0"/>
        <w:jc w:val="both"/>
      </w:pPr>
      <w:r>
        <w:rPr>
          <w:rFonts w:ascii="Arial" w:hAnsi="Arial"/>
          <w:b w:val="0"/>
          <w:i/>
          <w:color w:val="64748B"/>
          <w:sz w:val="22"/>
        </w:rPr>
        <w:t>Instrucciones: Valore cada ítem según la escala: 1 = Totalmente en desacuerdo · 2 = En desacuerdo · 3 = Ni de acuerdo ni en desacuerdo · 4 = De acuerdo · 5 = Totalmente de acuerdo.</w:t>
      </w:r>
    </w:p>
    <w:p>
      <w:pPr>
        <w:spacing w:before="0" w:after="200"/>
        <w:ind w:left="0"/>
        <w:jc w:val="both"/>
      </w:pPr>
      <w:r>
        <w:rPr>
          <w:rFonts w:ascii="Arial" w:hAnsi="Arial"/>
          <w:b w:val="0"/>
          <w:i/>
          <w:color w:val="64748B"/>
          <w:sz w:val="22"/>
        </w:rPr>
        <w:t>📋 Nota para Google Forms: Configurar como "Cuadrícula de opción múltiple" (filas = ítems, columnas = 1 a 5).</w:t>
      </w:r>
    </w:p>
    <w:p>
      <w:pPr>
        <w:spacing w:before="120" w:after="20"/>
      </w:pPr>
      <w:r>
        <w:rPr>
          <w:rFonts w:ascii="Arial" w:hAnsi="Arial"/>
          <w:b/>
          <w:color w:val="540D6E"/>
          <w:sz w:val="22"/>
        </w:rPr>
        <w:t xml:space="preserve">C1. </w:t>
      </w:r>
      <w:r>
        <w:rPr>
          <w:rFonts w:ascii="Arial" w:hAnsi="Arial"/>
          <w:b/>
          <w:color w:val="1E293B"/>
          <w:sz w:val="20"/>
        </w:rPr>
        <w:t xml:space="preserve">[H1 — Visibilidad del estado del sistema] </w:t>
      </w:r>
      <w:r>
        <w:rPr>
          <w:rFonts w:ascii="Arial" w:hAnsi="Arial"/>
          <w:sz w:val="22"/>
        </w:rPr>
        <w:t>El sistema proporciona retroalimentación inmediata y clara ante cada acción del usuario (confirmaciones, alertas de error, indicadores de carga).</w:t>
      </w:r>
    </w:p>
    <w:p>
      <w:pPr>
        <w:spacing w:after="40"/>
        <w:ind w:left="283"/>
      </w:pPr>
      <w:r>
        <w:rPr>
          <w:rFonts w:ascii="Arial" w:hAnsi="Arial"/>
          <w:i/>
          <w:color w:val="64748B"/>
          <w:sz w:val="18"/>
        </w:rPr>
        <w:t>Referencia: ISO 25010 — Operabilidad</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C2. </w:t>
      </w:r>
      <w:r>
        <w:rPr>
          <w:rFonts w:ascii="Arial" w:hAnsi="Arial"/>
          <w:b/>
          <w:color w:val="1E293B"/>
          <w:sz w:val="20"/>
        </w:rPr>
        <w:t xml:space="preserve">[H2 — Correspondencia con el mundo real] </w:t>
      </w:r>
      <w:r>
        <w:rPr>
          <w:rFonts w:ascii="Arial" w:hAnsi="Arial"/>
          <w:sz w:val="22"/>
        </w:rPr>
        <w:t>El sistema utiliza terminología educativa familiar y comprensible para docentes, administradores y estudiantes, sin tecnicismos innecesarios.</w:t>
      </w:r>
    </w:p>
    <w:p>
      <w:pPr>
        <w:spacing w:after="40"/>
        <w:ind w:left="283"/>
      </w:pPr>
      <w:r>
        <w:rPr>
          <w:rFonts w:ascii="Arial" w:hAnsi="Arial"/>
          <w:i/>
          <w:color w:val="64748B"/>
          <w:sz w:val="18"/>
        </w:rPr>
        <w:t>Referencia: ISO 25010 — Reconocibilidad</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C3. </w:t>
      </w:r>
      <w:r>
        <w:rPr>
          <w:rFonts w:ascii="Arial" w:hAnsi="Arial"/>
          <w:b/>
          <w:color w:val="1E293B"/>
          <w:sz w:val="20"/>
        </w:rPr>
        <w:t xml:space="preserve">[H3 — Control y libertad del usuario] </w:t>
      </w:r>
      <w:r>
        <w:rPr>
          <w:rFonts w:ascii="Arial" w:hAnsi="Arial"/>
          <w:sz w:val="22"/>
        </w:rPr>
        <w:t>El usuario puede cancelar operaciones, cerrar modales y navegar libremente entre módulos sin consecuencias no deseadas.</w:t>
      </w:r>
    </w:p>
    <w:p>
      <w:pPr>
        <w:spacing w:after="40"/>
        <w:ind w:left="283"/>
      </w:pPr>
      <w:r>
        <w:rPr>
          <w:rFonts w:ascii="Arial" w:hAnsi="Arial"/>
          <w:i/>
          <w:color w:val="64748B"/>
          <w:sz w:val="18"/>
        </w:rPr>
        <w:t>Referencia: ISO 25010 — Operabilidad</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C4. </w:t>
      </w:r>
      <w:r>
        <w:rPr>
          <w:rFonts w:ascii="Arial" w:hAnsi="Arial"/>
          <w:b/>
          <w:color w:val="1E293B"/>
          <w:sz w:val="20"/>
        </w:rPr>
        <w:t xml:space="preserve">[H4 — Consistencia y estándares] </w:t>
      </w:r>
      <w:r>
        <w:rPr>
          <w:rFonts w:ascii="Arial" w:hAnsi="Arial"/>
          <w:sz w:val="22"/>
        </w:rPr>
        <w:t>Los elementos visuales (colores, tipografía, iconografía, disposición de botones) son consistentes en todos los módulos de la plataforma.</w:t>
      </w:r>
    </w:p>
    <w:p>
      <w:pPr>
        <w:spacing w:after="40"/>
        <w:ind w:left="283"/>
      </w:pPr>
      <w:r>
        <w:rPr>
          <w:rFonts w:ascii="Arial" w:hAnsi="Arial"/>
          <w:i/>
          <w:color w:val="64748B"/>
          <w:sz w:val="18"/>
        </w:rPr>
        <w:t>Referencia: ISO 25010 — Estética de la interfaz</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C5. </w:t>
      </w:r>
      <w:r>
        <w:rPr>
          <w:rFonts w:ascii="Arial" w:hAnsi="Arial"/>
          <w:b/>
          <w:color w:val="1E293B"/>
          <w:sz w:val="20"/>
        </w:rPr>
        <w:t xml:space="preserve">[H5 — Prevención de errores] </w:t>
      </w:r>
      <w:r>
        <w:rPr>
          <w:rFonts w:ascii="Arial" w:hAnsi="Arial"/>
          <w:sz w:val="22"/>
        </w:rPr>
        <w:t>El sistema valida los datos en tiempo real, solicita confirmación antes de acciones destructivas y previene errores del usuario mediante restricciones de entrada.</w:t>
      </w:r>
    </w:p>
    <w:p>
      <w:pPr>
        <w:spacing w:after="40"/>
        <w:ind w:left="283"/>
      </w:pPr>
      <w:r>
        <w:rPr>
          <w:rFonts w:ascii="Arial" w:hAnsi="Arial"/>
          <w:i/>
          <w:color w:val="64748B"/>
          <w:sz w:val="18"/>
        </w:rPr>
        <w:t>Referencia: ISO 25010 — Protección frente a errores</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C6. </w:t>
      </w:r>
      <w:r>
        <w:rPr>
          <w:rFonts w:ascii="Arial" w:hAnsi="Arial"/>
          <w:b/>
          <w:color w:val="1E293B"/>
          <w:sz w:val="20"/>
        </w:rPr>
        <w:t xml:space="preserve">[H6 — Reconocimiento antes que recuerdo] </w:t>
      </w:r>
      <w:r>
        <w:rPr>
          <w:rFonts w:ascii="Arial" w:hAnsi="Arial"/>
          <w:sz w:val="22"/>
        </w:rPr>
        <w:t>Las opciones de navegación, acciones disponibles y estados del sistema son visibles y no requieren que el usuario recuerde información de pantallas anteriores.</w:t>
      </w:r>
    </w:p>
    <w:p>
      <w:pPr>
        <w:spacing w:after="40"/>
        <w:ind w:left="283"/>
      </w:pPr>
      <w:r>
        <w:rPr>
          <w:rFonts w:ascii="Arial" w:hAnsi="Arial"/>
          <w:i/>
          <w:color w:val="64748B"/>
          <w:sz w:val="18"/>
        </w:rPr>
        <w:t>Referencia: ISO 25010 — Capacidad de aprendizaje</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C7. </w:t>
      </w:r>
      <w:r>
        <w:rPr>
          <w:rFonts w:ascii="Arial" w:hAnsi="Arial"/>
          <w:b/>
          <w:color w:val="1E293B"/>
          <w:sz w:val="20"/>
        </w:rPr>
        <w:t xml:space="preserve">[H7 — Flexibilidad y eficiencia de uso] </w:t>
      </w:r>
      <w:r>
        <w:rPr>
          <w:rFonts w:ascii="Arial" w:hAnsi="Arial"/>
          <w:sz w:val="22"/>
        </w:rPr>
        <w:t>El sistema ofrece funciones que aceleran la tarea del usuario experto (inscripción masiva, filtros de búsqueda, exportación directa) sin dificultar al usuario novato.</w:t>
      </w:r>
    </w:p>
    <w:p>
      <w:pPr>
        <w:spacing w:after="40"/>
        <w:ind w:left="283"/>
      </w:pPr>
      <w:r>
        <w:rPr>
          <w:rFonts w:ascii="Arial" w:hAnsi="Arial"/>
          <w:i/>
          <w:color w:val="64748B"/>
          <w:sz w:val="18"/>
        </w:rPr>
        <w:t>Referencia: ISO 25010 — Operabilidad</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C8. </w:t>
      </w:r>
      <w:r>
        <w:rPr>
          <w:rFonts w:ascii="Arial" w:hAnsi="Arial"/>
          <w:b/>
          <w:color w:val="1E293B"/>
          <w:sz w:val="20"/>
        </w:rPr>
        <w:t xml:space="preserve">[H8 — Diseño estético y minimalista] </w:t>
      </w:r>
      <w:r>
        <w:rPr>
          <w:rFonts w:ascii="Arial" w:hAnsi="Arial"/>
          <w:sz w:val="22"/>
        </w:rPr>
        <w:t>La interfaz presenta únicamente la información necesaria para cada tarea, sin elementos visuales distractores o redundantes.</w:t>
      </w:r>
    </w:p>
    <w:p>
      <w:pPr>
        <w:spacing w:after="40"/>
        <w:ind w:left="283"/>
      </w:pPr>
      <w:r>
        <w:rPr>
          <w:rFonts w:ascii="Arial" w:hAnsi="Arial"/>
          <w:i/>
          <w:color w:val="64748B"/>
          <w:sz w:val="18"/>
        </w:rPr>
        <w:t>Referencia: ISO 25010 — Estética de la interfaz</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C9. </w:t>
      </w:r>
      <w:r>
        <w:rPr>
          <w:rFonts w:ascii="Arial" w:hAnsi="Arial"/>
          <w:b/>
          <w:color w:val="1E293B"/>
          <w:sz w:val="20"/>
        </w:rPr>
        <w:t xml:space="preserve">[H9 — Reconocimiento y recuperación de errores] </w:t>
      </w:r>
      <w:r>
        <w:rPr>
          <w:rFonts w:ascii="Arial" w:hAnsi="Arial"/>
          <w:sz w:val="22"/>
        </w:rPr>
        <w:t>Los mensajes de error son claros, están redactados en lenguaje comprensible e indican cómo resolver el problema.</w:t>
      </w:r>
    </w:p>
    <w:p>
      <w:pPr>
        <w:spacing w:after="40"/>
        <w:ind w:left="283"/>
      </w:pPr>
      <w:r>
        <w:rPr>
          <w:rFonts w:ascii="Arial" w:hAnsi="Arial"/>
          <w:i/>
          <w:color w:val="64748B"/>
          <w:sz w:val="18"/>
        </w:rPr>
        <w:t>Referencia: ISO 25010 — Protección frente a errores</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pPr>
        <w:spacing w:before="120" w:after="20"/>
      </w:pPr>
      <w:r>
        <w:rPr>
          <w:rFonts w:ascii="Arial" w:hAnsi="Arial"/>
          <w:b/>
          <w:color w:val="540D6E"/>
          <w:sz w:val="22"/>
        </w:rPr>
        <w:t xml:space="preserve">C10. </w:t>
      </w:r>
      <w:r>
        <w:rPr>
          <w:rFonts w:ascii="Arial" w:hAnsi="Arial"/>
          <w:b/>
          <w:color w:val="1E293B"/>
          <w:sz w:val="20"/>
        </w:rPr>
        <w:t xml:space="preserve">[H10 — Ayuda y documentación contextual] </w:t>
      </w:r>
      <w:r>
        <w:rPr>
          <w:rFonts w:ascii="Arial" w:hAnsi="Arial"/>
          <w:sz w:val="22"/>
        </w:rPr>
        <w:t>El sistema orienta al usuario con textos de ayuda, mensajes de bienvenida y elementos de guía que facilitan el aprendizaje autónomo de la plataforma.</w:t>
      </w:r>
    </w:p>
    <w:p>
      <w:pPr>
        <w:spacing w:after="40"/>
        <w:ind w:left="283"/>
      </w:pPr>
      <w:r>
        <w:rPr>
          <w:rFonts w:ascii="Arial" w:hAnsi="Arial"/>
          <w:i/>
          <w:color w:val="64748B"/>
          <w:sz w:val="18"/>
        </w:rPr>
        <w:t>Referencia: ISO 25010 — Capacidad de aprendizaje</w:t>
      </w:r>
    </w:p>
    <w:p>
      <w:pPr>
        <w:spacing w:after="40"/>
        <w:ind w:left="283"/>
      </w:pPr>
      <w:r>
        <w:rPr>
          <w:rFonts w:ascii="Arial" w:hAnsi="Arial"/>
          <w:color w:val="1E293B"/>
          <w:sz w:val="20"/>
        </w:rPr>
        <w:t>Valoración:   ○ 1 — Totalmente en desacuerdo     ○ 2 — En desacuerdo     ○ 3 — Neutral     ○ 4 — De acuerdo     ○ 5 — Totalmente de acuerdo</w:t>
      </w:r>
    </w:p>
    <w:p>
      <w:pPr>
        <w:spacing w:after="80"/>
        <w:ind w:left="283"/>
      </w:pPr>
      <w:r>
        <w:rPr>
          <w:rFonts w:ascii="Arial" w:hAnsi="Arial"/>
          <w:color w:val="64748B"/>
          <w:sz w:val="20"/>
        </w:rPr>
        <w:t>Observación (opcional): _____________________________________________________________</w:t>
      </w:r>
    </w:p>
    <w:p>
      <w:r>
        <w:br w:type="page"/>
      </w:r>
    </w:p>
    <w:p>
      <w:pPr>
        <w:shd w:val="clear" w:color="auto" w:fill="1E293B"/>
        <w:spacing w:before="240" w:after="40"/>
      </w:pPr>
      <w:r>
        <w:rPr>
          <w:rFonts w:ascii="Arial" w:hAnsi="Arial"/>
          <w:b/>
          <w:color w:val="FFFFFF"/>
          <w:sz w:val="24"/>
        </w:rPr>
        <w:t>SECCIÓN D — PREGUNTAS ABIERTAS</w:t>
      </w:r>
    </w:p>
    <w:p>
      <w:pPr>
        <w:spacing w:before="0" w:after="200"/>
        <w:ind w:left="0"/>
        <w:jc w:val="both"/>
      </w:pPr>
      <w:r>
        <w:rPr>
          <w:rFonts w:ascii="Arial" w:hAnsi="Arial"/>
          <w:b w:val="0"/>
          <w:i/>
          <w:color w:val="64748B"/>
          <w:sz w:val="22"/>
        </w:rPr>
        <w:t>📋 Nota para Google Forms: Configurar cada pregunta como "Párrafo" para permitir respuestas extensas.</w:t>
      </w:r>
    </w:p>
    <w:p>
      <w:pPr>
        <w:spacing w:before="280" w:after="80"/>
      </w:pPr>
      <w:r>
        <w:rPr>
          <w:rFonts w:ascii="Arial" w:hAnsi="Arial"/>
          <w:b/>
          <w:color w:val="540D6E"/>
          <w:sz w:val="24"/>
        </w:rPr>
        <w:t>D1. Riesgo funcional prioritario</w:t>
      </w:r>
    </w:p>
    <w:p>
      <w:pPr>
        <w:spacing w:after="160"/>
        <w:jc w:val="both"/>
      </w:pPr>
      <w:r>
        <w:rPr>
          <w:rFonts w:ascii="Arial" w:hAnsi="Arial"/>
          <w:sz w:val="22"/>
        </w:rPr>
        <w:t>¿Qué funcionalidad de la plataforma EVA considera que representa el mayor riesgo operativo en un contexto real de uso en instituciones de educación básica? Justifique su respuesta.</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before="280" w:after="80"/>
      </w:pPr>
      <w:r>
        <w:rPr>
          <w:rFonts w:ascii="Arial" w:hAnsi="Arial"/>
          <w:b/>
          <w:color w:val="540D6E"/>
          <w:sz w:val="24"/>
        </w:rPr>
        <w:t>D2. Barreras de adopción — Usabilidad y experiencia de usuario</w:t>
      </w:r>
    </w:p>
    <w:p>
      <w:pPr>
        <w:spacing w:after="160"/>
        <w:jc w:val="both"/>
      </w:pPr>
      <w:r>
        <w:rPr>
          <w:rFonts w:ascii="Arial" w:hAnsi="Arial"/>
          <w:sz w:val="22"/>
        </w:rPr>
        <w:t>Desde su experiencia, ¿qué barreras de usabilidad o de experiencia de usuario identificó en la plataforma que podrían dificultar su adopción por parte de docentes y estudiantes? ¿Qué mejoras específicas recomendaría?</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before="280" w:after="80"/>
      </w:pPr>
      <w:r>
        <w:rPr>
          <w:rFonts w:ascii="Arial" w:hAnsi="Arial"/>
          <w:b/>
          <w:color w:val="540D6E"/>
          <w:sz w:val="24"/>
        </w:rPr>
        <w:t>D3. Recomendaciones técnicas y arquitectónicas</w:t>
      </w:r>
    </w:p>
    <w:p>
      <w:pPr>
        <w:spacing w:after="160"/>
        <w:jc w:val="both"/>
      </w:pPr>
      <w:r>
        <w:rPr>
          <w:rFonts w:ascii="Arial" w:hAnsi="Arial"/>
          <w:sz w:val="22"/>
        </w:rPr>
        <w:t>¿Qué recomendaciones técnicas o arquitectónicas (seguridad, escalabilidad, accesibilidad, integración con otros sistemas) considera prioritarias para mejorar la calidad global de la plataforma EVA antes de su despliegue definitivo?</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pPr>
        <w:spacing w:after="0"/>
      </w:pPr>
      <w:r>
        <w:rPr>
          <w:rFonts w:ascii="Arial" w:hAnsi="Arial"/>
          <w:color w:val="64748B"/>
          <w:sz w:val="20"/>
        </w:rPr>
        <w:t>__________________________________________________________________________________________</w:t>
      </w:r>
    </w:p>
    <w:p>
      <w:r>
        <w:br w:type="page"/>
      </w:r>
    </w:p>
    <w:p>
      <w:pPr>
        <w:spacing w:before="400" w:after="120"/>
      </w:pPr>
      <w:r>
        <w:rPr>
          <w:rFonts w:ascii="Arial" w:hAnsi="Arial"/>
          <w:b/>
          <w:color w:val="540D6E"/>
          <w:sz w:val="32"/>
        </w:rPr>
        <w:t>Declaración del Evaluador</w:t>
      </w:r>
    </w:p>
    <w:p>
      <w:pPr>
        <w:spacing w:before="0" w:after="80"/>
        <w:ind w:left="0"/>
        <w:jc w:val="both"/>
      </w:pPr>
      <w:r>
        <w:rPr>
          <w:rFonts w:ascii="Arial" w:hAnsi="Arial"/>
          <w:b w:val="0"/>
          <w:i w:val="0"/>
          <w:sz w:val="22"/>
        </w:rPr>
        <w:t>El abajo firmante declara haber revisado la plataforma EVA en condiciones representativas de uso y haber completado el presente instrumento de evaluación de forma honesta, independiente y con base en su criterio profesional.</w:t>
      </w:r>
    </w:p>
    <w:p>
      <w:pPr>
        <w:spacing w:before="800" w:after="80"/>
      </w:pPr>
      <w:r>
        <w:rPr>
          <w:rFonts w:ascii="Arial" w:hAnsi="Arial"/>
          <w:sz w:val="22"/>
        </w:rPr>
        <w:t>Firma: ____________________________________</w:t>
      </w:r>
    </w:p>
    <w:p>
      <w:pPr>
        <w:spacing w:after="80"/>
      </w:pPr>
      <w:r>
        <w:rPr>
          <w:rFonts w:ascii="Arial" w:hAnsi="Arial"/>
          <w:sz w:val="22"/>
        </w:rPr>
        <w:t>Nombre y apellido: ________________________</w:t>
      </w:r>
    </w:p>
    <w:p>
      <w:pPr>
        <w:spacing w:after="80"/>
      </w:pPr>
      <w:r>
        <w:rPr>
          <w:rFonts w:ascii="Arial" w:hAnsi="Arial"/>
          <w:sz w:val="22"/>
        </w:rPr>
        <w:t>Fecha de diligenciamiento: _________________</w:t>
      </w:r>
    </w:p>
    <w:p>
      <w:pPr>
        <w:spacing w:after="80"/>
      </w:pPr>
      <w:r>
        <w:rPr>
          <w:rFonts w:ascii="Arial" w:hAnsi="Arial"/>
          <w:sz w:val="22"/>
        </w:rPr>
        <w:t>Ciudad e institución: ______________________</w:t>
      </w:r>
    </w:p>
    <w:p>
      <w:pPr>
        <w:spacing w:before="800"/>
        <w:jc w:val="center"/>
        <w:pBdr>
          <w:top w:val="single" w:sz="8" w:space="1" w:color="540D6E"/>
        </w:pBdr>
      </w:pPr>
      <w:r>
        <w:rPr>
          <w:rFonts w:ascii="Arial" w:hAnsi="Arial"/>
          <w:color w:val="64748B"/>
          <w:sz w:val="16"/>
        </w:rPr>
        <w:t>Referencias normativas: ISO/IEC 25010:2011 · ISO/IEC 25040:2011 · Nielsen (1994) · Brooke (1996) · Likert (1932)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