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d99b1518d09e96d2b4e196fb1c6f317c053944"/>
    <w:p>
      <w:pPr>
        <w:pStyle w:val="Heading1"/>
      </w:pPr>
      <w:r>
        <w:t xml:space="preserve">Distance remains a strong baseline for CRISPRi enhancer–gene ranking: a leave-one-chromosome-out reassessment and a corrected Enformer silencing analysis</w:t>
      </w:r>
    </w:p>
    <w:p>
      <w:pPr>
        <w:pStyle w:val="FirstParagraph"/>
      </w:pPr>
      <w:r>
        <w:rPr>
          <w:b/>
          <w:bCs/>
        </w:rPr>
        <w:t xml:space="preserve">Authors:</w:t>
      </w:r>
      <w:r>
        <w:t xml:space="preserve"> </w:t>
      </w:r>
      <w:r>
        <w:t xml:space="preserve">Gabriele Bambini¹, Lorenzo De Santis¹, Andrea Tangherloni¹</w:t>
      </w:r>
      <w:r>
        <w:t xml:space="preserve"> </w:t>
      </w:r>
      <w:r>
        <w:t xml:space="preserve">¹ Università Commerciale Luigi Bocconi, Milano, Italia</w:t>
      </w:r>
    </w:p>
    <w:p>
      <w:pPr>
        <w:pStyle w:val="BodyText"/>
      </w:pPr>
      <w:r>
        <w:rPr>
          <w:i/>
          <w:iCs/>
        </w:rPr>
        <w:t xml:space="preserve">Draft for author review. Every number in the Abstract, Results and Discussion is filled from</w:t>
      </w:r>
      <w:r>
        <w:rPr>
          <w:i/>
          <w:iCs/>
        </w:rPr>
        <w:t xml:space="preserve"> </w:t>
      </w:r>
      <w:r>
        <w:rPr>
          <w:rStyle w:val="VerbatimChar"/>
          <w:i/>
          <w:iCs/>
        </w:rPr>
        <w:t xml:space="preserve">results/claims.json</w:t>
      </w:r>
      <w:r>
        <w:rPr>
          <w:i/>
          <w:iCs/>
        </w:rPr>
        <w:t xml:space="preserve"> </w:t>
      </w:r>
      <w:r>
        <w:rPr>
          <w:i/>
          <w:iCs/>
        </w:rPr>
        <w:t xml:space="preserve">by</w:t>
      </w:r>
      <w:r>
        <w:rPr>
          <w:i/>
          <w:iCs/>
        </w:rPr>
        <w:t xml:space="preserve"> </w:t>
      </w:r>
      <w:r>
        <w:rPr>
          <w:rStyle w:val="VerbatimChar"/>
          <w:i/>
          <w:iCs/>
        </w:rPr>
        <w:t xml:space="preserve">scripts/claims.py</w:t>
      </w:r>
      <w:r>
        <w:rPr>
          <w:i/>
          <w:iCs/>
        </w:rPr>
        <w:t xml:space="preserve">. Proposed bioRxiv category: Confirmatory Results.</w:t>
      </w:r>
    </w:p>
    <w:bookmarkStart w:id="9" w:name="abstract"/>
    <w:p>
      <w:pPr>
        <w:pStyle w:val="Heading2"/>
      </w:pPr>
      <w:r>
        <w:t xml:space="preserve">Abstract</w:t>
      </w:r>
    </w:p>
    <w:p>
      <w:pPr>
        <w:pStyle w:val="FirstParagraph"/>
      </w:pPr>
      <w:r>
        <w:rPr>
          <w:b/>
          <w:bCs/>
        </w:rPr>
        <w:t xml:space="preserve">Background.</w:t>
      </w:r>
      <w:r>
        <w:t xml:space="preserve"> </w:t>
      </w:r>
      <w:r>
        <w:t xml:space="preserve">Supervised predictors of CRISPR interference (CRISPRi) enhancer–gene effects are trained and judged on a public table of 10,356 tested K562 element–gene pairs (471 significant decreases). An earlier internal analysis of this table reported a distance-plus-accessibility model as a calibrated reference, a collapse of transfer across cell types, and no information in Enformer silencing scores.</w:t>
      </w:r>
    </w:p>
    <w:p>
      <w:pPr>
        <w:pStyle w:val="BodyText"/>
      </w:pPr>
      <w:r>
        <w:rPr>
          <w:b/>
          <w:bCs/>
        </w:rPr>
        <w:t xml:space="preserve">Methods.</w:t>
      </w:r>
      <w:r>
        <w:t xml:space="preserve"> </w:t>
      </w:r>
      <w:r>
        <w:t xml:space="preserve">We audited that analysis, pre-specified a replacement plan in a time-stamped file, and re-evaluated everything with leave-one-chromosome-out (LOCO) folds, cluster-aware bootstrap intervals, locus-disjoint transfer and a corrected Enformer implementation. Amendments made after seeing results are listed and labelled post hoc.</w:t>
      </w:r>
    </w:p>
    <w:p>
      <w:pPr>
        <w:pStyle w:val="BodyText"/>
      </w:pPr>
      <w:r>
        <w:rPr>
          <w:b/>
          <w:bCs/>
        </w:rPr>
        <w:t xml:space="preserve">Results.</w:t>
      </w:r>
      <w:r>
        <w:t xml:space="preserve"> </w:t>
      </w:r>
      <w:r>
        <w:t xml:space="preserve">Ranking pairs by negative log-distance without any fitting reached a pooled AUPRC of 0.438, in agreement with the published value of 0.436.</w:t>
      </w:r>
      <w:r>
        <w:t xml:space="preserve"> </w:t>
      </w:r>
      <w:r>
        <w:t xml:space="preserve"> </w:t>
      </w:r>
      <w:r>
        <w:t xml:space="preserve">A gradient-boosted regression on distance and K562 accessibility scored 0.389, below raw distance (difference -0.049; Holm-adjusted p = 0.016), and an evaluation on chr19 alone would have suggested the opposite. Benchmark annotations and logistic regression were not detectably better than raw distance.</w:t>
      </w:r>
      <w:r>
        <w:t xml:space="preserve"> </w:t>
      </w:r>
      <w:r>
        <w:t xml:space="preserve"> </w:t>
      </w:r>
      <w:r>
        <w:t xml:space="preserve">Locus-disjoint transfer to held-out K562 screens reached the native ceiling (lift 4.5 against 4.3) but did not exceed unfitted distance in the target (6.0); the only other estimable cell type had few independent loci, and three more could not be tested, so a cross-cell-type collapse was not reproduced but cannot be excluded.</w:t>
      </w:r>
      <w:r>
        <w:t xml:space="preserve"> </w:t>
      </w:r>
      <w:r>
        <w:t xml:space="preserve"> </w:t>
      </w:r>
      <w:r>
        <w:t xml:space="preserve">After correcting an output-indexing error and the choice of tracks, adding the Enformer silencing score for K562 CAGE raised AUPRC over a distance-plus-accessibility regression by 0.076 (interval 0.042 to 0.109) for the 1,750 pairs inside the model window. That comparator is itself weaker than raw distance.</w:t>
      </w:r>
      <w:r>
        <w:t xml:space="preserve"> </w:t>
      </w:r>
      <w:r>
        <w:t xml:space="preserve"> </w:t>
      </w:r>
      <w:r>
        <w:t xml:space="preserve">Against raw distance the gradient-boosted combination was not detectably better (0.015), whereas, in post hoc contrasts, the silencing score alone and a logistic model that includes it were detectably better (0.103 and 0.097). Constant-width conformal intervals covered 0.88 of effects on average but only 0.56 in the top decile of predicted effects.</w:t>
      </w:r>
    </w:p>
    <w:p>
      <w:pPr>
        <w:pStyle w:val="BodyText"/>
      </w:pPr>
      <w:r>
        <w:rPr>
          <w:b/>
          <w:bCs/>
        </w:rPr>
        <w:t xml:space="preserve">Conclusions.</w:t>
      </w:r>
      <w:r>
        <w:t xml:space="preserve"> </w:t>
      </w:r>
      <w:r>
        <w:t xml:space="preserve">On this table raw distance is a strong baseline, a single held-out chromosome can mislead, and sequence-model silencing scores add information for nearby elements, by an amount that depends on the baseline used. All numbers are regenerated by one pipeline and checked against this text.</w:t>
      </w:r>
    </w:p>
    <w:bookmarkEnd w:id="9"/>
    <w:bookmarkStart w:id="10" w:name="introduction"/>
    <w:p>
      <w:pPr>
        <w:pStyle w:val="Heading2"/>
      </w:pPr>
      <w:r>
        <w:t xml:space="preserve">1. Introduction</w:t>
      </w:r>
    </w:p>
    <w:p>
      <w:pPr>
        <w:pStyle w:val="FirstParagraph"/>
      </w:pPr>
      <w:r>
        <w:t xml:space="preserve">CRISPR interference (CRISPRi) screens measure the effect of repressing individual candidate enhancers on the expression of nearby genes [Fulco 2019; Gasperini 2019; Nasser 2021]. Their pooled data now underpin supervised enhancer–gene predictors such as ENCODE-rE2G, trained and evaluated on a combined table of 10,356 tested K562 element–gene pairs with leave-one-chromosome-out (LOCO) cross-validation [Gschwind 2026]. Two observations from that literature frame the present study. First, genomic distance to the transcription start site (TSS) is a competitive baseline on CRISPR benchmarks and has long been used as a comparator [Fulco 2019; Gasperini 2019; Nasser 2021; Moore 2020], so any added feature must be judged against it with uncertainty that respects the dependence between pairs. Second, sequence-to-function models such as Enformer [Avsec 2021] predict distal enhancer effects poorly when probed by in-silico perturbation [Karollus 2023], while recent models report improvements when their scores are added to rE2G [Avsec 2026]. The benchmark’s source publication already evaluates Enformer on this table, scoring only pairs closer than the model window and setting the others to zero [Gschwind 2026].</w:t>
      </w:r>
    </w:p>
    <w:p>
      <w:pPr>
        <w:pStyle w:val="BodyText"/>
      </w:pPr>
      <w:r>
        <w:t xml:space="preserve">We began from an internal v1.0 analysis of the same table that reported (i) a calibrated distance-plus-ATAC gradient-boosted baseline, (ii) a collapse of transfer to other cell types and screens, (iii) a negative result for Enformer silencing scores, and (iv) a set of failed method variants. A line-by-line audit of that release (</w:t>
      </w:r>
      <w:r>
        <w:rPr>
          <w:rStyle w:val="VerbatimChar"/>
        </w:rPr>
        <w:t xml:space="preserve">supplementary/AUDIT_v1.md</w:t>
      </w:r>
      <w:r>
        <w:t xml:space="preserve">) found implementation and design problems that bear directly on (ii) and (iii), including an output-bin offset in the Enformer scoring code, an unverified track slice, a correlation helper that aligned pandas series on index labels, a bootstrap interval inconsistent with its point estimate, and K562 chromatin features applied to other cell types. This manuscript therefore (a) re-derives all baseline results under LOCO with cluster-aware inference, (b) re-tests transfer with locus-disjoint sources and within-context ceilings, (c) re-runs the Enformer counterfactual with the corrected geometry, track indices and a fidelity control, and (d) documents the audit as a worked example of how such errors arise and are caught. The analyses were pre-specified in a git-timestamped plan (</w:t>
      </w:r>
      <w:r>
        <w:rPr>
          <w:rStyle w:val="VerbatimChar"/>
        </w:rPr>
        <w:t xml:space="preserve">supplementary/PREREG_v2.md</w:t>
      </w:r>
      <w:r>
        <w:t xml:space="preserve">), and every number below is regenerated by</w:t>
      </w:r>
      <w:r>
        <w:t xml:space="preserve"> </w:t>
      </w:r>
      <w:r>
        <w:rPr>
          <w:rStyle w:val="VerbatimChar"/>
        </w:rPr>
        <w:t xml:space="preserve">hpc/run_all.sh</w:t>
      </w:r>
      <w:r>
        <w:t xml:space="preserve"> </w:t>
      </w:r>
      <w:r>
        <w:t xml:space="preserve">and machine-checked against the text.</w:t>
      </w:r>
    </w:p>
    <w:p>
      <w:pPr>
        <w:pStyle w:val="BodyText"/>
      </w:pPr>
      <w:r>
        <w:t xml:space="preserve">We make no claim of a new predictor. Our contribution is a rebuildable, uncertainty-aware reassessment on public data and an account of what the v1.0 conclusions do and do not survive.</w:t>
      </w:r>
    </w:p>
    <w:bookmarkEnd w:id="10"/>
    <w:bookmarkStart w:id="19" w:name="results"/>
    <w:p>
      <w:pPr>
        <w:pStyle w:val="Heading2"/>
      </w:pPr>
      <w:r>
        <w:t xml:space="preserve">2. Results</w:t>
      </w:r>
    </w:p>
    <w:bookmarkStart w:id="11" w:name="X2726a93c0e7ec79d32c43d24c6f9981e9145f63"/>
    <w:p>
      <w:pPr>
        <w:pStyle w:val="Heading3"/>
      </w:pPr>
      <w:r>
        <w:t xml:space="preserve">2.1 Unfitted distance reproduces the published baseline</w:t>
      </w:r>
    </w:p>
    <w:p>
      <w:pPr>
        <w:pStyle w:val="FirstParagraph"/>
      </w:pPr>
      <w:r>
        <w:t xml:space="preserve">Ranking the 10,356 pairs by negative log-distance (M0), with no fitting, gives a pooled AUPRC of 0.438 for the</w:t>
      </w:r>
      <w:r>
        <w:t xml:space="preserve"> </w:t>
      </w:r>
      <w:r>
        <w:rPr>
          <w:rStyle w:val="VerbatimChar"/>
        </w:rPr>
        <w:t xml:space="preserve">Regulated</w:t>
      </w:r>
      <w:r>
        <w:t xml:space="preserve"> </w:t>
      </w:r>
      <w:r>
        <w:t xml:space="preserve">label (471 positives, prevalence 0.045). The benchmark’s source publication reports 0.436 for the same baseline [Gschwind 2026], a difference of 0.0018; precision at the threshold giving seventy percent recall is 0.316 here against 0.316 there. Because distance involves no training, this agreement tests the label definition and the pair set rather than any model. For context, the same publication reports 0.662 for ENCODE-rE2G and 0.613 for the activity-by-contact model; we do not re-implement them.</w:t>
      </w:r>
    </w:p>
    <w:bookmarkEnd w:id="11"/>
    <w:bookmarkStart w:id="12" w:name="Xefe4c576f09c2013bd57ae6a0ca7fa391a55e07"/>
    <w:p>
      <w:pPr>
        <w:pStyle w:val="Heading3"/>
      </w:pPr>
      <w:r>
        <w:t xml:space="preserve">2.2 Fitted distance-and-accessibility models are not shown to beat unfitted distance under LOCO</w:t>
      </w:r>
    </w:p>
    <w:p>
      <w:pPr>
        <w:pStyle w:val="FirstParagraph"/>
      </w:pPr>
      <w:r>
        <w:t xml:space="preserve">Table 1 gives out-of-fold results over 18 LOCO folds with cluster-bootstrap intervals (clusters: 600).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AUPRC</w:t>
            </w:r>
          </w:p>
        </w:tc>
        <w:tc>
          <w:tcPr/>
          <w:p>
            <w:pPr>
              <w:pStyle w:val="Compact"/>
            </w:pPr>
            <w:r>
              <w:t xml:space="preserve">CI</w:t>
            </w:r>
          </w:p>
        </w:tc>
        <w:tc>
          <w:tcPr/>
          <w:p>
            <w:pPr>
              <w:pStyle w:val="Compact"/>
            </w:pPr>
            <w:r>
              <w:t xml:space="preserve">AUROC</w:t>
            </w:r>
          </w:p>
        </w:tc>
        <w:tc>
          <w:tcPr/>
          <w:p>
            <w:pPr>
              <w:pStyle w:val="Compact"/>
            </w:pPr>
            <w:r>
              <w:t xml:space="preserve">Precision, top two percent</w:t>
            </w:r>
          </w:p>
        </w:tc>
      </w:tr>
      <w:tr>
        <w:tc>
          <w:tcPr/>
          <w:p>
            <w:pPr>
              <w:pStyle w:val="Compact"/>
            </w:pPr>
            <w:r>
              <w:t xml:space="preserve">M0 negative log-distance (no fit)</w:t>
            </w:r>
          </w:p>
        </w:tc>
        <w:tc>
          <w:tcPr/>
          <w:p>
            <w:pPr>
              <w:pStyle w:val="Compact"/>
            </w:pPr>
            <w:r>
              <w:t xml:space="preserve">0.438</w:t>
            </w:r>
          </w:p>
        </w:tc>
        <w:tc>
          <w:tcPr/>
          <w:p>
            <w:pPr>
              <w:pStyle w:val="Compact"/>
            </w:pPr>
            <w:r>
              <w:t xml:space="preserve">0.384 to 0.503</w:t>
            </w:r>
          </w:p>
        </w:tc>
        <w:tc>
          <w:tcPr/>
          <w:p>
            <w:pPr>
              <w:pStyle w:val="Compact"/>
            </w:pPr>
            <w:r>
              <w:t xml:space="preserve">0.897</w:t>
            </w:r>
          </w:p>
        </w:tc>
        <w:tc>
          <w:tcPr/>
          <w:p>
            <w:pPr>
              <w:pStyle w:val="Compact"/>
            </w:pPr>
            <w:r>
              <w:t xml:space="preserve">0.611</w:t>
            </w:r>
          </w:p>
        </w:tc>
      </w:tr>
      <w:tr>
        <w:tc>
          <w:tcPr/>
          <w:p>
            <w:pPr>
              <w:pStyle w:val="Compact"/>
            </w:pPr>
            <w:r>
              <w:t xml:space="preserve">M1 GBM on distance</w:t>
            </w:r>
          </w:p>
        </w:tc>
        <w:tc>
          <w:tcPr/>
          <w:p>
            <w:pPr>
              <w:pStyle w:val="Compact"/>
            </w:pPr>
            <w:r>
              <w:t xml:space="preserve">0.366</w:t>
            </w:r>
          </w:p>
        </w:tc>
        <w:tc>
          <w:tcPr/>
          <w:p>
            <w:pPr>
              <w:pStyle w:val="Compact"/>
            </w:pPr>
            <w:r>
              <w:t xml:space="preserve">0.316 to 0.435</w:t>
            </w:r>
          </w:p>
        </w:tc>
        <w:tc>
          <w:tcPr/>
          <w:p>
            <w:pPr>
              <w:pStyle w:val="Compact"/>
            </w:pPr>
            <w:r>
              <w:t xml:space="preserve">0.850</w:t>
            </w:r>
          </w:p>
        </w:tc>
        <w:tc>
          <w:tcPr/>
          <w:p>
            <w:pPr>
              <w:pStyle w:val="Compact"/>
            </w:pPr>
            <w:r>
              <w:t xml:space="preserve">0.534</w:t>
            </w:r>
          </w:p>
        </w:tc>
      </w:tr>
      <w:tr>
        <w:tc>
          <w:tcPr/>
          <w:p>
            <w:pPr>
              <w:pStyle w:val="Compact"/>
            </w:pPr>
            <w:r>
              <w:t xml:space="preserve">M2 GBM on distance and K562 ATAC</w:t>
            </w:r>
          </w:p>
        </w:tc>
        <w:tc>
          <w:tcPr/>
          <w:p>
            <w:pPr>
              <w:pStyle w:val="Compact"/>
            </w:pPr>
            <w:r>
              <w:t xml:space="preserve">0.389</w:t>
            </w:r>
          </w:p>
        </w:tc>
        <w:tc>
          <w:tcPr/>
          <w:p>
            <w:pPr>
              <w:pStyle w:val="Compact"/>
            </w:pPr>
            <w:r>
              <w:t xml:space="preserve">0.338 to 0.461</w:t>
            </w:r>
          </w:p>
        </w:tc>
        <w:tc>
          <w:tcPr/>
          <w:p>
            <w:pPr>
              <w:pStyle w:val="Compact"/>
            </w:pPr>
            <w:r>
              <w:t xml:space="preserve">0.853</w:t>
            </w:r>
          </w:p>
        </w:tc>
        <w:tc>
          <w:tcPr/>
          <w:p>
            <w:pPr>
              <w:pStyle w:val="Compact"/>
            </w:pPr>
            <w:r>
              <w:t xml:space="preserve">0.502</w:t>
            </w:r>
          </w:p>
        </w:tc>
      </w:tr>
      <w:tr>
        <w:tc>
          <w:tcPr/>
          <w:p>
            <w:pPr>
              <w:pStyle w:val="Compact"/>
            </w:pPr>
            <w:r>
              <w:t xml:space="preserve">M3 M2 plus benchmark annotations</w:t>
            </w:r>
          </w:p>
        </w:tc>
        <w:tc>
          <w:tcPr/>
          <w:p>
            <w:pPr>
              <w:pStyle w:val="Compact"/>
            </w:pPr>
            <w:r>
              <w:t xml:space="preserve">0.452</w:t>
            </w:r>
          </w:p>
        </w:tc>
        <w:tc>
          <w:tcPr/>
          <w:p>
            <w:pPr>
              <w:pStyle w:val="Compact"/>
            </w:pPr>
            <w:r>
              <w:t xml:space="preserve">0.391 to 0.530</w:t>
            </w:r>
          </w:p>
        </w:tc>
        <w:tc>
          <w:tcPr/>
          <w:p>
            <w:pPr>
              <w:pStyle w:val="Compact"/>
            </w:pPr>
            <w:r>
              <w:t xml:space="preserve">0.869</w:t>
            </w:r>
          </w:p>
        </w:tc>
        <w:tc>
          <w:tcPr/>
          <w:p>
            <w:pPr>
              <w:pStyle w:val="Compact"/>
            </w:pPr>
            <w:r>
              <w:t xml:space="preserve">0.649</w:t>
            </w:r>
          </w:p>
        </w:tc>
      </w:tr>
    </w:tbl>
    <w:p>
      <w:pPr>
        <w:pStyle w:val="BodyText"/>
      </w:pPr>
      <w:r>
        <w:rPr>
          <w:b/>
          <w:bCs/>
        </w:rPr>
        <w:t xml:space="preserve">Table 1.</w:t>
      </w:r>
      <w:r>
        <w:t xml:space="preserve"> </w:t>
      </w:r>
      <w:r>
        <w:t xml:space="preserve">Pooled LOCO results for the label</w:t>
      </w:r>
      <w:r>
        <w:t xml:space="preserve"> </w:t>
      </w:r>
      <w:r>
        <w:rPr>
          <w:rStyle w:val="VerbatimChar"/>
        </w:rPr>
        <w:t xml:space="preserve">Regulated</w:t>
      </w:r>
      <w:r>
        <w:t xml:space="preserve"> </w:t>
      </w:r>
      <w:r>
        <w:t xml:space="preserve">(score: predicted repression strength, or negative log-distance for M0). Intervals are percentile intervals from the cluster bootstrap over fixed out-of-fold predictions.</w:t>
      </w:r>
    </w:p>
    <w:p>
      <w:pPr>
        <w:pStyle w:val="BodyText"/>
      </w:pPr>
      <w:r>
        <w:t xml:space="preserve">M2, the v1.0 backbone, scored below unfitted distance (difference in AUPRC -0.049; interval -0.080 to -0.016; Holm-adjusted p = 0.016). The pre-specified rules label this comparison INFERIOR (a label added by amendment A16 for an interval wholly below zero after Holm correction). M2 exceeded M0 in only 5 of 18 folds. Averaging per-fold AUPRC over folds with enough positives, to avoid mixing fold-specific score scales, gives 0.525 for M0 and 0.486 for M2.</w:t>
      </w:r>
    </w:p>
    <w:p>
      <w:pPr>
        <w:pStyle w:val="BodyText"/>
      </w:pPr>
      <w:r>
        <w:t xml:space="preserve">Adding K562 accessibility to distance alone (M2 against M1) changed AUPRC by 0.023 (interval 0.000 to 0.047; Holm-adjusted p = 0.098), classified INCONCLUSIVE.</w:t>
      </w:r>
      <w:r>
        <w:t xml:space="preserve"> </w:t>
      </w:r>
      <w:r>
        <w:t xml:space="preserve"> </w:t>
      </w:r>
      <w:r>
        <w:t xml:space="preserve">Adding the benchmark’s own activity annotations raised AUPRC over M2 by 0.063 (Holm-adjusted p = 0.033),</w:t>
      </w:r>
      <w:r>
        <w:t xml:space="preserve"> </w:t>
      </w:r>
      <w:r>
        <w:t xml:space="preserve"> </w:t>
      </w:r>
      <w:r>
        <w:t xml:space="preserve">but not detectably over unfitted distance (0.014; interval -0.039 to 0.071; Holm-adjusted p = 0.641).</w:t>
      </w:r>
    </w:p>
    <w:p>
      <w:pPr>
        <w:pStyle w:val="BodyText"/>
      </w:pPr>
      <w:r>
        <w:rPr>
          <w:b/>
          <w:bCs/>
        </w:rPr>
        <w:t xml:space="preserve">A single held-out chromosome can mislead.</w:t>
      </w:r>
      <w:r>
        <w:t xml:space="preserve"> </w:t>
      </w:r>
      <w:r>
        <w:t xml:space="preserve">The v1.0 analysis used chr19 alone, which holds 43 of the positives. On that chromosome M2 scored 0.441 against 0.407 for M0, the reverse of the pooled ordering. Per-screen breakdowns (exploratory, not in the pre-specified plan) show distance ahead of M2 in Gasperini-derived pairs (0.485 against 0.451) and in Fulco-derived pairs (0.383 against 0.367).</w:t>
      </w:r>
    </w:p>
    <w:p>
      <w:pPr>
        <w:pStyle w:val="BodyText"/>
      </w:pPr>
      <w:r>
        <w:rPr>
          <w:b/>
          <w:bCs/>
        </w:rPr>
        <w:t xml:space="preserve">Correlations are task-dependent.</w:t>
      </w:r>
      <w:r>
        <w:t xml:space="preserve"> </w:t>
      </w:r>
      <w:r>
        <w:t xml:space="preserve">The Spearman correlation between the score and |effect| was 0.164 for M2 and 0.132 for negative log-distance, whereas the signed correlation of M2 was 0.099. The v1.0 text called its (signed) correlation a magnitude correlation; both are now named, and neither measures the prioritisation task that AUPRC does.</w:t>
      </w:r>
    </w:p>
    <w:bookmarkEnd w:id="12"/>
    <w:bookmarkStart w:id="13" w:name="Xe218e083af1e662edeab0563e5126ad45aed371"/>
    <w:p>
      <w:pPr>
        <w:pStyle w:val="Heading3"/>
      </w:pPr>
      <w:r>
        <w:t xml:space="preserve">2.3 Classifiers are not detectably better than unfitted distance (post hoc, exploratory)</w:t>
      </w:r>
    </w:p>
    <w:p>
      <w:pPr>
        <w:pStyle w:val="FirstParagraph"/>
      </w:pPr>
      <w:r>
        <w:t xml:space="preserve">Because the usual supervised baseline is a classifier, we added a standardised logistic regression on distance and accessibility (M4) and a monotone-constrained gradient-boosted classifier (M5) after seeing the E1 results (amendment A13).</w:t>
      </w:r>
      <w:r>
        <w:t xml:space="preserve"> </w:t>
      </w:r>
      <w:r>
        <w:t xml:space="preserve"> </w:t>
      </w:r>
      <w:r>
        <w:t xml:space="preserve">M4 reached AUPRC 0.462, a difference from M0 of 0.025 (interval -0.001 to 0.052; Holm-adjusted p = 0.132), which the rules label INCONCLUSIVE.</w:t>
      </w:r>
      <w:r>
        <w:t xml:space="preserve"> </w:t>
      </w:r>
      <w:r>
        <w:t xml:space="preserve"> </w:t>
      </w:r>
      <w:r>
        <w:t xml:space="preserve">M5 reached 0.433 (-0.005 against M0; Holm-adjusted p = 0.812), also INCONCLUSIVE. The logistic model was the best simple supervised model by point estimate.</w:t>
      </w:r>
    </w:p>
    <w:bookmarkEnd w:id="13"/>
    <w:bookmarkStart w:id="14" w:name="transfer-across-screens-and-cell-types"/>
    <w:p>
      <w:pPr>
        <w:pStyle w:val="Heading3"/>
      </w:pPr>
      <w:r>
        <w:t xml:space="preserve">2.4 Transfer across screens and cell types</w:t>
      </w:r>
    </w:p>
    <w:p>
      <w:pPr>
        <w:pStyle w:val="FirstParagraph"/>
      </w:pPr>
      <w:r>
        <w:t xml:space="preserve">For every target we removed source pairs that share a cluster with any target pair (locus-disjoint transfer) and compared the transferred ranking with a native ceiling trained inside the target and with the unfitted-distance ranking in the target; effects are AUPRC lifts over prevalence. The TRANSFERS label means that the transfer interval overlaps the native interval and exceeds the floor; it is not an equivalence test.</w:t>
      </w:r>
      <w:r>
        <w:t xml:space="preserve"> </w:t>
      </w:r>
      <w:r>
        <w:t xml:space="preserve"> </w:t>
      </w:r>
      <w:r>
        <w:t xml:space="preserve">The held-out K562 slice (118 positives in 152 clusters) is the same cell type probed by other screens, so it tests cross-screen rather than cross-cell-type transfer. The distance-only model trained on the training table transferred with lift 4.53 (interval 3.38 to 6.21) against a native ceiling of 4.28 (interval 3.29 to 5.79) and unfitted distance in the target of 6.00; the paired difference between transfer and unfitted distance had interval -2.64 to -0.37. The model with cell-type-matched annotations gave 7.29 against 7.46.</w:t>
      </w:r>
      <w:r>
        <w:t xml:space="preserve"> </w:t>
      </w:r>
      <w:r>
        <w:t xml:space="preserve"> </w:t>
      </w:r>
      <w:r>
        <w:t xml:space="preserve">WTC11 is the only estimable target from another cell type (15 positives in 22 clusters): the transferred lift was 33.7 (interval 12.4 to 81.7) and the native ceiling 12.1 (interval 6.0 to 29.4), with wide intervals because the target has few independent loci and a very low prevalence that inflates lifts. The native ceiling there comes from a model fitted on few positives, so the overlap of the intervals reflects a weak ceiling as much as good transfer; the transferred model scored below unfitted distance in this target as well (paired difference interval -73.1 to -8.6). HCT116, GM12878 and Jurkat did not meet the estimability criteria (5, 9 and 5 clusters); their descriptive transferred lifts were 3.5, 3.2 and 5.4, all above one but without intervals.</w:t>
      </w:r>
    </w:p>
    <w:p>
      <w:pPr>
        <w:pStyle w:val="BodyText"/>
      </w:pPr>
      <w:r>
        <w:t xml:space="preserve">The three screens inside the training table test overlapping loci: the other screens’ pairs fall in a few large clusters, and the clusters concerned also contain Gasperini pairs, so only 28 source pairs remain locus-disjoint for that target and no primary transfer could be fitted. The naive transfer lift (6.24; interval 5.14 to 7.46) was close to the native ceiling (5.79) but is not locus-disjoint. The Fulco-derived and Schraivogel pairs form only 6 and 17 clusters and are not estimable. The v1.0 cross-context collapse is therefore not reproduced where it can be tested, and it is untestable for three of the five held-out cell types.</w:t>
      </w:r>
    </w:p>
    <w:bookmarkEnd w:id="14"/>
    <w:bookmarkStart w:id="15" w:name="Xa825ac552e45470f52416e856616d5a00f8df34"/>
    <w:p>
      <w:pPr>
        <w:pStyle w:val="Heading3"/>
      </w:pPr>
      <w:r>
        <w:t xml:space="preserve">2.5 Corrected Enformer silencing scores add signal for nearby elements</w:t>
      </w:r>
    </w:p>
    <w:p>
      <w:pPr>
        <w:pStyle w:val="FirstParagraph"/>
      </w:pPr>
      <w:r>
        <w:rPr>
          <w:b/>
          <w:bCs/>
        </w:rPr>
        <w:t xml:space="preserve">Fidelity control.</w:t>
      </w:r>
      <w:r>
        <w:t xml:space="preserve"> </w:t>
      </w:r>
      <w:r>
        <w:t xml:space="preserve">At K562-marker promoters the mean of the two K562 CAGE tracks had a median rank at the 0.99 percentile among all CAGE tracks; 7 of 9 markers were above the pre-set threshold and the others below it, so the ported weights and track indices pass the control, which cannot by itself separate K562 from related hematopoietic tracks.</w:t>
      </w:r>
    </w:p>
    <w:p>
      <w:pPr>
        <w:pStyle w:val="BodyText"/>
      </w:pPr>
      <w:r>
        <w:rPr>
          <w:b/>
          <w:bCs/>
        </w:rPr>
        <w:t xml:space="preserve">Primary result.</w:t>
      </w:r>
      <w:r>
        <w:t xml:space="preserve"> </w:t>
      </w:r>
      <w:r>
        <w:t xml:space="preserve">The eligible population is the 1,750 pairs whose element lies inside the TSS-centred window (380 positives, 529 clusters). In this population the regression baseline M2 trained on the window scored 0.436, below unfitted distance (0.497).</w:t>
      </w:r>
      <w:r>
        <w:t xml:space="preserve"> </w:t>
      </w:r>
      <w:r>
        <w:t xml:space="preserve"> </w:t>
      </w:r>
      <w:r>
        <w:t xml:space="preserve">Adding the negated K562 CAGE silencing score to that model raised LOCO AUPRC to 0.512, a gain of 0.076 (interval 0.042 to 0.109); the pre-specified rule labels this BENEFIT. The all-track CAGE variant did not reach that level, whereas the K562 DNase variant did (0.090; Holm-adjusted p = 0.001). On the full table, where the score is missing outside the window, the change was 0.013 (interval -0.028 to 0.061), and the full-table AUPRC of the augmented model (0.402) remained below unfitted distance (0.438).</w:t>
      </w:r>
    </w:p>
    <w:p>
      <w:pPr>
        <w:pStyle w:val="BodyText"/>
      </w:pPr>
      <w:r>
        <w:rPr>
          <w:b/>
          <w:bCs/>
        </w:rPr>
        <w:t xml:space="preserve">Against stronger baselines (post hoc, exploratory).</w:t>
      </w:r>
      <w:r>
        <w:t xml:space="preserve"> </w:t>
      </w:r>
      <w:r>
        <w:t xml:space="preserve">Because M2 is weaker than unfitted distance, we compared against stronger baselines (amendments A15 and A16).</w:t>
      </w:r>
      <w:r>
        <w:t xml:space="preserve"> </w:t>
      </w:r>
      <w:r>
        <w:t xml:space="preserve"> </w:t>
      </w:r>
      <w:r>
        <w:t xml:space="preserve">The gradient-boosted regression with the score was not detectably better than unfitted distance (0.015; Holm-adjusted p = 0.591), so most of the primary gain reflects the weakness of that comparator.</w:t>
      </w:r>
      <w:r>
        <w:t xml:space="preserve"> </w:t>
      </w:r>
      <w:r>
        <w:t xml:space="preserve"> </w:t>
      </w:r>
      <w:r>
        <w:t xml:space="preserve">The silencing score alone (AUPRC 0.600) exceeded negative log-distance (0.497) by 0.103 (interval 0.028 to 0.169; Holm-adjusted p = 0.008).</w:t>
      </w:r>
      <w:r>
        <w:t xml:space="preserve"> </w:t>
      </w:r>
      <w:r>
        <w:t xml:space="preserve"> </w:t>
      </w:r>
      <w:r>
        <w:t xml:space="preserve">Adding it to a logistic model on distance and accessibility raised AUPRC from 0.520 to 0.594 (0.074; Holm-adjusted p = 0.002), and the score alone (0.600) was at least as good as that logistic model (0.594), so distance and accessibility add little once the score is present. The gradient-boosted regression trained on the whole table and scored in the window reached 0.466; the windowed model with the score exceeded it by 0.047 (Holm-adjusted p = 0.037).</w:t>
      </w:r>
    </w:p>
    <w:p>
      <w:pPr>
        <w:pStyle w:val="BodyText"/>
      </w:pPr>
      <w:r>
        <w:rPr>
          <w:b/>
          <w:bCs/>
        </w:rPr>
        <w:t xml:space="preserve">Is it only promoter strength, or distance?</w:t>
      </w:r>
      <w:r>
        <w:t xml:space="preserve"> </w:t>
      </w:r>
      <w:r>
        <w:t xml:space="preserve">Adding the reference K562 CAGE signal at the promoter to the logistic baseline and then the silencing score changed AUPRC by 0.065 (interval 0.033 to 0.096). Restricted to pairs farther than ten kilobases from the TSS (1531 pairs, 251 positives), the score alone differed from distance by 0.188 (interval 0.102 to 0.270).</w:t>
      </w:r>
    </w:p>
    <w:p>
      <w:pPr>
        <w:pStyle w:val="BodyText"/>
      </w:pPr>
      <w:r>
        <w:rPr>
          <w:b/>
          <w:bCs/>
        </w:rPr>
        <w:t xml:space="preserve">Element specificity.</w:t>
      </w:r>
      <w:r>
        <w:t xml:space="preserve"> </w:t>
      </w:r>
      <w:r>
        <w:t xml:space="preserve">The score was more negative in positives than in other pairs (decrease in 0.79 against 0.58); its partial rank correlation with the repression magnitude, given distance and accessibility, was 0.14. In 298 pairs with a non-element window, the element score had AUPRC 0.565 against 0.318 for the null window (difference 0.247, interval 0.109 to 0.382; prevalence 0.211). The element delta was below the null delta in 0.57 of pairs, so part of the signal reflects gene or promoter context rather than the element sequence. The three scrambles gave AUPRC 0.598, 0.573 and 0.590. A composition-preserving random shuffle (amendment A17) correlated with the GC-matched delta at 0.83 and gave AUPRC 0.564 for the score alone; the logistic gain was 0.059 against 0.074 for the GC-matched shuffle.</w:t>
      </w:r>
    </w:p>
    <w:p>
      <w:pPr>
        <w:pStyle w:val="BodyText"/>
      </w:pPr>
      <w:r>
        <w:rPr>
          <w:b/>
          <w:bCs/>
        </w:rPr>
        <w:t xml:space="preserve">Comparison with the published evaluation and with v1.0.</w:t>
      </w:r>
      <w:r>
        <w:t xml:space="preserve"> </w:t>
      </w:r>
      <w:r>
        <w:t xml:space="preserve">The benchmark’s publication reports AUPRC 0.493 for Enformer when only pairs inside the model window are scored and the rest are set to zero [Gschwind 2026]. The zero-filled version of our score on the whole table gave 0.461 (interval 0.390 to 0.539) against 0.438 for unfitted distance (difference 0.023, interval -0.044 to 0.085), in the same direction as the published values (0.493 against 0.436) though not detectably different from distance. To separate the effect of each fix from the change of design, we re-ran the v1.0 design (the same 300 pairs, split and model; 293 have a corrected score). Replicating the v1.0 statistic verbatim reproduces its published increment (-0.275) as -0.275. That statistic aligned two pandas series on index labels instead of positions (audit defect D19); the same predictions scored position-aligned give -0.039. With the corrected score on the same pairs and aligned correlations the increment is -0.132 (interval -0.343 to 0.095, including zero), against -0.032 for the buggy score on that subset. The v1.0 headline value was thus an alignment artefact, and the v1.0 design, with about 114 test pairs, cannot detect the effect found in the full eligible population.</w:t>
      </w:r>
    </w:p>
    <w:bookmarkEnd w:id="15"/>
    <w:bookmarkStart w:id="16" w:name="X385118edb2e2bed748f8e5437871b03b1c77898"/>
    <w:p>
      <w:pPr>
        <w:pStyle w:val="Heading3"/>
      </w:pPr>
      <w:r>
        <w:t xml:space="preserve">2.6 Constant-width conformal intervals are calibrated only on average</w:t>
      </w:r>
    </w:p>
    <w:p>
      <w:pPr>
        <w:pStyle w:val="FirstParagraph"/>
      </w:pPr>
      <w:r>
        <w:t xml:space="preserve">Split-conformal intervals (nominal level ninety percent) with one width for all pairs covered 0.882 of held-out effects overall, below nominal (range across folds 0.83 to 0.95), and coverage fell to 0.56 in the top decile of predicted effect and to 0.57 in the nearest decile of distance, exactly where prioritisation operates. Intervals with one quantile per decile of the predicted magnitude (Mondrian) reduced the largest deviation from nominal coverage from 0.34 to 0.02 at similar mean width (0.127 against 0.131).</w:t>
      </w:r>
      <w:r>
        <w:t xml:space="preserve"> </w:t>
      </w:r>
      <w:r>
        <w:t xml:space="preserve"> </w:t>
      </w:r>
      <w:r>
        <w:t xml:space="preserve">Conformal selection at a target false-discovery rate of ten percent chose 35 pairs, 32 of them positives (false-discovery proportion 0.09, upper bound 0.20; power 0.07), selecting nothing in 11 of 18 folds.</w:t>
      </w:r>
      <w:r>
        <w:t xml:space="preserve"> </w:t>
      </w:r>
      <w:r>
        <w:t xml:space="preserve"> </w:t>
      </w:r>
      <w:r>
        <w:t xml:space="preserve">At twenty percent it chose 63 pairs with false-discovery proportion 0.21 (upper bound 0.31; power 0.11). Both are classified INCONCLUSIVE. A top-k rule that takes the same number of pairs per fold has an identical false-discovery proportion by construction (the ranking is the same), so the analysis shows what fraction an adaptive cut-off would choose, not an advantage over top-k.</w:t>
      </w:r>
    </w:p>
    <w:bookmarkEnd w:id="16"/>
    <w:bookmarkStart w:id="17" w:name="X9fde080ba3d0d09993e78dabf3507a369174012"/>
    <w:p>
      <w:pPr>
        <w:pStyle w:val="Heading3"/>
      </w:pPr>
      <w:r>
        <w:t xml:space="preserve">2.7 One-sidedness of significant effects depends on the population</w:t>
      </w:r>
    </w:p>
    <w:p>
      <w:pPr>
        <w:pStyle w:val="FirstParagraph"/>
      </w:pPr>
      <w:r>
        <w:t xml:space="preserve">Among 546 significant pairs, 0.863 are decreases (Wilson interval 0.831 to 0.889), so a constant</w:t>
      </w:r>
      <w:r>
        <w:t xml:space="preserve"> </w:t>
      </w:r>
      <w:r>
        <w:t xml:space="preserve">“repression”</w:t>
      </w:r>
      <w:r>
        <w:t xml:space="preserve"> </w:t>
      </w:r>
      <w:r>
        <w:t xml:space="preserve">call would be right that often. The fraction is 0.741 on chr19, 0.634 among Fulco-derived pairs, 0.896 among Gasperini-derived pairs and 0.948 inside the Enformer window. The v1.0 figure of 0.967 applied to a sampled subset, not to the table.</w:t>
      </w:r>
    </w:p>
    <w:bookmarkEnd w:id="17"/>
    <w:bookmarkStart w:id="18" w:name="Xcc5b797b102ddd9345bb15056f8ca45acca2021"/>
    <w:p>
      <w:pPr>
        <w:pStyle w:val="Heading3"/>
      </w:pPr>
      <w:r>
        <w:t xml:space="preserve">2.8 Method variants do not improve on the baseline</w:t>
      </w:r>
    </w:p>
    <w:p>
      <w:pPr>
        <w:pStyle w:val="FirstParagraph"/>
      </w:pPr>
      <w:r>
        <w:t xml:space="preserve">Relative to M2 (AUPRC 0.389), LambdaRank changed AUPRC by -0.080, uncertainty-penalised re-ranking by -0.166 and gene-level covariates by -0.044. The two-stage product changed it by 0.014 (0.012 for the repression-oriented version) and nested hyper-parameter search by 0.021.</w:t>
      </w:r>
      <w:r>
        <w:t xml:space="preserve"> </w:t>
      </w:r>
      <w:r>
        <w:t xml:space="preserve"> </w:t>
      </w:r>
      <w:r>
        <w:t xml:space="preserve">After Holm correction over the six variants none reached the benefit criterion; the search variant is classified INCONCLUSIVE (Holm-adjusted p = 0.152).</w:t>
      </w:r>
      <w:r>
        <w:t xml:space="preserve"> </w:t>
      </w:r>
      <w:r>
        <w:t xml:space="preserve"> </w:t>
      </w:r>
      <w:r>
        <w:t xml:space="preserve">LambdaRank is classified INFERIOR (Holm-adjusted p = 0.003), as is the uncertainty-penalised re-ranking.</w:t>
      </w:r>
    </w:p>
    <w:bookmarkEnd w:id="18"/>
    <w:bookmarkEnd w:id="19"/>
    <w:bookmarkStart w:id="20" w:name="discussion"/>
    <w:p>
      <w:pPr>
        <w:pStyle w:val="Heading2"/>
      </w:pPr>
      <w:r>
        <w:t xml:space="preserve">3. Discussion</w:t>
      </w:r>
    </w:p>
    <w:p>
      <w:pPr>
        <w:pStyle w:val="FirstParagraph"/>
      </w:pPr>
      <w:r>
        <w:rPr>
          <w:b/>
          <w:bCs/>
        </w:rPr>
        <w:t xml:space="preserve">What the data support.</w:t>
      </w:r>
      <w:r>
        <w:t xml:space="preserve"> </w:t>
      </w:r>
      <w:r>
        <w:t xml:space="preserve">On the public K562 table, a ranking by log-distance that involves no training is the baseline to beat: it reproduces the published AUPRC, and neither a gradient-boosted regression on distance and accessibility nor the benchmark’s annotations improved on it detectably under LOCO with cluster-aware intervals; the regression was lower. Logistic regression moved in the right direction without being distinguishable from it. Published supervised predictors that combine activity and contact reach much higher AUPRC (0.66 for rE2G), so the simple models studied here should not be read as a ceiling.</w:t>
      </w:r>
    </w:p>
    <w:p>
      <w:pPr>
        <w:pStyle w:val="BodyText"/>
      </w:pPr>
      <w:r>
        <w:rPr>
          <w:b/>
          <w:bCs/>
        </w:rPr>
        <w:t xml:space="preserve">Sequence-model silencing scores carry information for nearby elements, but how much depends on the baseline.</w:t>
      </w:r>
      <w:r>
        <w:t xml:space="preserve"> </w:t>
      </w:r>
      <w:r>
        <w:t xml:space="preserve">After correcting the indexing and track errors of v1.0, the Enformer score for K562 CAGE improved on a distance-plus-accessibility regression (the pre-specified comparison). Against unfitted distance the regression-based combination was not detectably better, whereas the score alone and a logistic model that includes it were, in post hoc contrasts; the score alone was as good as that logistic model, so the information appears to sit mostly in the score. The v1.0 null result is not supported: its headline value came from a misaligned correlation (reproduced exactly in the bridge analysis), its features carried an output-indexing error and mixed assay tracks, and its design had too few test pairs to detect an effect even with the corrected score; the powered analysis on the full eligible population is what finds a gain, and it does not establish how large the effect is in general. This agrees with reports that sequence models are usable but weak for distal enhancers [Karollus 2023] and that adding model-derived scores to rE2G helps [Avsec 2026]. The population is limited to pairs inside the model window, a minority of the table where distance already ranks well, the null-window control shows that part of the signal is gene or promoter context, and the weights are a community port checked only by a rank-based control, so we regard this as evidence of complementary information, not of a deployable predictor.</w:t>
      </w:r>
    </w:p>
    <w:p>
      <w:pPr>
        <w:pStyle w:val="BodyText"/>
      </w:pPr>
      <w:r>
        <w:rPr>
          <w:b/>
          <w:bCs/>
        </w:rPr>
        <w:t xml:space="preserve">Methodological points.</w:t>
      </w:r>
      <w:r>
        <w:t xml:space="preserve"> </w:t>
      </w:r>
      <w:r>
        <w:t xml:space="preserve">(i) A single held-out chromosome gave the opposite ordering of M2 and distance to the pooled LOCO result. (ii) Constant-width conformal intervals attain nominal coverage only on average while under-covering the pairs that matter; Mondrian intervals repair this, a known technique applied here to a new table. (iii) The one-sidedness of significant effects varies by population, so any constant-predictor baseline must be computed on the evaluated population. (iv) Pairs from different screens test the same loci, so cross-screen transfer needs locus-disjoint sources, which are largely unavailable.</w:t>
      </w:r>
    </w:p>
    <w:p>
      <w:pPr>
        <w:pStyle w:val="BodyText"/>
      </w:pPr>
      <w:r>
        <w:rPr>
          <w:b/>
          <w:bCs/>
        </w:rPr>
        <w:t xml:space="preserve">Status of the v1.0 claims.</w:t>
      </w:r>
      <w:r>
        <w:t xml:space="preserve"> </w:t>
      </w:r>
      <w:r>
        <w:t xml:space="preserve">Table 2 summarises the fate of the v1.0 conclusions.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v1.0 claim</w:t>
            </w:r>
          </w:p>
        </w:tc>
        <w:tc>
          <w:tcPr/>
          <w:p>
            <w:pPr>
              <w:pStyle w:val="Compact"/>
            </w:pPr>
            <w:r>
              <w:t xml:space="preserve">v1.0 value</w:t>
            </w:r>
          </w:p>
        </w:tc>
        <w:tc>
          <w:tcPr/>
          <w:p>
            <w:pPr>
              <w:pStyle w:val="Compact"/>
            </w:pPr>
            <w:r>
              <w:t xml:space="preserve">v2 finding</w:t>
            </w:r>
          </w:p>
        </w:tc>
      </w:tr>
      <w:tr>
        <w:tc>
          <w:tcPr/>
          <w:p>
            <w:pPr>
              <w:pStyle w:val="Compact"/>
            </w:pPr>
            <w:r>
              <w:t xml:space="preserve">Distance-plus-ATAC GBM is a calibrated reference above curated annotations</w:t>
            </w:r>
          </w:p>
        </w:tc>
        <w:tc>
          <w:tcPr/>
          <w:p>
            <w:pPr>
              <w:pStyle w:val="Compact"/>
            </w:pPr>
            <w:r>
              <w:t xml:space="preserve">chr19 AUPRC 0.368 against 0.348 for distance</w:t>
            </w:r>
          </w:p>
        </w:tc>
        <w:tc>
          <w:tcPr/>
          <w:p>
            <w:pPr>
              <w:pStyle w:val="Compact"/>
            </w:pPr>
            <w:r>
              <w:t xml:space="preserve">Below unfitted distance under LOCO (Table 1); term</w:t>
            </w:r>
            <w:r>
              <w:t xml:space="preserve"> </w:t>
            </w:r>
            <w:r>
              <w:t xml:space="preserve">“reference class”</w:t>
            </w:r>
            <w:r>
              <w:t xml:space="preserve"> </w:t>
            </w:r>
            <w:r>
              <w:t xml:space="preserve">dropped</w:t>
            </w:r>
            <w:r>
              <w:t xml:space="preserve"> </w:t>
            </w:r>
          </w:p>
        </w:tc>
      </w:tr>
      <w:tr>
        <w:tc>
          <w:tcPr/>
          <w:p>
            <w:pPr>
              <w:pStyle w:val="Compact"/>
            </w:pPr>
            <w:r>
              <w:t xml:space="preserve">Cross-cell-type and cross-screen transfer collapses</w:t>
            </w:r>
          </w:p>
        </w:tc>
        <w:tc>
          <w:tcPr/>
          <w:p>
            <w:pPr>
              <w:pStyle w:val="Compact"/>
            </w:pPr>
            <w:r>
              <w:t xml:space="preserve">rho 0.014 (HCT116), 0.040 (WTC11), ratio 0.038</w:t>
            </w:r>
          </w:p>
        </w:tc>
        <w:tc>
          <w:tcPr/>
          <w:p>
            <w:pPr>
              <w:pStyle w:val="Compact"/>
            </w:pPr>
            <w:r>
              <w:t xml:space="preserve">Not reproduced where testable; untestable for three cell types (transfer results); term</w:t>
            </w:r>
            <w:r>
              <w:t xml:space="preserve"> </w:t>
            </w:r>
            <w:r>
              <w:t xml:space="preserve">“wall”</w:t>
            </w:r>
            <w:r>
              <w:t xml:space="preserve"> </w:t>
            </w:r>
            <w:r>
              <w:t xml:space="preserve">dropped</w:t>
            </w:r>
          </w:p>
        </w:tc>
      </w:tr>
      <w:tr>
        <w:tc>
          <w:tcPr/>
          <w:p>
            <w:pPr>
              <w:pStyle w:val="Compact"/>
            </w:pPr>
            <w:r>
              <w:t xml:space="preserve">Enformer silencing scores add nothing</w:t>
            </w:r>
          </w:p>
        </w:tc>
        <w:tc>
          <w:tcPr/>
          <w:p>
            <w:pPr>
              <w:pStyle w:val="Compact"/>
            </w:pPr>
            <w:r>
              <w:t xml:space="preserve">increment -0.275, interval -0.21 to 0.13</w:t>
            </w:r>
          </w:p>
        </w:tc>
        <w:tc>
          <w:tcPr/>
          <w:p>
            <w:pPr>
              <w:pStyle w:val="Compact"/>
            </w:pPr>
            <w:r>
              <w:t xml:space="preserve">Not supported: the headline value was an alignment artefact, features had an indexing error, and the design was too small (bridge analysis)</w:t>
            </w:r>
          </w:p>
        </w:tc>
      </w:tr>
      <w:tr>
        <w:tc>
          <w:tcPr/>
          <w:p>
            <w:pPr>
              <w:pStyle w:val="Compact"/>
            </w:pPr>
            <w:r>
              <w:t xml:space="preserve">Almost all significant effects are repressions</w:t>
            </w:r>
          </w:p>
        </w:tc>
        <w:tc>
          <w:tcPr/>
          <w:p>
            <w:pPr>
              <w:pStyle w:val="Compact"/>
            </w:pPr>
            <w:r>
              <w:t xml:space="preserve">0.967</w:t>
            </w:r>
          </w:p>
        </w:tc>
        <w:tc>
          <w:tcPr/>
          <w:p>
            <w:pPr>
              <w:pStyle w:val="Compact"/>
            </w:pPr>
            <w:r>
              <w:t xml:space="preserve">Population-dependent (sign-composition results)</w:t>
            </w:r>
          </w:p>
        </w:tc>
      </w:tr>
      <w:tr>
        <w:tc>
          <w:tcPr/>
          <w:p>
            <w:pPr>
              <w:pStyle w:val="Compact"/>
            </w:pPr>
            <w:r>
              <w:t xml:space="preserve">Conformal coverage is nominal</w:t>
            </w:r>
          </w:p>
        </w:tc>
        <w:tc>
          <w:tcPr/>
          <w:p>
            <w:pPr>
              <w:pStyle w:val="Compact"/>
            </w:pPr>
            <w:r>
              <w:t xml:space="preserve">0.893 on chr19</w:t>
            </w:r>
          </w:p>
        </w:tc>
        <w:tc>
          <w:tcPr/>
          <w:p>
            <w:pPr>
              <w:pStyle w:val="Compact"/>
            </w:pPr>
            <w:r>
              <w:t xml:space="preserve">Marginal only, and below nominal; conditional coverage poor for constant width (conformal results)</w:t>
            </w:r>
          </w:p>
        </w:tc>
      </w:tr>
    </w:tbl>
    <w:p>
      <w:pPr>
        <w:pStyle w:val="BodyText"/>
      </w:pPr>
      <w:r>
        <w:rPr>
          <w:b/>
          <w:bCs/>
        </w:rPr>
        <w:t xml:space="preserve">Table 2.</w:t>
      </w:r>
      <w:r>
        <w:t xml:space="preserve"> </w:t>
      </w:r>
      <w:r>
        <w:t xml:space="preserve">Fate of the v1.0 claims.</w:t>
      </w:r>
    </w:p>
    <w:p>
      <w:pPr>
        <w:pStyle w:val="BodyText"/>
      </w:pPr>
      <w:r>
        <w:rPr>
          <w:b/>
          <w:bCs/>
        </w:rPr>
        <w:t xml:space="preserve">Limitations.</w:t>
      </w:r>
      <w:r>
        <w:t xml:space="preserve"> </w:t>
      </w:r>
      <w:r>
        <w:t xml:space="preserve">The study uses one cell type for training and one public table; its labels depend on screen power, and</w:t>
      </w:r>
      <w:r>
        <w:t xml:space="preserve"> </w:t>
      </w:r>
      <w:r>
        <w:t xml:space="preserve">“not regulated”</w:t>
      </w:r>
      <w:r>
        <w:t xml:space="preserve"> </w:t>
      </w:r>
      <w:r>
        <w:t xml:space="preserve">is not</w:t>
      </w:r>
      <w:r>
        <w:t xml:space="preserve"> </w:t>
      </w:r>
      <w:r>
        <w:t xml:space="preserve">“no effect”</w:t>
      </w:r>
      <w:r>
        <w:t xml:space="preserve">. The effective sample is the number of independent loci, far smaller than the number of pairs, which is why several contexts were not estimable; the held-out K562 slice tests cross-screen rather than cross-cell-type transfer. Accessibility comes from one ENCODE experiment. Enformer analyses use a community port of the published weights, checked with a rank-based fidelity control but not compared numerically with the original implementation, one scoring rule, and the window-eligible subset only; the null windows were chosen from a fixed list of offsets, so distance matching is approximate. The pre-specification lives in the repository’s own git history: the plan, its amendments and the results were produced within one day without an external timestamp, and several analyses (classifiers, post-hoc Enformer contrasts, the bridge and sensitivity analyses, extra labels) were added after earlier results were seen; amendments A11 to A18 record each, with whether results had been seen. Published rE2G and activity-by-contact values are quoted from the source’s Supplementary Table 3. The conformal selection analysis is exploratory and its labels are relative to benchmark calls, not to ground truth.</w:t>
      </w:r>
    </w:p>
    <w:p>
      <w:pPr>
        <w:pStyle w:val="BodyText"/>
      </w:pPr>
      <w:r>
        <w:rPr>
          <w:b/>
          <w:bCs/>
        </w:rPr>
        <w:t xml:space="preserve">Recommendations.</w:t>
      </w:r>
      <w:r>
        <w:t xml:space="preserve"> </w:t>
      </w:r>
      <w:r>
        <w:t xml:space="preserve">Report an unfitted distance baseline next to any new predictor; evaluate with every chromosome held out in turn and cluster-aware intervals; state which positive class is used; avoid selecting a winner on the test set; report conditional as well as marginal coverage, in line with reporting recommendations for machine learning in biology [Walsh 2021; Kapoor 2024].</w:t>
      </w:r>
    </w:p>
    <w:bookmarkEnd w:id="20"/>
    <w:bookmarkStart w:id="29" w:name="methods"/>
    <w:p>
      <w:pPr>
        <w:pStyle w:val="Heading2"/>
      </w:pPr>
      <w:r>
        <w:t xml:space="preserve">4. Methods</w:t>
      </w:r>
    </w:p>
    <w:bookmarkStart w:id="21" w:name="data"/>
    <w:p>
      <w:pPr>
        <w:pStyle w:val="Heading3"/>
      </w:pPr>
      <w:r>
        <w:t xml:space="preserve">4.1 Data</w:t>
      </w:r>
    </w:p>
    <w:p>
      <w:pPr>
        <w:pStyle w:val="FirstParagraph"/>
      </w:pPr>
      <w:r>
        <w:t xml:space="preserve">We used the public EPCrisprBenchmark combined K562 training table [Gschwind 2026] (columns</w:t>
      </w:r>
      <w:r>
        <w:t xml:space="preserve"> </w:t>
      </w:r>
      <w:r>
        <w:rPr>
          <w:rStyle w:val="VerbatimChar"/>
        </w:rPr>
        <w:t xml:space="preserve">EffectSize</w:t>
      </w:r>
      <w:r>
        <w:t xml:space="preserve">,</w:t>
      </w:r>
      <w:r>
        <w:t xml:space="preserve"> </w:t>
      </w:r>
      <w:r>
        <w:rPr>
          <w:rStyle w:val="VerbatimChar"/>
        </w:rPr>
        <w:t xml:space="preserve">Significant</w:t>
      </w:r>
      <w:r>
        <w:t xml:space="preserve">,</w:t>
      </w:r>
      <w:r>
        <w:t xml:space="preserve"> </w:t>
      </w:r>
      <w:r>
        <w:rPr>
          <w:rStyle w:val="VerbatimChar"/>
        </w:rPr>
        <w:t xml:space="preserve">Regulated</w:t>
      </w:r>
      <w:r>
        <w:t xml:space="preserve">,</w:t>
      </w:r>
      <w:r>
        <w:t xml:space="preserve"> </w:t>
      </w:r>
      <w:r>
        <w:rPr>
          <w:rStyle w:val="VerbatimChar"/>
        </w:rPr>
        <w:t xml:space="preserve">ValidConnection</w:t>
      </w:r>
      <w:r>
        <w:t xml:space="preserve">,</w:t>
      </w:r>
      <w:r>
        <w:t xml:space="preserve"> </w:t>
      </w:r>
      <w:r>
        <w:rPr>
          <w:rStyle w:val="VerbatimChar"/>
        </w:rPr>
        <w:t xml:space="preserve">distanceToTSS</w:t>
      </w:r>
      <w:r>
        <w:t xml:space="preserve">,</w:t>
      </w:r>
      <w:r>
        <w:t xml:space="preserve"> </w:t>
      </w:r>
      <w:r>
        <w:rPr>
          <w:rStyle w:val="VerbatimChar"/>
        </w:rPr>
        <w:t xml:space="preserve">Reference</w:t>
      </w:r>
      <w:r>
        <w:t xml:space="preserve">) and its held-out table of five cell types, restricted to valid connections. The table pools FlowFISH, Perturb-seq and TAP-seq screens; we label each pair with its originating screen from the</w:t>
      </w:r>
      <w:r>
        <w:t xml:space="preserve"> </w:t>
      </w:r>
      <w:r>
        <w:rPr>
          <w:rStyle w:val="VerbatimChar"/>
        </w:rPr>
        <w:t xml:space="preserve">Reference</w:t>
      </w:r>
      <w:r>
        <w:t xml:space="preserve"> </w:t>
      </w:r>
      <w:r>
        <w:t xml:space="preserve">field (Gasperini 2019, Fulco-derived FlowFISH, Schraivogel 2020, other). Following the benchmark convention the primary positive class is</w:t>
      </w:r>
      <w:r>
        <w:t xml:space="preserve"> </w:t>
      </w:r>
      <w:r>
        <w:rPr>
          <w:rStyle w:val="VerbatimChar"/>
        </w:rPr>
        <w:t xml:space="preserve">Regulated</w:t>
      </w:r>
      <w:r>
        <w:t xml:space="preserve"> </w:t>
      </w:r>
      <w:r>
        <w:t xml:space="preserve">(a significant decrease in expression); the v1.0 label</w:t>
      </w:r>
      <w:r>
        <w:t xml:space="preserve"> </w:t>
      </w:r>
      <w:r>
        <w:rPr>
          <w:rStyle w:val="VerbatimChar"/>
        </w:rPr>
        <w:t xml:space="preserve">Significant</w:t>
      </w:r>
      <w:r>
        <w:t xml:space="preserve"> </w:t>
      </w:r>
      <w:r>
        <w:t xml:space="preserve">(any direction) is secondary (amendment A6). K562 accessibility features come from ENCODE IDR-ranked ATAC peaks (ENCSR956DNB).</w:t>
      </w:r>
    </w:p>
    <w:bookmarkEnd w:id="21"/>
    <w:bookmarkStart w:id="22" w:name="models-and-features"/>
    <w:p>
      <w:pPr>
        <w:pStyle w:val="Heading3"/>
      </w:pPr>
      <w:r>
        <w:t xml:space="preserve">4.2 Models and features</w:t>
      </w:r>
    </w:p>
    <w:p>
      <w:pPr>
        <w:pStyle w:val="FirstParagraph"/>
      </w:pPr>
      <w:r>
        <w:rPr>
          <w:rStyle w:val="VerbatimChar"/>
        </w:rPr>
        <w:t xml:space="preserve">logd</w:t>
      </w:r>
      <w:r>
        <w:t xml:space="preserve"> </w:t>
      </w:r>
      <w:r>
        <w:t xml:space="preserve">= log10(|distance to TSS| + 1). Baselines: M0, the negative</w:t>
      </w:r>
      <w:r>
        <w:t xml:space="preserve"> </w:t>
      </w:r>
      <w:r>
        <w:rPr>
          <w:rStyle w:val="VerbatimChar"/>
        </w:rPr>
        <w:t xml:space="preserve">logd</w:t>
      </w:r>
      <w:r>
        <w:t xml:space="preserve"> </w:t>
      </w:r>
      <w:r>
        <w:t xml:space="preserve">(no fitting); M1, LightGBM [Ke 2017] on</w:t>
      </w:r>
      <w:r>
        <w:t xml:space="preserve"> </w:t>
      </w:r>
      <w:r>
        <w:rPr>
          <w:rStyle w:val="VerbatimChar"/>
        </w:rPr>
        <w:t xml:space="preserve">logd</w:t>
      </w:r>
      <w:r>
        <w:t xml:space="preserve">; M2, LightGBM on</w:t>
      </w:r>
      <w:r>
        <w:t xml:space="preserve"> </w:t>
      </w:r>
      <w:r>
        <w:rPr>
          <w:rStyle w:val="VerbatimChar"/>
        </w:rPr>
        <w:t xml:space="preserve">logd</w:t>
      </w:r>
      <w:r>
        <w:t xml:space="preserve"> </w:t>
      </w:r>
      <w:r>
        <w:t xml:space="preserve">plus K562 ATAC overlap and distance-to-peak; M3, M2 plus the benchmark’s per-pair activity annotations (H3K27ac, DHS, CTCF, H3K27me3, H3K4me1 signals, ubiquitous-expression flag and chromatin category). LightGBM 4.6.0 used fixed hyperparameters (300 trees, learning rate 0.05, 31 leaves, minimum 40 samples per leaf, seed 0, deterministic mode) with no tuning in primary analyses. Predictors regress the signed effect size; the score for</w:t>
      </w:r>
      <w:r>
        <w:t xml:space="preserve"> </w:t>
      </w:r>
      <w:r>
        <w:rPr>
          <w:rStyle w:val="VerbatimChar"/>
        </w:rPr>
        <w:t xml:space="preserve">Regulated</w:t>
      </w:r>
      <w:r>
        <w:t xml:space="preserve"> </w:t>
      </w:r>
      <w:r>
        <w:t xml:space="preserve">is the negated prediction (predicted repression strength) and, for</w:t>
      </w:r>
      <w:r>
        <w:t xml:space="preserve"> </w:t>
      </w:r>
      <w:r>
        <w:rPr>
          <w:rStyle w:val="VerbatimChar"/>
        </w:rPr>
        <w:t xml:space="preserve">Significant</w:t>
      </w:r>
      <w:r>
        <w:t xml:space="preserve">, its absolute value. Classifiers (E7, post hoc) were a standardised logistic regression and a LightGBM classifier with monotone constraints (distance decreasing, accessibility overlap increasing, distance-to-peak decreasing).</w:t>
      </w:r>
    </w:p>
    <w:bookmarkEnd w:id="22"/>
    <w:bookmarkStart w:id="23" w:name="evaluation-and-inference"/>
    <w:p>
      <w:pPr>
        <w:pStyle w:val="Heading3"/>
      </w:pPr>
      <w:r>
        <w:t xml:space="preserve">4.3 Evaluation and inference</w:t>
      </w:r>
    </w:p>
    <w:p>
      <w:pPr>
        <w:pStyle w:val="FirstParagraph"/>
      </w:pPr>
      <w:r>
        <w:t xml:space="preserve">Out-of-fold predictions come from leave-one-chromosome-out folds (chromosomes with fewer than 100 pairs share one fold; all training chromosomes differ from the test chromosome, so no halo filter is needed). The primary metric is area under the precision–recall curve (AUPRC), with AUROC, precision at the top 2% (ties at the cut-off count their expected hit rate), precision at the threshold giving 70% recall, the Spearman correlation of the magnitude score with |effect| and of the signed prediction with the signed effect as secondary metrics. Pairs are not independent: we link pairs that share a gene or whose elements lie within 25 kb on the same chromosome and take connected components as clusters. Confidence intervals are 95% percentile intervals from a cluster bootstrap (2,000 resamples, seed 12345) that resamples whole clusters of fixed out-of-fold predictions and recomputes each metric on the same resample, so differences are paired; models are not refitted inside the bootstrap. Families of comparisons are corrected with the Holm procedure. Decision rules were fixed in</w:t>
      </w:r>
      <w:r>
        <w:t xml:space="preserve"> </w:t>
      </w:r>
      <w:r>
        <w:rPr>
          <w:rStyle w:val="VerbatimChar"/>
        </w:rPr>
        <w:t xml:space="preserve">PREREG_v2.md</w:t>
      </w:r>
      <w:r>
        <w:t xml:space="preserve"> </w:t>
      </w:r>
      <w:r>
        <w:t xml:space="preserve">before any v2 result was computed:</w:t>
      </w:r>
      <w:r>
        <w:t xml:space="preserve"> </w:t>
      </w:r>
      <w:r>
        <w:t xml:space="preserve">“adds over distance”</w:t>
      </w:r>
      <w:r>
        <w:t xml:space="preserve"> </w:t>
      </w:r>
      <w:r>
        <w:t xml:space="preserve">in E1 and E7 requires a Holm-adjusted p below 5% and a gain of at least 0.01; BENEFIT in E3 and E6 requires an interval above zero, a gain of at least 0.02 and, within a family, Holm-adjusted p below 5%; equivalence means an interval within ±0.02; otherwise a comparison is inconclusive. Later amendments (A11, A14 to A16) tightened or added labels after results were seen and are disclosed as such.</w:t>
      </w:r>
    </w:p>
    <w:bookmarkEnd w:id="23"/>
    <w:bookmarkStart w:id="24" w:name="transfer-analyses"/>
    <w:p>
      <w:pPr>
        <w:pStyle w:val="Heading3"/>
      </w:pPr>
      <w:r>
        <w:t xml:space="preserve">4.4 Transfer analyses</w:t>
      </w:r>
    </w:p>
    <w:p>
      <w:pPr>
        <w:pStyle w:val="FirstParagraph"/>
      </w:pPr>
      <w:r>
        <w:t xml:space="preserve">Transfer was assessed (i) between screens within the training table (leave-one-screen-out) and (ii) from the K562 training table to the held-out cell types. In every transfer, source pairs sharing a cluster with any target pair were removed before fitting (locus-disjoint transfer, amendment A7); naive transfer is reported as secondary. Each target also receives a native ceiling from within-target cross-validation (within-screen LOCO, or five-fold cluster-grouped cross-validation) with identical features, and the unfitted-distance ranking in the target. Targets with fewer than 15</w:t>
      </w:r>
      <w:r>
        <w:t xml:space="preserve"> </w:t>
      </w:r>
      <w:r>
        <w:rPr>
          <w:rStyle w:val="VerbatimChar"/>
        </w:rPr>
        <w:t xml:space="preserve">Regulated</w:t>
      </w:r>
      <w:r>
        <w:t xml:space="preserve"> </w:t>
      </w:r>
      <w:r>
        <w:t xml:space="preserve">pairs or fewer than 20 clusters are labelled not estimable. K562 ATAC features are used only for K562 targets; other cell types use the cell-type-matched benchmark annotations.</w:t>
      </w:r>
    </w:p>
    <w:bookmarkEnd w:id="24"/>
    <w:bookmarkStart w:id="25" w:name="enformer-in-silico-silencing"/>
    <w:p>
      <w:pPr>
        <w:pStyle w:val="Heading3"/>
      </w:pPr>
      <w:r>
        <w:t xml:space="preserve">4.5 Enformer in-silico silencing</w:t>
      </w:r>
    </w:p>
    <w:p>
      <w:pPr>
        <w:pStyle w:val="FirstParagraph"/>
      </w:pPr>
      <w:r>
        <w:t xml:space="preserve">Using the ported Enformer weights</w:t>
      </w:r>
      <w:r>
        <w:t xml:space="preserve"> </w:t>
      </w:r>
      <w:r>
        <w:rPr>
          <w:rStyle w:val="VerbatimChar"/>
        </w:rPr>
        <w:t xml:space="preserve">EleutherAI/enformer-official-rough</w:t>
      </w:r>
      <w:r>
        <w:t xml:space="preserve"> </w:t>
      </w:r>
      <w:r>
        <w:t xml:space="preserve">with</w:t>
      </w:r>
      <w:r>
        <w:t xml:space="preserve"> </w:t>
      </w:r>
      <w:r>
        <w:rPr>
          <w:rStyle w:val="VerbatimChar"/>
        </w:rPr>
        <w:t xml:space="preserve">enformer-pytorch</w:t>
      </w:r>
      <w:r>
        <w:t xml:space="preserve"> </w:t>
      </w:r>
      <w:r>
        <w:t xml:space="preserve">0.8.12 [Avsec 2021], each eligible pair (element fully inside a 196,608-bp window centred on the TSS; minus-strand genes reverse-complemented) was scored as the change in predicted CAGE at the TSS output bin ±1 when the element is replaced by a GC-matched shuffle (three seeds derived from a hash of the element coordinates). The output covers the central 896 bins × 128 bp of the input, so output bins were indexed after removing 40,960 bp of cropping on each side. The primary score uses the two K562 CAGE tracks (indices 4828 and 5111 in the Basenji/Enformer targets file, SHA-256 recorded in the repository); secondary scores use the mean over all 638 CAGE tracks and the K562 DNase tracks. A null control shuffles an equal-length window containing no benchmark element, chosen from a fixed list of offsets, so distance matching is approximate. A fidelity control checks that K562 CAGE ranks in the top decile at K562-marker promoters (amendment A8). The primary test is the LOCO change in AUPRC when −Δ is added to M2 on the eligible population (amendment A1). Post-hoc contrasts, the bridge to the v1.0 design and the random-shuffle sensitivity analysis are described in amendments A15 to A17.</w:t>
      </w:r>
    </w:p>
    <w:bookmarkEnd w:id="25"/>
    <w:bookmarkStart w:id="26" w:name="additional-analyses"/>
    <w:p>
      <w:pPr>
        <w:pStyle w:val="Heading3"/>
      </w:pPr>
      <w:r>
        <w:t xml:space="preserve">4.6 Additional analyses</w:t>
      </w:r>
    </w:p>
    <w:p>
      <w:pPr>
        <w:pStyle w:val="FirstParagraph"/>
      </w:pPr>
      <w:r>
        <w:t xml:space="preserve">Variant methods (LambdaRank, a two-stage classifier-times-regressor in two orientations, uncertainty-penalised re-ranking, nested-cross-validated hyperparameter search with chromosome-grouped inner folds, gene-level covariates) were compared with M2 under the same LOCO folds with paired cluster bootstrap and Holm correction over the six variants (E6, primary label only). Conformal analyses (E4) used a cluster-grouped 25% calibration split inside each training set, split-conformal constant-width and per-decile (Mondrian) absolute-residual intervals [Papadopoulos 2002; Angelopoulos 2023], and conformal p-values from non-regulated calibration pairs with Benjamini–Hochberg selection [Jin 2023]. A sign-composition summary (E5) reports the fraction of significant pairs that are decreases in each population, with Wilson intervals.</w:t>
      </w:r>
    </w:p>
    <w:bookmarkEnd w:id="26"/>
    <w:bookmarkStart w:id="27" w:name="Xa33ddc1883307507836074a1c19fd0672a108af"/>
    <w:p>
      <w:pPr>
        <w:pStyle w:val="Heading3"/>
      </w:pPr>
      <w:r>
        <w:t xml:space="preserve">4.7 Reproducibility, review and deviations from the plan</w:t>
      </w:r>
    </w:p>
    <w:p>
      <w:pPr>
        <w:pStyle w:val="FirstParagraph"/>
      </w:pPr>
      <w:r>
        <w:t xml:space="preserve">All experiments run from</w:t>
      </w:r>
      <w:r>
        <w:t xml:space="preserve"> </w:t>
      </w:r>
      <w:r>
        <w:rPr>
          <w:rStyle w:val="VerbatimChar"/>
        </w:rPr>
        <w:t xml:space="preserve">hpc/run_all.sh</w:t>
      </w:r>
      <w:r>
        <w:t xml:space="preserve"> </w:t>
      </w:r>
      <w:r>
        <w:t xml:space="preserve">under a pinned environment (</w:t>
      </w:r>
      <w:r>
        <w:rPr>
          <w:rStyle w:val="VerbatimChar"/>
        </w:rPr>
        <w:t xml:space="preserve">hpc/requirements.lock.txt</w:t>
      </w:r>
      <w:r>
        <w:t xml:space="preserve">,</w:t>
      </w:r>
      <w:r>
        <w:t xml:space="preserve"> </w:t>
      </w:r>
      <w:r>
        <w:rPr>
          <w:rStyle w:val="VerbatimChar"/>
        </w:rPr>
        <w:t xml:space="preserve">hpc/setup_env.sh</w:t>
      </w:r>
      <w:r>
        <w:t xml:space="preserve">) on the Bocconi HPC cluster (SLURM; one NVIDIA A100 slice for Enformer). Results are written to</w:t>
      </w:r>
      <w:r>
        <w:t xml:space="preserve"> </w:t>
      </w:r>
      <w:r>
        <w:rPr>
          <w:rStyle w:val="VerbatimChar"/>
        </w:rPr>
        <w:t xml:space="preserve">results/v2/*.json</w:t>
      </w:r>
      <w:r>
        <w:t xml:space="preserve">, flattened into</w:t>
      </w:r>
      <w:r>
        <w:t xml:space="preserve"> </w:t>
      </w:r>
      <w:r>
        <w:rPr>
          <w:rStyle w:val="VerbatimChar"/>
        </w:rPr>
        <w:t xml:space="preserve">results/claims.json</w:t>
      </w:r>
      <w:r>
        <w:t xml:space="preserve"> </w:t>
      </w:r>
      <w:r>
        <w:t xml:space="preserve">and substituted into this manuscript by</w:t>
      </w:r>
      <w:r>
        <w:t xml:space="preserve"> </w:t>
      </w:r>
      <w:r>
        <w:rPr>
          <w:rStyle w:val="VerbatimChar"/>
        </w:rPr>
        <w:t xml:space="preserve">scripts/claims.py</w:t>
      </w:r>
      <w:r>
        <w:t xml:space="preserve">, which fails if a number is typed by hand, a status annotation disagrees with the results or uses a forbidden verb, a pipeline step failed,</w:t>
      </w:r>
      <w:r>
        <w:t xml:space="preserve"> </w:t>
      </w:r>
      <w:r>
        <w:rPr>
          <w:rStyle w:val="VerbatimChar"/>
        </w:rPr>
        <w:t xml:space="preserve">claims.json</w:t>
      </w:r>
      <w:r>
        <w:t xml:space="preserve"> </w:t>
      </w:r>
      <w:r>
        <w:t xml:space="preserve">is stale, or a banned term appears. Two independent AI reviews (one of the code before the final results were frozen, one of the draft) produced fixes recorded as amendments A14 and A16. Amendments to the pre-specified plan (A1 to A18) are listed with their rationale and with whether results had been seen in</w:t>
      </w:r>
      <w:r>
        <w:t xml:space="preserve"> </w:t>
      </w:r>
      <w:r>
        <w:rPr>
          <w:rStyle w:val="VerbatimChar"/>
        </w:rPr>
        <w:t xml:space="preserve">supplementary/PREREG_v2.md</w:t>
      </w:r>
      <w:r>
        <w:t xml:space="preserve">. The unit-test suite and a synthetic end-to-end demo run in continuous integration.</w:t>
      </w:r>
    </w:p>
    <w:bookmarkEnd w:id="27"/>
    <w:bookmarkStart w:id="28" w:name="use-of-ai-tools"/>
    <w:p>
      <w:pPr>
        <w:pStyle w:val="Heading3"/>
      </w:pPr>
      <w:r>
        <w:t xml:space="preserve">4.8 Use of AI tools</w:t>
      </w:r>
    </w:p>
    <w:p>
      <w:pPr>
        <w:pStyle w:val="FirstParagraph"/>
      </w:pPr>
      <w:r>
        <w:t xml:space="preserve">The analysis code, the pre-specification, the audit, the literature survey and the first draft of this manuscript were produced with AI agents (Anthropic Claude models) working under the direction of the authors in a recorded session, and two further AI agents without access to the authors’ conclusions reviewed the code and the draft. The AI system is not an author.</w:t>
      </w:r>
      <w:r>
        <w:t xml:space="preserve"> </w:t>
      </w:r>
      <w:r>
        <w:rPr>
          <w:i/>
          <w:iCs/>
        </w:rPr>
        <w:t xml:space="preserve">[Authors: confirm or edit this statement and verify every claim and reference before submission.]</w:t>
      </w:r>
    </w:p>
    <w:bookmarkEnd w:id="28"/>
    <w:bookmarkEnd w:id="29"/>
    <w:bookmarkStart w:id="30" w:name="data-and-code-availability"/>
    <w:p>
      <w:pPr>
        <w:pStyle w:val="Heading2"/>
      </w:pPr>
      <w:r>
        <w:t xml:space="preserve">5. Data and code availability</w:t>
      </w:r>
    </w:p>
    <w:p>
      <w:pPr>
        <w:pStyle w:val="FirstParagraph"/>
      </w:pPr>
      <w:r>
        <w:t xml:space="preserve">Code, pre-specification, audit, literature survey and result files: https://github.com/Gabriele-Bambini/siren-crispr-reference (currently private; to be made public by the authors at submission, which also provides an external timestamp for the pre-specification). Data: EPCrisprBenchmark tables from the EngreitzLab CRISPR_comparison repository; ENCODE accession ENCSR956DNB; Enformer weights from the Hugging Face model</w:t>
      </w:r>
      <w:r>
        <w:t xml:space="preserve"> </w:t>
      </w:r>
      <w:r>
        <w:rPr>
          <w:rStyle w:val="VerbatimChar"/>
        </w:rPr>
        <w:t xml:space="preserve">EleutherAI/enformer-official-rough</w:t>
      </w:r>
      <w:r>
        <w:t xml:space="preserve">.</w:t>
      </w:r>
    </w:p>
    <w:bookmarkEnd w:id="30"/>
    <w:bookmarkStart w:id="31" w:name="author-contributions-and-acknowledgments"/>
    <w:p>
      <w:pPr>
        <w:pStyle w:val="Heading2"/>
      </w:pPr>
      <w:r>
        <w:t xml:space="preserve">6. Author contributions and acknowledgments</w:t>
      </w:r>
    </w:p>
    <w:p>
      <w:pPr>
        <w:pStyle w:val="FirstParagraph"/>
      </w:pPr>
      <w:r>
        <w:rPr>
          <w:i/>
          <w:iCs/>
        </w:rPr>
        <w:t xml:space="preserve">(to be completed by the authors; CRediT roles are not assigned by the analysis agent)</w:t>
      </w:r>
    </w:p>
    <w:bookmarkEnd w:id="31"/>
    <w:bookmarkStart w:id="32" w:name="references"/>
    <w:p>
      <w:pPr>
        <w:pStyle w:val="Heading2"/>
      </w:pPr>
      <w:r>
        <w:t xml:space="preserve">References</w:t>
      </w:r>
    </w:p>
    <w:p>
      <w:pPr>
        <w:pStyle w:val="Compact"/>
        <w:numPr>
          <w:ilvl w:val="0"/>
          <w:numId w:val="1001"/>
        </w:numPr>
      </w:pPr>
      <w:r>
        <w:t xml:space="preserve">Angelopoulos AN, Bates S. Conformal prediction: a gentle introduction. Found Trends Mach Learn 2023;16:494. doi:10.1561/2200000101</w:t>
      </w:r>
    </w:p>
    <w:p>
      <w:pPr>
        <w:pStyle w:val="Compact"/>
        <w:numPr>
          <w:ilvl w:val="0"/>
          <w:numId w:val="1001"/>
        </w:numPr>
      </w:pPr>
      <w:r>
        <w:t xml:space="preserve">Avsec Ž et al. Effective gene expression prediction from sequence by integrating long-range interactions. Nat Methods 2021;18:1196. doi:10.1038/s41592-021-01252-x</w:t>
      </w:r>
    </w:p>
    <w:p>
      <w:pPr>
        <w:pStyle w:val="Compact"/>
        <w:numPr>
          <w:ilvl w:val="0"/>
          <w:numId w:val="1001"/>
        </w:numPr>
      </w:pPr>
      <w:r>
        <w:t xml:space="preserve">Avsec Ž et al. Advancing regulatory variant effect prediction with AlphaGenome. Nature 2026;649:1206. doi:10.1038/s41586-025-10014-0</w:t>
      </w:r>
    </w:p>
    <w:p>
      <w:pPr>
        <w:pStyle w:val="Compact"/>
        <w:numPr>
          <w:ilvl w:val="0"/>
          <w:numId w:val="1001"/>
        </w:numPr>
      </w:pPr>
      <w:r>
        <w:t xml:space="preserve">Fulco CP et al. Activity-by-contact model of enhancer–promoter regulation from thousands of CRISPR perturbations. Nat Genet 2019;51:1664. doi:10.1038/s41588-019-0538-0</w:t>
      </w:r>
    </w:p>
    <w:p>
      <w:pPr>
        <w:pStyle w:val="Compact"/>
        <w:numPr>
          <w:ilvl w:val="0"/>
          <w:numId w:val="1001"/>
        </w:numPr>
      </w:pPr>
      <w:r>
        <w:t xml:space="preserve">Gasperini M et al. A genome-wide framework for mapping gene regulation via cellular genetic screens. Cell 2019;176:377. doi:10.1016/j.cell.2018.11.029</w:t>
      </w:r>
    </w:p>
    <w:p>
      <w:pPr>
        <w:pStyle w:val="Compact"/>
        <w:numPr>
          <w:ilvl w:val="0"/>
          <w:numId w:val="1001"/>
        </w:numPr>
      </w:pPr>
      <w:r>
        <w:t xml:space="preserve">Gschwind AR et al. An encyclopedia of human enhancer–gene regulatory interactions. Nature 2026. doi:10.1038/s41586-026-10781-4 (preprint: doi:10.1101/2023.11.09.563812)</w:t>
      </w:r>
    </w:p>
    <w:p>
      <w:pPr>
        <w:pStyle w:val="Compact"/>
        <w:numPr>
          <w:ilvl w:val="0"/>
          <w:numId w:val="1001"/>
        </w:numPr>
      </w:pPr>
      <w:r>
        <w:t xml:space="preserve">Jin Y, Candès EJ. Selection by prediction with conformal p-values. J Mach Learn Res 2023;24(244):1–41. https://jmlr.org/papers/v24/22-1176.html</w:t>
      </w:r>
    </w:p>
    <w:p>
      <w:pPr>
        <w:pStyle w:val="Compact"/>
        <w:numPr>
          <w:ilvl w:val="0"/>
          <w:numId w:val="1001"/>
        </w:numPr>
      </w:pPr>
      <w:r>
        <w:t xml:space="preserve">Kapoor S et al. REFORMS: consensus-based recommendations for machine-learning-based science. Sci Adv 2024;10:eadk3452. doi:10.1126/sciadv.adk3452</w:t>
      </w:r>
    </w:p>
    <w:p>
      <w:pPr>
        <w:pStyle w:val="Compact"/>
        <w:numPr>
          <w:ilvl w:val="0"/>
          <w:numId w:val="1001"/>
        </w:numPr>
      </w:pPr>
      <w:r>
        <w:t xml:space="preserve">Karollus A et al. Current sequence-based models capture gene expression determinants in promoters but mostly ignore distal enhancers. Genome Biol 2023;24. doi:10.1186/s13059-023-02899-9</w:t>
      </w:r>
    </w:p>
    <w:p>
      <w:pPr>
        <w:pStyle w:val="Compact"/>
        <w:numPr>
          <w:ilvl w:val="0"/>
          <w:numId w:val="1001"/>
        </w:numPr>
      </w:pPr>
      <w:r>
        <w:t xml:space="preserve">Ke G et al. LightGBM: a highly efficient gradient boosting decision tree. NeurIPS 2017. https://papers.nips.cc/paper_files/paper/2017/hash/6449f44a102fde848669bdd9eb6b76fa-Abstract.html</w:t>
      </w:r>
    </w:p>
    <w:p>
      <w:pPr>
        <w:pStyle w:val="Compact"/>
        <w:numPr>
          <w:ilvl w:val="0"/>
          <w:numId w:val="1001"/>
        </w:numPr>
      </w:pPr>
      <w:r>
        <w:t xml:space="preserve">Moore JE et al. A curated benchmark of enhancer-gene interactions (BENGI). Genome Biol 2020;21. doi:10.1186/s13059-019-1924-8</w:t>
      </w:r>
    </w:p>
    <w:p>
      <w:pPr>
        <w:pStyle w:val="Compact"/>
        <w:numPr>
          <w:ilvl w:val="0"/>
          <w:numId w:val="1001"/>
        </w:numPr>
      </w:pPr>
      <w:r>
        <w:t xml:space="preserve">Nasser J et al. Genome-wide enhancer maps link risk variants to disease genes. Nature 2021;593:238. doi:10.1038/s41586-021-03446-x</w:t>
      </w:r>
    </w:p>
    <w:p>
      <w:pPr>
        <w:pStyle w:val="Compact"/>
        <w:numPr>
          <w:ilvl w:val="0"/>
          <w:numId w:val="1001"/>
        </w:numPr>
      </w:pPr>
      <w:r>
        <w:t xml:space="preserve">Papadopoulos H et al. Inductive confidence machines for regression. ECML 2002, LNCS 2430. doi:10.1007/3-540-36755-1_29</w:t>
      </w:r>
    </w:p>
    <w:p>
      <w:pPr>
        <w:pStyle w:val="Compact"/>
        <w:numPr>
          <w:ilvl w:val="0"/>
          <w:numId w:val="1001"/>
        </w:numPr>
      </w:pPr>
      <w:r>
        <w:t xml:space="preserve">Walsh I et al. DOME: recommendations for supervised machine learning validation in biology. Nat Methods 2021;18:1122. doi:10.1038/s41592-021-01205-4</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2026-10-22T13:44:53Z</dcterms:created>
  <dcterms:modified xsi:type="dcterms:W3CDTF">2026-10-22T13:44:53Z</dcterms:modified>
</cp:coreProperties>
</file>

<file path=docProps/custom.xml><?xml version="1.0" encoding="utf-8"?>
<Properties xmlns="http://schemas.openxmlformats.org/officeDocument/2006/custom-properties" xmlns:vt="http://schemas.openxmlformats.org/officeDocument/2006/docPropsVTypes"/>
</file>