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9fcccb2a65d85d87bf515f55920a34db398d1a"/>
    <w:p>
      <w:pPr>
        <w:pStyle w:val="Heading1"/>
      </w:pPr>
      <w:r>
        <w:t xml:space="preserve">A corrected Enformer silencing score adds information to distance and accessibility for CRISPRi enhancer–gene ranking: held-out confirmation, leave-one-chromosome-out baselines and an audit of an earlier analysis</w:t>
      </w:r>
    </w:p>
    <w:p>
      <w:pPr>
        <w:pStyle w:val="FirstParagraph"/>
      </w:pPr>
      <w:r>
        <w:rPr>
          <w:b/>
          <w:bCs/>
        </w:rPr>
        <w:t xml:space="preserve">Authors:</w:t>
      </w:r>
      <w:r>
        <w:t xml:space="preserve"> </w:t>
      </w:r>
      <w:r>
        <w:t xml:space="preserve">Gabriele Bambini¹, Lorenzo De Santis¹, Andrea Tangherloni¹</w:t>
      </w:r>
      <w:r>
        <w:t xml:space="preserve"> </w:t>
      </w:r>
      <w:r>
        <w:t xml:space="preserve">¹ Università Commerciale Luigi Bocconi, Milano, Italia</w:t>
      </w:r>
    </w:p>
    <w:p>
      <w:pPr>
        <w:pStyle w:val="BodyText"/>
      </w:pPr>
      <w:r>
        <w:rPr>
          <w:i/>
          <w:iCs/>
        </w:rPr>
        <w:t xml:space="preserve">Draft for author review. Every number in the Abstract, Results and Discussion is filled from</w:t>
      </w:r>
      <w:r>
        <w:rPr>
          <w:i/>
          <w:iCs/>
        </w:rPr>
        <w:t xml:space="preserve"> </w:t>
      </w:r>
      <w:r>
        <w:rPr>
          <w:rStyle w:val="VerbatimChar"/>
          <w:i/>
          <w:iCs/>
        </w:rPr>
        <w:t xml:space="preserve">results/claims.json</w:t>
      </w:r>
      <w:r>
        <w:rPr>
          <w:i/>
          <w:iCs/>
        </w:rPr>
        <w:t xml:space="preserve"> </w:t>
      </w:r>
      <w:r>
        <w:rPr>
          <w:i/>
          <w:iCs/>
        </w:rPr>
        <w:t xml:space="preserve">by</w:t>
      </w:r>
      <w:r>
        <w:rPr>
          <w:i/>
          <w:iCs/>
        </w:rPr>
        <w:t xml:space="preserve"> </w:t>
      </w:r>
      <w:r>
        <w:rPr>
          <w:rStyle w:val="VerbatimChar"/>
          <w:i/>
          <w:iCs/>
        </w:rPr>
        <w:t xml:space="preserve">scripts/claims.py</w:t>
      </w:r>
      <w:r>
        <w:rPr>
          <w:i/>
          <w:iCs/>
        </w:rPr>
        <w:t xml:space="preserve">. Proposed bioRxiv category: New Results.</w:t>
      </w:r>
    </w:p>
    <w:bookmarkStart w:id="9" w:name="abstract"/>
    <w:p>
      <w:pPr>
        <w:pStyle w:val="Heading2"/>
      </w:pPr>
      <w:r>
        <w:t xml:space="preserve">Abstract</w:t>
      </w:r>
    </w:p>
    <w:p>
      <w:pPr>
        <w:pStyle w:val="FirstParagraph"/>
      </w:pPr>
      <w:r>
        <w:rPr>
          <w:b/>
          <w:bCs/>
        </w:rPr>
        <w:t xml:space="preserve">Background.</w:t>
      </w:r>
      <w:r>
        <w:t xml:space="preserve"> </w:t>
      </w:r>
      <w:r>
        <w:t xml:space="preserve">Supervised predictors of CRISPR interference (CRISPRi) enhancer–gene effects are trained and judged on a public table of 10,356 tested K562 element–gene pairs (471 significant decreases). An earlier internal analysis of this table concluded that Enformer silencing scores carry no information, that transfer across cell types collapses, and that a distance-plus-accessibility model is a calibrated reference.</w:t>
      </w:r>
    </w:p>
    <w:p>
      <w:pPr>
        <w:pStyle w:val="BodyText"/>
      </w:pPr>
      <w:r>
        <w:rPr>
          <w:b/>
          <w:bCs/>
        </w:rPr>
        <w:t xml:space="preserve">Methods.</w:t>
      </w:r>
      <w:r>
        <w:t xml:space="preserve"> </w:t>
      </w:r>
      <w:r>
        <w:t xml:space="preserve">We audited that analysis, pre-specified a replacement plan in a git-committed file, and re-evaluated everything with leave-one-chromosome-out (LOCO) folds, cluster-aware bootstrap intervals and a corrected Enformer implementation. The Enformer finding was then tested in a confirmation pre-specified before any held-out score was computed, and against chromatin activity and 3D contact in a further test fixed before any contact value was extracted. Amendments made after seeing results are listed and labelled post hoc.</w:t>
      </w:r>
    </w:p>
    <w:p>
      <w:pPr>
        <w:pStyle w:val="BodyText"/>
      </w:pPr>
      <w:r>
        <w:rPr>
          <w:b/>
          <w:bCs/>
        </w:rPr>
        <w:t xml:space="preserve">Results.</w:t>
      </w:r>
      <w:r>
        <w:t xml:space="preserve"> </w:t>
      </w:r>
      <w:r>
        <w:t xml:space="preserve"> </w:t>
      </w:r>
      <w:r>
        <w:t xml:space="preserve">Among the 1,750 pairs inside the Enformer window, adding the corrected K562-CAGE silencing score to a logistic baseline on distance and accessibility raised LOCO AUPRC from 0.520 to 0.594 (difference 0.074; Holm-adjusted p = 0.002; a post hoc contrast), and the pre-specified comparison with a gradient-boosted regression gave 0.076.</w:t>
      </w:r>
      <w:r>
        <w:t xml:space="preserve"> </w:t>
      </w:r>
      <w:r>
        <w:t xml:space="preserve"> </w:t>
      </w:r>
      <w:r>
        <w:t xml:space="preserve">In the pre-specified confirmation on held-out K562 screens (313 pairs, 75 positives, models refitted on locus-disjoint training pairs) the same gain was found (0.113; interval 0.026 to 0.205; Holm-adjusted p = 0.022).</w:t>
      </w:r>
      <w:r>
        <w:t xml:space="preserve"> </w:t>
      </w:r>
      <w:r>
        <w:t xml:space="preserve"> </w:t>
      </w:r>
      <w:r>
        <w:t xml:space="preserve">The score alone was not detectably better than raw distance in that small set (0.126; interval -0.055 to 0.295).</w:t>
      </w:r>
      <w:r>
        <w:t xml:space="preserve"> </w:t>
      </w:r>
      <w:r>
        <w:t xml:space="preserve"> </w:t>
      </w:r>
      <w:r>
        <w:t xml:space="preserve">Against a stronger baseline that adds K562 Hi-C contact, chromatin activity and an activity-by-contact term, the LOCO gain was smaller (0.042; interval 0.014 to 0.068; Holm-adjusted p = 0.006); because the contact feature added little to distance in its positive control, the gain is not attributed beyond 3D contact, and on the held-out screens (post hoc) the score changed the AUPRC of that baseline (0.848) by only 0.007 (interval -0.010 to 0.031).</w:t>
      </w:r>
      <w:r>
        <w:t xml:space="preserve"> </w:t>
      </w:r>
      <w:r>
        <w:t xml:space="preserve">Ranking pairs by negative log-distance without any fitting reached a pooled AUPRC of 0.438, in agreement with the published value of 0.436.</w:t>
      </w:r>
      <w:r>
        <w:t xml:space="preserve"> </w:t>
      </w:r>
      <w:r>
        <w:t xml:space="preserve"> </w:t>
      </w:r>
      <w:r>
        <w:t xml:space="preserve">A gradient-boosted regression on distance and K562 accessibility scored 0.389, below raw distance (difference -0.049; Holm-adjusted p = 0.016; a label added after seeing the results), and an evaluation on chr19 alone would have suggested the opposite. Benchmark annotations and logistic regression were not detectably better than raw distance.</w:t>
      </w:r>
      <w:r>
        <w:t xml:space="preserve"> </w:t>
      </w:r>
      <w:r>
        <w:t xml:space="preserve"> </w:t>
      </w:r>
      <w:r>
        <w:t xml:space="preserve">Locus-disjoint transfer to held-out K562 screens overlapped a model trained inside the target (lift 4.5 against 4.3) but was detectably below unfitted distance in the target (6.0); the only other estimable cell type had few independent loci, and three more could not be tested, so a cross-cell-type collapse was not reproduced but cannot be excluded. Constant-width conformal intervals covered 0.88 of effects on average but only 0.56 in the top decile of predicted effects. The headline value of the earlier Enformer result (-0.275) was an artefact of a correlation helper that aligned pandas series on index labels.</w:t>
      </w:r>
    </w:p>
    <w:p>
      <w:pPr>
        <w:pStyle w:val="BodyText"/>
      </w:pPr>
      <w:r>
        <w:rPr>
          <w:b/>
          <w:bCs/>
        </w:rPr>
        <w:t xml:space="preserve">Conclusions.</w:t>
      </w:r>
      <w:r>
        <w:t xml:space="preserve"> </w:t>
      </w:r>
      <w:r>
        <w:t xml:space="preserve">A corrected sequence-model silencing score adds information to distance and accessibility for nearby enhancer–gene pairs, in LOCO evaluation and in a pre-specified held-out confirmation; much of that information is also carried by chromatin activity and contact features, against which the score adds a smaller increment under LOCO and little on the held-out screens. Raw distance remains a strong baseline that fitted regression models do not beat, a single held-out chromosome can mislead, and the earlier negative Enformer result was an artefact. Numbers in the Abstract, Results and Discussion are substituted by script from the pipeline result files.</w:t>
      </w:r>
    </w:p>
    <w:bookmarkEnd w:id="9"/>
    <w:bookmarkStart w:id="10" w:name="introduction"/>
    <w:p>
      <w:pPr>
        <w:pStyle w:val="Heading2"/>
      </w:pPr>
      <w:r>
        <w:t xml:space="preserve">1. Introduction</w:t>
      </w:r>
    </w:p>
    <w:p>
      <w:pPr>
        <w:pStyle w:val="FirstParagraph"/>
      </w:pPr>
      <w:r>
        <w:t xml:space="preserve">CRISPR interference (CRISPRi) screens measure the effect of repressing individual candidate enhancers on the expression of nearby genes [Fulco 2019; Gasperini 2019; Nasser 2021]. Their pooled data now underpin supervised enhancer–gene predictors such as ENCODE-rE2G, trained and evaluated on a combined table of 10,356 tested K562 element–gene pairs with leave-one-chromosome-out (LOCO) cross-validation [Gschwind 2026]. Two observations from that literature frame the present study. First, genomic distance to the transcription start site (TSS) is a competitive baseline on CRISPR benchmarks and has long been used as a comparator [Fulco 2019; Gasperini 2019; Nasser 2021; Moore 2020], so any added feature must be judged against it with uncertainty that respects the dependence between pairs. Second, sequence-to-function models such as Enformer [Avsec 2021] predict distal enhancer effects poorly when probed by in-silico perturbation [Karollus 2023], while recent models report improvements when their scores are added to rE2G [Avsec 2026]. The benchmark’s source publication already evaluates Enformer on this table, scoring only pairs closer than the model window and setting the others to zero [Gschwind 2026].</w:t>
      </w:r>
    </w:p>
    <w:p>
      <w:pPr>
        <w:pStyle w:val="BodyText"/>
      </w:pPr>
      <w:r>
        <w:t xml:space="preserve">We began from an internal v1.0 analysis of the same table that reported (i) a calibrated distance-plus-ATAC gradient-boosted baseline, (ii) a collapse of transfer to other cell types and screens, (iii) a negative result for Enformer silencing scores, and (iv) a set of failed method variants. A line-by-line audit of that release (</w:t>
      </w:r>
      <w:r>
        <w:rPr>
          <w:rStyle w:val="VerbatimChar"/>
        </w:rPr>
        <w:t xml:space="preserve">supplementary/AUDIT_v1.md</w:t>
      </w:r>
      <w:r>
        <w:t xml:space="preserve">) found implementation and design problems that bear directly on (ii) and (iii), including an output-bin offset in the Enformer scoring code, an unverified track slice, a correlation helper that aligned pandas series on index labels, a bootstrap interval inconsistent with its point estimate, and K562 chromatin features applied to other cell types. This manuscript therefore (a) re-runs the Enformer counterfactual with the corrected geometry, track indices and a fidelity control, asks whether the score adds information to distance and accessibility, tests the answer in a confirmation pre-specified before any held-out score was computed, and then asks whether it adds to chromatin activity and 3D contact, (b) re-derives all baseline results under LOCO with cluster-aware inference, (c) re-tests transfer with locus-disjoint sources and within-target references, and (d) documents the audit as a worked example of how such errors arise and are caught. The analyses were pre-specified in a git-timestamped plan (</w:t>
      </w:r>
      <w:r>
        <w:rPr>
          <w:rStyle w:val="VerbatimChar"/>
        </w:rPr>
        <w:t xml:space="preserve">supplementary/PREREG_v2.md</w:t>
      </w:r>
      <w:r>
        <w:t xml:space="preserve">), and every number in the Abstract, Results and Discussion is regenerated by</w:t>
      </w:r>
      <w:r>
        <w:t xml:space="preserve"> </w:t>
      </w:r>
      <w:r>
        <w:rPr>
          <w:rStyle w:val="VerbatimChar"/>
        </w:rPr>
        <w:t xml:space="preserve">hpc/run_all.sh</w:t>
      </w:r>
      <w:r>
        <w:t xml:space="preserve"> </w:t>
      </w:r>
      <w:r>
        <w:t xml:space="preserve">and substituted into the text by script.</w:t>
      </w:r>
    </w:p>
    <w:p>
      <w:pPr>
        <w:pStyle w:val="BodyText"/>
      </w:pPr>
      <w:r>
        <w:t xml:space="preserve">We make no claim of a new predictor. Our contribution is a rebuildable, uncertainty-aware reassessment on public data and an account of what the v1.0 conclusions do and do not survive.</w:t>
      </w:r>
    </w:p>
    <w:bookmarkEnd w:id="10"/>
    <w:bookmarkStart w:id="21" w:name="results"/>
    <w:p>
      <w:pPr>
        <w:pStyle w:val="Heading2"/>
      </w:pPr>
      <w:r>
        <w:t xml:space="preserve">2. Results</w:t>
      </w:r>
    </w:p>
    <w:bookmarkStart w:id="11" w:name="X6c56ce9f18c0c73f78dc463ad9f250225e486d7"/>
    <w:p>
      <w:pPr>
        <w:pStyle w:val="Heading3"/>
      </w:pPr>
      <w:r>
        <w:t xml:space="preserve">2.1 Corrected Enformer silencing scores add signal for nearby elements (discovery)</w:t>
      </w:r>
    </w:p>
    <w:p>
      <w:pPr>
        <w:pStyle w:val="FirstParagraph"/>
      </w:pPr>
      <w:r>
        <w:rPr>
          <w:b/>
          <w:bCs/>
        </w:rPr>
        <w:t xml:space="preserve">Fidelity control.</w:t>
      </w:r>
      <w:r>
        <w:t xml:space="preserve"> </w:t>
      </w:r>
      <w:r>
        <w:t xml:space="preserve">At K562-marker promoters the mean of the two K562 CAGE tracks had a median rank at the 0.99 percentile among all CAGE tracks; 7 of 9 markers were above the pre-set threshold (HBG2 at the 0.41 and LMO2 at the 0.60 percentile were below it), so the ported weights and track indices pass the pre-set criterion, which cannot by itself separate K562 from related hematopoietic tracks.</w:t>
      </w:r>
    </w:p>
    <w:p>
      <w:pPr>
        <w:pStyle w:val="BodyText"/>
      </w:pPr>
      <w:r>
        <w:rPr>
          <w:b/>
          <w:bCs/>
        </w:rPr>
        <w:t xml:space="preserve">Primary result.</w:t>
      </w:r>
      <w:r>
        <w:t xml:space="preserve"> </w:t>
      </w:r>
      <w:r>
        <w:t xml:space="preserve">The eligible population is the 1,750 pairs whose element lies inside the TSS-centred window (380 positives, 529 clusters). In this population the regression baseline M2 trained on the window scored 0.436, below unfitted distance (0.497).</w:t>
      </w:r>
      <w:r>
        <w:t xml:space="preserve"> </w:t>
      </w:r>
      <w:r>
        <w:t xml:space="preserve"> </w:t>
      </w:r>
      <w:r>
        <w:t xml:space="preserve">Adding the negated K562 CAGE silencing score to that model raised LOCO AUPRC to 0.512, a gain of 0.076 (interval 0.042 to 0.109); the pre-specified rule labels this BENEFIT. The all-track CAGE variant did not reach that level, whereas the K562 DNase variant did (0.090; Holm-adjusted p = 0.001). On the full table, where the score is missing outside the window, the change was 0.013 (interval -0.028 to 0.061), and the full-table AUPRC of the augmented model (0.402) remained below unfitted distance (0.438).</w:t>
      </w:r>
    </w:p>
    <w:p>
      <w:pPr>
        <w:pStyle w:val="BodyText"/>
      </w:pPr>
      <w:r>
        <w:rPr>
          <w:b/>
          <w:bCs/>
        </w:rPr>
        <w:t xml:space="preserve">Against stronger baselines (post hoc, exploratory).</w:t>
      </w:r>
      <w:r>
        <w:t xml:space="preserve"> </w:t>
      </w:r>
      <w:r>
        <w:t xml:space="preserve">Because M2 is weaker than unfitted distance, we compared against stronger baselines (amendments A15 and A16).</w:t>
      </w:r>
      <w:r>
        <w:t xml:space="preserve"> </w:t>
      </w:r>
      <w:r>
        <w:t xml:space="preserve"> </w:t>
      </w:r>
      <w:r>
        <w:t xml:space="preserve">The gradient-boosted regression with the score was not detectably better than unfitted distance (0.015; Holm-adjusted p = 0.591), so most of the primary gain reflects the weakness of that comparator.</w:t>
      </w:r>
      <w:r>
        <w:t xml:space="preserve"> </w:t>
      </w:r>
      <w:r>
        <w:t xml:space="preserve"> </w:t>
      </w:r>
      <w:r>
        <w:t xml:space="preserve">The silencing score alone (AUPRC 0.600) exceeded negative log-distance (0.497) by 0.103 (interval 0.028 to 0.169; Holm-adjusted p = 0.008).</w:t>
      </w:r>
      <w:r>
        <w:t xml:space="preserve"> </w:t>
      </w:r>
      <w:r>
        <w:t xml:space="preserve"> </w:t>
      </w:r>
      <w:r>
        <w:t xml:space="preserve">Adding it to a logistic model on distance and accessibility raised AUPRC from 0.520 to 0.594 (0.074; Holm-adjusted p = 0.002), and the score alone (0.600) was at least as good as that logistic model (0.594) by point estimate, but a direct test of the logistic model against the score alone gave a difference of -0.006 (interval -0.050 to 0.041), so distance and accessibility add little once the score is present. The gradient-boosted regression trained on the whole table and scored in the window reached 0.466; the windowed model with the score exceeded it by 0.047 (Holm-adjusted p = 0.037).</w:t>
      </w:r>
    </w:p>
    <w:p>
      <w:pPr>
        <w:pStyle w:val="BodyText"/>
      </w:pPr>
      <w:r>
        <w:rPr>
          <w:b/>
          <w:bCs/>
        </w:rPr>
        <w:t xml:space="preserve">Is it only promoter strength, or distance?</w:t>
      </w:r>
      <w:r>
        <w:t xml:space="preserve"> </w:t>
      </w:r>
      <w:r>
        <w:t xml:space="preserve">Adding the reference K562 CAGE signal at the promoter to the logistic baseline and then the silencing score changed AUPRC by 0.065 (interval 0.033 to 0.096). Restricted to pairs farther than ten kilobases from the TSS (1531 pairs, 251 positives), the score alone differed from distance by 0.188 (interval 0.102 to 0.270).</w:t>
      </w:r>
    </w:p>
    <w:p>
      <w:pPr>
        <w:pStyle w:val="BodyText"/>
      </w:pPr>
      <w:r>
        <w:t xml:space="preserve">Controlling in addition for the promoter signal, screen power and the source screen, adding the score to a logistic baseline changed AUPRC from 0.596 to 0.641 (0.045; interval 0.020 to 0.069; Holm-adjusted p = 0.001); observed expression was not available as a covariate.</w:t>
      </w:r>
    </w:p>
    <w:p>
      <w:pPr>
        <w:pStyle w:val="BodyText"/>
      </w:pPr>
      <w:r>
        <w:rPr>
          <w:b/>
          <w:bCs/>
        </w:rPr>
        <w:t xml:space="preserve">Element specificity.</w:t>
      </w:r>
      <w:r>
        <w:t xml:space="preserve"> </w:t>
      </w:r>
      <w:r>
        <w:t xml:space="preserve">The score was more negative in positives than in other pairs (decrease in 0.79 against 0.58); its partial rank correlation with the repression magnitude, given distance and accessibility, was 0.14. In 298 pairs with a non-element window, the element score had AUPRC 0.565 against 0.318 for the null window (difference 0.247, interval 0.109 to 0.382; prevalence 0.211). The element delta was below the null delta in 0.57 of pairs, so part of the signal reflects gene or promoter context rather than the element sequence. The three scrambles gave AUPRC 0.598, 0.573 and 0.590. A composition-preserving random shuffle (amendment A17) correlated with the GC-matched delta at 0.83 and gave AUPRC 0.564 for the score alone; the logistic gain was 0.059 against 0.074 for the GC-matched shuffle, and the score alone was lower with the random shuffle by -0.037 (interval -0.066 to -0.009).</w:t>
      </w:r>
    </w:p>
    <w:p>
      <w:pPr>
        <w:pStyle w:val="BodyText"/>
      </w:pPr>
      <w:r>
        <w:rPr>
          <w:b/>
          <w:bCs/>
        </w:rPr>
        <w:t xml:space="preserve">Comparison with the published evaluation and with v1.0.</w:t>
      </w:r>
      <w:r>
        <w:t xml:space="preserve"> </w:t>
      </w:r>
      <w:r>
        <w:t xml:space="preserve">The benchmark’s publication reports AUPRC 0.493 for Enformer when only pairs inside the model window are scored and the rest are set to zero [Gschwind 2026]. The zero-filled version of our score on the whole table gave 0.461 (interval 0.390 to 0.539) against 0.438 for unfitted distance (difference 0.023, interval -0.044 to 0.085), in the same direction as the published values (0.493 against 0.436) though not detectably different from distance. To separate the effect of each fix from the change of design, we re-ran the v1.0 design (the same 300 pairs, split and model; 293 have a corrected score). Replicating the v1.0 statistic verbatim reproduces its published increment (-0.275) as -0.275. That statistic aligned two pandas series on index labels instead of positions (audit defect D19); the same predictions scored position-aligned give -0.039. With the corrected score on the same pairs and aligned correlations the increment is -0.132 (interval -0.343 to 0.095, including zero), against -0.032 for the buggy score on that subset. The v1.0 headline value was thus an alignment artefact. The corrected score does not produce a positive increment in the v1.0 design, but that design differs from the full analysis in sample (about 114 test pairs), metric and population, and the contribution of the indexing and track fixes was not ablated separately, so the bridge neither confirms nor refutes a null in the v1.0 design.</w:t>
      </w:r>
    </w:p>
    <w:bookmarkEnd w:id="11"/>
    <w:bookmarkStart w:id="12" w:name="Xbae6a719d452e584e9c9e62ec6bc2ca0a43c64d"/>
    <w:p>
      <w:pPr>
        <w:pStyle w:val="Heading3"/>
      </w:pPr>
      <w:r>
        <w:t xml:space="preserve">2.2 Pre-specified confirmation on held-out screens</w:t>
      </w:r>
    </w:p>
    <w:p>
      <w:pPr>
        <w:pStyle w:val="FirstParagraph"/>
      </w:pPr>
      <w:r>
        <w:t xml:space="preserve">The Enformer finding was tested on data not used for discovery, with a plan committed before any held-out score was computed (amendment A20; the scoring job was submitted afterwards). The population is the K562 slice of the benchmark’s held-out table with the element inside the model window: 313 pairs, 75 positives and 119 clusters. The score is zero-shot (same code and tracks as in the discovery analysis); the supervised models were refitted on 1430 training-table pairs that share no cluster with any held-out pair.</w:t>
      </w:r>
      <w:r>
        <w:t xml:space="preserve"> </w:t>
      </w:r>
      <w:r>
        <w:t xml:space="preserve"> </w:t>
      </w:r>
      <w:r>
        <w:t xml:space="preserve">Adding the score to the logistic baseline raised AUPRC from 0.567 to 0.680 (difference 0.113; interval 0.026 to 0.205; Holm-adjusted p = 0.022), which the pre-specified rule labels BENEFIT; under the pre-specified claim policy the finding is therefore called confirmed.</w:t>
      </w:r>
      <w:r>
        <w:t xml:space="preserve"> </w:t>
      </w:r>
      <w:r>
        <w:t xml:space="preserve"> </w:t>
      </w:r>
      <w:r>
        <w:t xml:space="preserve">The second pre-specified contrast, the score alone against negative log-distance, gave 0.126 (interval -0.055 to 0.295; Holm-adjusted p = 0.164), which is INCONCLUSIVE at this sample size. Descriptively, the logistic model with the score exceeded raw distance by 0.184 (interval 0.084 to 0.282), and the gradient-boosted regression gained 0.138 (interval 0.045 to 0.220) from the score. The set is independent of the discovery screens but not of loci: part of its pairs share genes with the training table, which is why the supervised models were refitted locus-disjoint; the intervals are wide because of the small number of positives, and only K562 could be tested, because the other held-out cell types have too few pairs inside the window or no matched track.</w:t>
      </w:r>
    </w:p>
    <w:bookmarkEnd w:id="12"/>
    <w:bookmarkStart w:id="13" w:name="Xa5a5266dd1e84b8b37947049e000eb815bc8d0b"/>
    <w:p>
      <w:pPr>
        <w:pStyle w:val="Heading3"/>
      </w:pPr>
      <w:r>
        <w:t xml:space="preserve">2.3 Against chromatin activity and 3D contact (pre-specified)</w:t>
      </w:r>
    </w:p>
    <w:p>
      <w:pPr>
        <w:pStyle w:val="FirstParagraph"/>
      </w:pPr>
      <w:r>
        <w:t xml:space="preserve">Distance and accessibility are weak comparators: the benchmark’s authors find chromatin activity and 3D contact the most informative feature groups [Gschwind 2026], and a gradient score from a newer sequence model added information to rE2G [Avsec 2026]. Before any contact value was extracted we fixed a further test (amendment A21). In the same window population (1,750 pairs, 380 positives, 529 clusters) the baseline is a logistic regression on distance, accessibility, K562 intact Hi-C contact between the element and TSS bins (the matrix used by rE2G), chromatin activity (geometric mean of the benchmark’s DNase and H3K27ac signals), an activity-by-contact numerator, the numbers of other TSSs and of accessible peaks between element and TSS, and the ubiquitous-expression flag. It is an open approximation of the rE2G feature family, not rE2G itself. This baseline reached a LOCO AUPRC of 0.667, against 0.497 for unfitted distance.</w:t>
      </w:r>
      <w:r>
        <w:t xml:space="preserve"> </w:t>
      </w:r>
      <w:r>
        <w:t xml:space="preserve"> </w:t>
      </w:r>
      <w:r>
        <w:t xml:space="preserve">Adding the silencing score raised it to 0.709 (difference 0.042; interval 0.014 to 0.068; Holm-adjusted p = 0.006, adjusted for a family of two because the second pre-specified contrast could not yet be run), which the pre-specified rule labels BENEFIT. The gain was of similar size within ten kilobases of the TSS (0.061) and beyond (0.051), and a gradient-boosted version of the same comparison gave 0.038 (interval 0.010 to 0.067).</w:t>
      </w:r>
    </w:p>
    <w:p>
      <w:pPr>
        <w:pStyle w:val="BodyText"/>
      </w:pPr>
      <w:r>
        <w:rPr>
          <w:b/>
          <w:bCs/>
        </w:rPr>
        <w:t xml:space="preserve">The contact feature did not pass its positive control.</w:t>
      </w:r>
      <w:r>
        <w:t xml:space="preserve"> </w:t>
      </w:r>
      <w:r>
        <w:t xml:space="preserve">On the whole training table, Hi-C contact added 0.020 to distance (interval -0.005 to 0.044), so under the pre-specified rule the gain above is not described as information beyond 3D contact. A label-free check supports the extraction: for 300 sampled pairs an independent dense-block query returned the stored value in 300 cases, and contact decayed with distance with a log–log slope of -0.93. The same check found that the benchmark tables give a zero TSS coordinate for three genes; their TSS was recovered from the reference annotation and the analysis was re-run once (amendment A22), with the same primary result as the first run. In this table a single Hi-C pixel at five-kilobase resolution adds little to distance; the benchmark’s authors report a larger benefit of cell-type Hi-C inside their activity-by-contact framework [Gschwind 2026], which normalises contact and divides by the activity of all nearby elements, steps our open approximation does not reproduce.</w:t>
      </w:r>
    </w:p>
    <w:p>
      <w:pPr>
        <w:pStyle w:val="BodyText"/>
      </w:pPr>
      <w:r>
        <w:rPr>
          <w:b/>
          <w:bCs/>
        </w:rPr>
        <w:t xml:space="preserve">Held-out screens (post hoc).</w:t>
      </w:r>
      <w:r>
        <w:t xml:space="preserve"> </w:t>
      </w:r>
      <w:r>
        <w:t xml:space="preserve">On the held-out K562 slice of the confirmation, whose labels had been seen there, the same baseline refitted on locus-disjoint training pairs reached 0.848 (against 0.567 for distance and accessibility alone), and adding the score changed its AUPRC by 0.007 (interval -0.010 to 0.031). On those screens, most of what the score added to distance and accessibility is therefore also available from activity and contact features. In the window population the score correlated with the activity-by-contact numerator at a Spearman coefficient of 0.31. The second pre-specified contrast, against the published cross-validated rE2G Extended predictions, needs files that require a registered account and has not been run (status NOT-RUN).</w:t>
      </w:r>
    </w:p>
    <w:bookmarkEnd w:id="13"/>
    <w:bookmarkStart w:id="14" w:name="X2726a93c0e7ec79d32c43d24c6f9981e9145f63"/>
    <w:p>
      <w:pPr>
        <w:pStyle w:val="Heading3"/>
      </w:pPr>
      <w:r>
        <w:t xml:space="preserve">2.4 Unfitted distance reproduces the published baseline</w:t>
      </w:r>
    </w:p>
    <w:p>
      <w:pPr>
        <w:pStyle w:val="FirstParagraph"/>
      </w:pPr>
      <w:r>
        <w:t xml:space="preserve">Ranking the 10,356 pairs by negative log-distance (M0), with no fitting, gives a pooled AUPRC of 0.438 for the</w:t>
      </w:r>
      <w:r>
        <w:t xml:space="preserve"> </w:t>
      </w:r>
      <w:r>
        <w:rPr>
          <w:rStyle w:val="VerbatimChar"/>
        </w:rPr>
        <w:t xml:space="preserve">Regulated</w:t>
      </w:r>
      <w:r>
        <w:t xml:space="preserve"> </w:t>
      </w:r>
      <w:r>
        <w:t xml:space="preserve">label (471 positives, prevalence 0.045). The benchmark’s source publication reports 0.436 for the same baseline [Gschwind 2026], a difference of 0.0018; precision at the threshold giving seventy percent recall is 0.316 here against 0.316 there. Because distance involves no training, this agreement tests the label definition and the pair set rather than any model. For context, the same publication reports 0.662 for ENCODE-rE2G and 0.613 for the activity-by-contact model; we do not re-implement them, and the activity-and-contact analysis above uses only an open approximation of their feature family.</w:t>
      </w:r>
    </w:p>
    <w:bookmarkEnd w:id="14"/>
    <w:bookmarkStart w:id="15" w:name="Xefe4c576f09c2013bd57ae6a0ca7fa391a55e07"/>
    <w:p>
      <w:pPr>
        <w:pStyle w:val="Heading3"/>
      </w:pPr>
      <w:r>
        <w:t xml:space="preserve">2.5 Fitted distance-and-accessibility models are not shown to beat unfitted distance under LOCO</w:t>
      </w:r>
    </w:p>
    <w:p>
      <w:pPr>
        <w:pStyle w:val="FirstParagraph"/>
      </w:pPr>
      <w:r>
        <w:t xml:space="preserve">Table 1 gives out-of-fold results over 18 LOCO folds with cluster-bootstrap intervals (clusters: 600).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AUPRC</w:t>
            </w:r>
          </w:p>
        </w:tc>
        <w:tc>
          <w:tcPr/>
          <w:p>
            <w:pPr>
              <w:pStyle w:val="Compact"/>
            </w:pPr>
            <w:r>
              <w:t xml:space="preserve">CI</w:t>
            </w:r>
          </w:p>
        </w:tc>
        <w:tc>
          <w:tcPr/>
          <w:p>
            <w:pPr>
              <w:pStyle w:val="Compact"/>
            </w:pPr>
            <w:r>
              <w:t xml:space="preserve">AUROC</w:t>
            </w:r>
          </w:p>
        </w:tc>
        <w:tc>
          <w:tcPr/>
          <w:p>
            <w:pPr>
              <w:pStyle w:val="Compact"/>
            </w:pPr>
            <w:r>
              <w:t xml:space="preserve">Precision, top two percent</w:t>
            </w:r>
          </w:p>
        </w:tc>
      </w:tr>
      <w:tr>
        <w:tc>
          <w:tcPr/>
          <w:p>
            <w:pPr>
              <w:pStyle w:val="Compact"/>
            </w:pPr>
            <w:r>
              <w:t xml:space="preserve">M0 negative log-distance (no fit)</w:t>
            </w:r>
          </w:p>
        </w:tc>
        <w:tc>
          <w:tcPr/>
          <w:p>
            <w:pPr>
              <w:pStyle w:val="Compact"/>
            </w:pPr>
            <w:r>
              <w:t xml:space="preserve">0.438</w:t>
            </w:r>
          </w:p>
        </w:tc>
        <w:tc>
          <w:tcPr/>
          <w:p>
            <w:pPr>
              <w:pStyle w:val="Compact"/>
            </w:pPr>
            <w:r>
              <w:t xml:space="preserve">0.384 to 0.503</w:t>
            </w:r>
          </w:p>
        </w:tc>
        <w:tc>
          <w:tcPr/>
          <w:p>
            <w:pPr>
              <w:pStyle w:val="Compact"/>
            </w:pPr>
            <w:r>
              <w:t xml:space="preserve">0.897</w:t>
            </w:r>
          </w:p>
        </w:tc>
        <w:tc>
          <w:tcPr/>
          <w:p>
            <w:pPr>
              <w:pStyle w:val="Compact"/>
            </w:pPr>
            <w:r>
              <w:t xml:space="preserve">0.611</w:t>
            </w:r>
          </w:p>
        </w:tc>
      </w:tr>
      <w:tr>
        <w:tc>
          <w:tcPr/>
          <w:p>
            <w:pPr>
              <w:pStyle w:val="Compact"/>
            </w:pPr>
            <w:r>
              <w:t xml:space="preserve">M1 GBM on distance</w:t>
            </w:r>
          </w:p>
        </w:tc>
        <w:tc>
          <w:tcPr/>
          <w:p>
            <w:pPr>
              <w:pStyle w:val="Compact"/>
            </w:pPr>
            <w:r>
              <w:t xml:space="preserve">0.366</w:t>
            </w:r>
          </w:p>
        </w:tc>
        <w:tc>
          <w:tcPr/>
          <w:p>
            <w:pPr>
              <w:pStyle w:val="Compact"/>
            </w:pPr>
            <w:r>
              <w:t xml:space="preserve">0.316 to 0.435</w:t>
            </w:r>
          </w:p>
        </w:tc>
        <w:tc>
          <w:tcPr/>
          <w:p>
            <w:pPr>
              <w:pStyle w:val="Compact"/>
            </w:pPr>
            <w:r>
              <w:t xml:space="preserve">0.850</w:t>
            </w:r>
          </w:p>
        </w:tc>
        <w:tc>
          <w:tcPr/>
          <w:p>
            <w:pPr>
              <w:pStyle w:val="Compact"/>
            </w:pPr>
            <w:r>
              <w:t xml:space="preserve">0.534</w:t>
            </w:r>
          </w:p>
        </w:tc>
      </w:tr>
      <w:tr>
        <w:tc>
          <w:tcPr/>
          <w:p>
            <w:pPr>
              <w:pStyle w:val="Compact"/>
            </w:pPr>
            <w:r>
              <w:t xml:space="preserve">M2 GBM on distance and K562 ATAC</w:t>
            </w:r>
          </w:p>
        </w:tc>
        <w:tc>
          <w:tcPr/>
          <w:p>
            <w:pPr>
              <w:pStyle w:val="Compact"/>
            </w:pPr>
            <w:r>
              <w:t xml:space="preserve">0.389</w:t>
            </w:r>
          </w:p>
        </w:tc>
        <w:tc>
          <w:tcPr/>
          <w:p>
            <w:pPr>
              <w:pStyle w:val="Compact"/>
            </w:pPr>
            <w:r>
              <w:t xml:space="preserve">0.338 to 0.461</w:t>
            </w:r>
          </w:p>
        </w:tc>
        <w:tc>
          <w:tcPr/>
          <w:p>
            <w:pPr>
              <w:pStyle w:val="Compact"/>
            </w:pPr>
            <w:r>
              <w:t xml:space="preserve">0.853</w:t>
            </w:r>
          </w:p>
        </w:tc>
        <w:tc>
          <w:tcPr/>
          <w:p>
            <w:pPr>
              <w:pStyle w:val="Compact"/>
            </w:pPr>
            <w:r>
              <w:t xml:space="preserve">0.502</w:t>
            </w:r>
          </w:p>
        </w:tc>
      </w:tr>
      <w:tr>
        <w:tc>
          <w:tcPr/>
          <w:p>
            <w:pPr>
              <w:pStyle w:val="Compact"/>
            </w:pPr>
            <w:r>
              <w:t xml:space="preserve">M3 M2 plus benchmark annotations</w:t>
            </w:r>
          </w:p>
        </w:tc>
        <w:tc>
          <w:tcPr/>
          <w:p>
            <w:pPr>
              <w:pStyle w:val="Compact"/>
            </w:pPr>
            <w:r>
              <w:t xml:space="preserve">0.452</w:t>
            </w:r>
          </w:p>
        </w:tc>
        <w:tc>
          <w:tcPr/>
          <w:p>
            <w:pPr>
              <w:pStyle w:val="Compact"/>
            </w:pPr>
            <w:r>
              <w:t xml:space="preserve">0.391 to 0.530</w:t>
            </w:r>
          </w:p>
        </w:tc>
        <w:tc>
          <w:tcPr/>
          <w:p>
            <w:pPr>
              <w:pStyle w:val="Compact"/>
            </w:pPr>
            <w:r>
              <w:t xml:space="preserve">0.869</w:t>
            </w:r>
          </w:p>
        </w:tc>
        <w:tc>
          <w:tcPr/>
          <w:p>
            <w:pPr>
              <w:pStyle w:val="Compact"/>
            </w:pPr>
            <w:r>
              <w:t xml:space="preserve">0.649</w:t>
            </w:r>
          </w:p>
        </w:tc>
      </w:tr>
    </w:tbl>
    <w:p>
      <w:pPr>
        <w:pStyle w:val="BodyText"/>
      </w:pPr>
      <w:r>
        <w:rPr>
          <w:b/>
          <w:bCs/>
        </w:rPr>
        <w:t xml:space="preserve">Table 1.</w:t>
      </w:r>
      <w:r>
        <w:t xml:space="preserve"> </w:t>
      </w:r>
      <w:r>
        <w:t xml:space="preserve">Pooled LOCO results for the label</w:t>
      </w:r>
      <w:r>
        <w:t xml:space="preserve"> </w:t>
      </w:r>
      <w:r>
        <w:rPr>
          <w:rStyle w:val="VerbatimChar"/>
        </w:rPr>
        <w:t xml:space="preserve">Regulated</w:t>
      </w:r>
      <w:r>
        <w:t xml:space="preserve"> </w:t>
      </w:r>
      <w:r>
        <w:t xml:space="preserve">(score: predicted repression strength, or negative log-distance for M0). Intervals are percentile intervals from the cluster bootstrap over fixed out-of-fold predictions.</w:t>
      </w:r>
    </w:p>
    <w:p>
      <w:pPr>
        <w:pStyle w:val="BodyText"/>
      </w:pPr>
      <w:r>
        <w:t xml:space="preserve">M2, the v1.0 backbone, scored below unfitted distance (difference in AUPRC -0.049; interval -0.080 to -0.016; Holm-adjusted p = 0.016). The pre-specified rules, extended after the results were seen by a label for an interval wholly below zero after Holm correction (amendment A16), classify this comparison as INFERIOR. M2 exceeded M0 in only 5 of 18 folds. Averaging per-fold AUPRC over folds with enough positives, which avoids mixing fold-specific score scales, gives 0.525 for M0, 0.471 for M1, 0.486 for M2 and 0.565 for M3, so the ordering does not come from pooling; M3 exceeded M0 in 12 of 18 folds.</w:t>
      </w:r>
    </w:p>
    <w:p>
      <w:pPr>
        <w:pStyle w:val="BodyText"/>
      </w:pPr>
      <w:r>
        <w:t xml:space="preserve">Adding K562 accessibility to distance alone (M2 against M1) changed AUPRC by 0.023 (interval 0.000 to 0.047; Holm-adjusted p = 0.098), classified INCONCLUSIVE.</w:t>
      </w:r>
      <w:r>
        <w:t xml:space="preserve"> </w:t>
      </w:r>
      <w:r>
        <w:t xml:space="preserve"> </w:t>
      </w:r>
      <w:r>
        <w:t xml:space="preserve">Adding the benchmark’s own activity annotations raised AUPRC over M2 by 0.063 (Holm-adjusted p = 0.033),</w:t>
      </w:r>
      <w:r>
        <w:t xml:space="preserve"> </w:t>
      </w:r>
      <w:r>
        <w:t xml:space="preserve"> </w:t>
      </w:r>
      <w:r>
        <w:t xml:space="preserve">but not detectably over unfitted distance (0.014; interval -0.039 to 0.071; Holm-adjusted p = 0.641).</w:t>
      </w:r>
    </w:p>
    <w:p>
      <w:pPr>
        <w:pStyle w:val="BodyText"/>
      </w:pPr>
      <w:r>
        <w:rPr>
          <w:b/>
          <w:bCs/>
        </w:rPr>
        <w:t xml:space="preserve">A single held-out chromosome can mislead.</w:t>
      </w:r>
      <w:r>
        <w:t xml:space="preserve"> </w:t>
      </w:r>
      <w:r>
        <w:t xml:space="preserve">The v1.0 analysis used chr19 alone, which holds 43 of the positives. On that chromosome M2 scored 0.441 against 0.407 for M0, the reverse of the pooled ordering. Per-screen breakdowns (exploratory, not in the pre-specified plan) show distance ahead of M2 in Gasperini-derived pairs (0.485 against 0.451) and in Fulco-derived pairs (0.383 against 0.367).</w:t>
      </w:r>
    </w:p>
    <w:p>
      <w:pPr>
        <w:pStyle w:val="BodyText"/>
      </w:pPr>
      <w:r>
        <w:rPr>
          <w:b/>
          <w:bCs/>
        </w:rPr>
        <w:t xml:space="preserve">Correlations are task-dependent.</w:t>
      </w:r>
      <w:r>
        <w:t xml:space="preserve"> </w:t>
      </w:r>
      <w:r>
        <w:t xml:space="preserve">The Spearman correlation between the score and |effect| was 0.164 for M2 and 0.132 for negative log-distance, whereas the signed correlation of M2 was 0.099. The v1.0 text called its (signed) correlation a magnitude correlation; both are now named, and neither measures the prioritisation task that AUPRC does.</w:t>
      </w:r>
    </w:p>
    <w:bookmarkEnd w:id="15"/>
    <w:bookmarkStart w:id="16" w:name="Xe218e083af1e662edeab0563e5126ad45aed371"/>
    <w:p>
      <w:pPr>
        <w:pStyle w:val="Heading3"/>
      </w:pPr>
      <w:r>
        <w:t xml:space="preserve">2.6 Classifiers are not detectably better than unfitted distance (post hoc, exploratory)</w:t>
      </w:r>
    </w:p>
    <w:p>
      <w:pPr>
        <w:pStyle w:val="FirstParagraph"/>
      </w:pPr>
      <w:r>
        <w:t xml:space="preserve">Because the usual supervised baseline is a classifier, we added a standardised logistic regression on distance and accessibility (M4) and a monotone-constrained gradient-boosted classifier (M5) after seeing the E1 results (amendment A13).</w:t>
      </w:r>
      <w:r>
        <w:t xml:space="preserve"> </w:t>
      </w:r>
      <w:r>
        <w:t xml:space="preserve"> </w:t>
      </w:r>
      <w:r>
        <w:t xml:space="preserve">M4 reached AUPRC 0.462, a difference from M0 of 0.025 (interval -0.001 to 0.052; Holm-adjusted p = 0.132), which the rules label INCONCLUSIVE.</w:t>
      </w:r>
      <w:r>
        <w:t xml:space="preserve"> </w:t>
      </w:r>
      <w:r>
        <w:t xml:space="preserve"> </w:t>
      </w:r>
      <w:r>
        <w:t xml:space="preserve">M5 reached 0.433 (-0.005 against M0; Holm-adjusted p = 0.812), also INCONCLUSIVE. The logistic model was the best simple supervised model by point estimate.</w:t>
      </w:r>
    </w:p>
    <w:bookmarkEnd w:id="16"/>
    <w:bookmarkStart w:id="17" w:name="transfer-across-screens-and-cell-types"/>
    <w:p>
      <w:pPr>
        <w:pStyle w:val="Heading3"/>
      </w:pPr>
      <w:r>
        <w:t xml:space="preserve">2.7 Transfer across screens and cell types</w:t>
      </w:r>
    </w:p>
    <w:p>
      <w:pPr>
        <w:pStyle w:val="FirstParagraph"/>
      </w:pPr>
      <w:r>
        <w:t xml:space="preserve">For every target we removed source pairs that share a cluster with any target pair (locus-disjoint transfer) and compared the transferred ranking with a native reference trained inside the target and with the unfitted-distance ranking in the target; effects are AUPRC lifts over prevalence. The TRANSFERS label means that the transfer interval overlaps the native interval and exceeds the floor; it is not an equivalence test, and it says nothing about whether the native reference is itself a good model.</w:t>
      </w:r>
      <w:r>
        <w:t xml:space="preserve"> </w:t>
      </w:r>
      <w:r>
        <w:t xml:space="preserve"> </w:t>
      </w:r>
      <w:r>
        <w:t xml:space="preserve">The held-out K562 slice (118 positives in 152 clusters) is the same cell type probed by other screens, so it tests cross-screen rather than cross-cell-type transfer. The distance-only model trained on the training table transferred with lift 4.53 (interval 3.38 to 6.21) against a native reference of 4.28 (interval 3.29 to 5.79) and unfitted distance in the target of 6.00; the paired difference between transfer and unfitted distance had interval -2.64 to -0.37. The native reference is itself below unfitted distance here, so the label shows only that nothing is lost relative to a model trained in the target. The model with cell-type-matched annotations gave 7.29 against 7.46.</w:t>
      </w:r>
      <w:r>
        <w:t xml:space="preserve"> </w:t>
      </w:r>
      <w:r>
        <w:t xml:space="preserve"> </w:t>
      </w:r>
      <w:r>
        <w:t xml:space="preserve">WTC11 is the only estimable target from another cell type (the threshold of twenty clusters was fixed after the cluster counts of the targets were known, before any model result) (15 positives in 22 clusters): the transferred lift was 33.7 (interval 12.4 to 81.7) and the native reference 12.1 (interval 6.0 to 29.4), with wide intervals because the target has few independent loci and a very low prevalence that inflates lifts. The native reference there comes from a model fitted on few positives, so the overlap of the intervals reflects a weak ceiling as much as good transfer; the transferred model scored below unfitted distance in this target as well (paired difference interval -73.1 to -8.6). HCT116, GM12878 and Jurkat did not meet the estimability criteria (5, 9 and 5 clusters); their descriptive transferred lifts were 3.5, 3.2 and 5.4, all above one but without intervals.</w:t>
      </w:r>
    </w:p>
    <w:p>
      <w:pPr>
        <w:pStyle w:val="BodyText"/>
      </w:pPr>
      <w:r>
        <w:t xml:space="preserve">The three screens inside the training table test overlapping loci: the other screens’ pairs fall in a few large clusters, and the clusters concerned also contain Gasperini pairs, so only 28 source pairs remain locus-disjoint for that target and no primary transfer could be fitted. The naive transfer lift (6.24; interval 5.14 to 7.46) was close to the native reference (5.79) but is not locus-disjoint. The Fulco-derived and Schraivogel pairs form only 6 and 17 clusters and are not estimable. The v1.0 cross-context collapse is therefore not reproduced where it can be tested, and it is untestable for three of the five held-out cell types.</w:t>
      </w:r>
    </w:p>
    <w:bookmarkEnd w:id="17"/>
    <w:bookmarkStart w:id="18" w:name="X385118edb2e2bed748f8e5437871b03b1c77898"/>
    <w:p>
      <w:pPr>
        <w:pStyle w:val="Heading3"/>
      </w:pPr>
      <w:r>
        <w:t xml:space="preserve">2.8 Constant-width conformal intervals are calibrated only on average</w:t>
      </w:r>
    </w:p>
    <w:p>
      <w:pPr>
        <w:pStyle w:val="FirstParagraph"/>
      </w:pPr>
      <w:r>
        <w:t xml:space="preserve">Split-conformal intervals (nominal level ninety percent) with one width for all pairs covered 0.882 of held-out effects overall, below nominal (range across folds 0.83 to 0.95), and coverage fell to 0.56 in the top decile of predicted effect and to 0.57 in the nearest decile of distance, exactly where prioritisation operates. Intervals with one quantile per decile of the predicted magnitude (Mondrian) reduced the largest deviation from nominal coverage from 0.34 to 0.02 at similar mean width (0.127 against 0.131).</w:t>
      </w:r>
      <w:r>
        <w:t xml:space="preserve"> </w:t>
      </w:r>
      <w:r>
        <w:t xml:space="preserve"> </w:t>
      </w:r>
      <w:r>
        <w:t xml:space="preserve">Conformal selection at a target false-discovery rate of ten percent chose 35 pairs, 32 of them positives (false-discovery proportion 0.09, upper bound 0.20; power 0.07), selecting nothing in 11 of 18 folds.</w:t>
      </w:r>
      <w:r>
        <w:t xml:space="preserve"> </w:t>
      </w:r>
      <w:r>
        <w:t xml:space="preserve"> </w:t>
      </w:r>
      <w:r>
        <w:t xml:space="preserve">At twenty percent it chose 63 pairs with false-discovery proportion 0.21 (upper bound 0.31; power 0.11). Both are classified INCONCLUSIVE. A top-k rule that takes the same number of pairs per fold has an identical false-discovery proportion by construction (the ranking is the same), so the analysis shows what fraction an adaptive cut-off would choose, not an advantage over top-k.</w:t>
      </w:r>
    </w:p>
    <w:bookmarkEnd w:id="18"/>
    <w:bookmarkStart w:id="19" w:name="X9fde080ba3d0d09993e78dabf3507a369174012"/>
    <w:p>
      <w:pPr>
        <w:pStyle w:val="Heading3"/>
      </w:pPr>
      <w:r>
        <w:t xml:space="preserve">2.9 One-sidedness of significant effects depends on the population</w:t>
      </w:r>
    </w:p>
    <w:p>
      <w:pPr>
        <w:pStyle w:val="FirstParagraph"/>
      </w:pPr>
      <w:r>
        <w:t xml:space="preserve">Among 546 significant pairs, 0.863 are decreases (Wilson interval 0.831 to 0.889), so a constant</w:t>
      </w:r>
      <w:r>
        <w:t xml:space="preserve"> </w:t>
      </w:r>
      <w:r>
        <w:t xml:space="preserve">“repression”</w:t>
      </w:r>
      <w:r>
        <w:t xml:space="preserve"> </w:t>
      </w:r>
      <w:r>
        <w:t xml:space="preserve">call would be right that often. The fraction is 0.741 on chr19, 0.634 among Fulco-derived pairs, 0.896 among Gasperini-derived pairs and 0.948 inside the Enformer window. The v1.0 figure of 0.967 applied to a sampled subset, not to the table.</w:t>
      </w:r>
    </w:p>
    <w:bookmarkEnd w:id="19"/>
    <w:bookmarkStart w:id="20" w:name="Xcc5b797b102ddd9345bb15056f8ca45acca2021"/>
    <w:p>
      <w:pPr>
        <w:pStyle w:val="Heading3"/>
      </w:pPr>
      <w:r>
        <w:t xml:space="preserve">2.10 Method variants do not improve on the baseline</w:t>
      </w:r>
    </w:p>
    <w:p>
      <w:pPr>
        <w:pStyle w:val="FirstParagraph"/>
      </w:pPr>
      <w:r>
        <w:t xml:space="preserve">Relative to M2 (AUPRC 0.389), LambdaRank changed AUPRC by -0.080, uncertainty-penalised re-ranking by -0.166 and gene-level covariates by -0.044. The two-stage product changed it by 0.014 (0.012 for the repression-oriented version) and nested hyper-parameter search by 0.021.</w:t>
      </w:r>
      <w:r>
        <w:t xml:space="preserve"> </w:t>
      </w:r>
      <w:r>
        <w:t xml:space="preserve"> </w:t>
      </w:r>
      <w:r>
        <w:t xml:space="preserve">After Holm correction over the six variants none reached the benefit criterion; the search variant is classified INCONCLUSIVE (Holm-adjusted p = 0.152).</w:t>
      </w:r>
      <w:r>
        <w:t xml:space="preserve"> </w:t>
      </w:r>
      <w:r>
        <w:t xml:space="preserve"> </w:t>
      </w:r>
      <w:r>
        <w:t xml:space="preserve">LambdaRank is classified INFERIOR (Holm-adjusted p = 0.003), as is the uncertainty-penalised re-ranking.</w:t>
      </w:r>
    </w:p>
    <w:bookmarkEnd w:id="20"/>
    <w:bookmarkEnd w:id="21"/>
    <w:bookmarkStart w:id="22" w:name="discussion"/>
    <w:p>
      <w:pPr>
        <w:pStyle w:val="Heading2"/>
      </w:pPr>
      <w:r>
        <w:t xml:space="preserve">3. Discussion</w:t>
      </w:r>
    </w:p>
    <w:p>
      <w:pPr>
        <w:pStyle w:val="FirstParagraph"/>
      </w:pPr>
      <w:r>
        <w:rPr>
          <w:b/>
          <w:bCs/>
        </w:rPr>
        <w:t xml:space="preserve">Main finding.</w:t>
      </w:r>
      <w:r>
        <w:t xml:space="preserve"> </w:t>
      </w:r>
      <w:r>
        <w:t xml:space="preserve">A sequence-model silencing score adds information to distance and accessibility for nearby enhancer–gene pairs. In LOCO evaluation inside the Enformer window the corrected K562-CAGE score improved a logistic baseline, the gain persisted when the promoter signal, screen power and source screen were controlled, and it was confirmed in a test pre-specified before any held-out score was computed (gain 0.113, interval 0.026 to 0.205), with supervised models refitted on locus-disjoint pairs. The effect is moderate and imprecise (the held-out set has 75 positives), the score alone was not detectably better than raw distance there, and the discovery-set gain over a gradient-boosted regression partly reflects that regression’s weakness. The direction is in line with reports that sequence models are usable but weak for distal enhancers [Karollus 2023], with the published Enformer evaluation on this table [Gschwind 2026] and, in spirit, with the improvement reported when scores from a different model are added to rE2G [Avsec 2026]; the contribution here is the audited, pre-specified evidence and its confirmation, not the direction. The earlier internal null result is not supported: its headline value was an artefact of a misaligned correlation (reproduced exactly in the bridge analysis), its features carried an output-indexing error and mixed assay tracks, and its design (a small sampled set) cannot settle the question. The population is limited to pairs inside the model window, a minority of the table where distance already ranks well; part of the signal is gene or promoter context (null-window control); the weights are a community port checked only by a rank-based control; and only K562 could be tested. We therefore regard the result as evidence of complementary information, not of a deployable predictor. A further pre-specified test qualifies it: against a baseline with chromatin activity and Hi-C contact the LOCO gain was 0.042 rather than 0.074, and on the held-out screens (post hoc) it was 0.007, so much of what the score contributes over distance and accessibility is also carried by activity and contact. Whether it adds to the published rE2G predictions remains to be tested.</w:t>
      </w:r>
    </w:p>
    <w:p>
      <w:pPr>
        <w:pStyle w:val="BodyText"/>
      </w:pPr>
      <w:r>
        <w:rPr>
          <w:b/>
          <w:bCs/>
        </w:rPr>
        <w:t xml:space="preserve">Baselines.</w:t>
      </w:r>
      <w:r>
        <w:t xml:space="preserve"> </w:t>
      </w:r>
      <w:r>
        <w:t xml:space="preserve">On the public K562 table, a ranking by log-distance that involves no training is the baseline to beat: it reproduces the published AUPRC, and neither a gradient-boosted regression on distance and accessibility nor the benchmark’s annotations improved on it detectably under LOCO with cluster-aware intervals; the regression was lower. Logistic regression moved in the right direction without being distinguishable from it. Published supervised predictors that combine activity and contact reach much higher AUPRC (0.66 for rE2G), and our open approximation of their features reached 0.667 in the window population, so the simple models studied here should not be read as a ceiling.</w:t>
      </w:r>
    </w:p>
    <w:p>
      <w:pPr>
        <w:pStyle w:val="BodyText"/>
      </w:pPr>
      <w:r>
        <w:rPr>
          <w:b/>
          <w:bCs/>
        </w:rPr>
        <w:t xml:space="preserve">Methodological points.</w:t>
      </w:r>
      <w:r>
        <w:t xml:space="preserve"> </w:t>
      </w:r>
      <w:r>
        <w:t xml:space="preserve">(i) A single held-out chromosome gave the opposite ordering of M2 and distance to the pooled LOCO result. (ii) Constant-width conformal intervals attain nominal coverage only on average while under-covering the pairs that matter; Mondrian intervals repair this, a known technique applied here to a new table. (iii) The one-sidedness of significant effects varies by population, so any constant-predictor baseline must be computed on the evaluated population. (iv) Pairs from different screens test the same loci, so cross-screen transfer needs locus-disjoint sources, which are largely unavailable.</w:t>
      </w:r>
    </w:p>
    <w:p>
      <w:pPr>
        <w:pStyle w:val="BodyText"/>
      </w:pPr>
      <w:r>
        <w:rPr>
          <w:b/>
          <w:bCs/>
        </w:rPr>
        <w:t xml:space="preserve">Status of the v1.0 claims.</w:t>
      </w:r>
      <w:r>
        <w:t xml:space="preserve"> </w:t>
      </w:r>
      <w:r>
        <w:t xml:space="preserve">Table 2 summarises the fate of the v1.0 conclusions.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v1.0 claim</w:t>
            </w:r>
          </w:p>
        </w:tc>
        <w:tc>
          <w:tcPr/>
          <w:p>
            <w:pPr>
              <w:pStyle w:val="Compact"/>
            </w:pPr>
            <w:r>
              <w:t xml:space="preserve">v1.0 value</w:t>
            </w:r>
          </w:p>
        </w:tc>
        <w:tc>
          <w:tcPr/>
          <w:p>
            <w:pPr>
              <w:pStyle w:val="Compact"/>
            </w:pPr>
            <w:r>
              <w:t xml:space="preserve">v2 finding</w:t>
            </w:r>
          </w:p>
        </w:tc>
      </w:tr>
      <w:tr>
        <w:tc>
          <w:tcPr/>
          <w:p>
            <w:pPr>
              <w:pStyle w:val="Compact"/>
            </w:pPr>
            <w:r>
              <w:t xml:space="preserve">Distance-plus-ATAC GBM is a calibrated reference above curated annotations</w:t>
            </w:r>
          </w:p>
        </w:tc>
        <w:tc>
          <w:tcPr/>
          <w:p>
            <w:pPr>
              <w:pStyle w:val="Compact"/>
            </w:pPr>
            <w:r>
              <w:t xml:space="preserve">chr19 AUPRC 0.368 against 0.348 for distance</w:t>
            </w:r>
          </w:p>
        </w:tc>
        <w:tc>
          <w:tcPr/>
          <w:p>
            <w:pPr>
              <w:pStyle w:val="Compact"/>
            </w:pPr>
            <w:r>
              <w:t xml:space="preserve">Below unfitted distance under LOCO (Table 1); term</w:t>
            </w:r>
            <w:r>
              <w:t xml:space="preserve"> </w:t>
            </w:r>
            <w:r>
              <w:t xml:space="preserve">“reference class”</w:t>
            </w:r>
            <w:r>
              <w:t xml:space="preserve"> </w:t>
            </w:r>
            <w:r>
              <w:t xml:space="preserve">dropped</w:t>
            </w:r>
            <w:r>
              <w:t xml:space="preserve"> </w:t>
            </w:r>
          </w:p>
        </w:tc>
      </w:tr>
      <w:tr>
        <w:tc>
          <w:tcPr/>
          <w:p>
            <w:pPr>
              <w:pStyle w:val="Compact"/>
            </w:pPr>
            <w:r>
              <w:t xml:space="preserve">Cross-cell-type and cross-screen transfer collapses</w:t>
            </w:r>
          </w:p>
        </w:tc>
        <w:tc>
          <w:tcPr/>
          <w:p>
            <w:pPr>
              <w:pStyle w:val="Compact"/>
            </w:pPr>
            <w:r>
              <w:t xml:space="preserve">rho 0.014 (HCT116), 0.040 (WTC11), ratio 0.038</w:t>
            </w:r>
          </w:p>
        </w:tc>
        <w:tc>
          <w:tcPr/>
          <w:p>
            <w:pPr>
              <w:pStyle w:val="Compact"/>
            </w:pPr>
            <w:r>
              <w:t xml:space="preserve">Not reproduced where testable; untestable for three cell types (transfer results); term</w:t>
            </w:r>
            <w:r>
              <w:t xml:space="preserve"> </w:t>
            </w:r>
            <w:r>
              <w:t xml:space="preserve">“wall”</w:t>
            </w:r>
            <w:r>
              <w:t xml:space="preserve"> </w:t>
            </w:r>
            <w:r>
              <w:t xml:space="preserve">dropped</w:t>
            </w:r>
          </w:p>
        </w:tc>
      </w:tr>
      <w:tr>
        <w:tc>
          <w:tcPr/>
          <w:p>
            <w:pPr>
              <w:pStyle w:val="Compact"/>
            </w:pPr>
            <w:r>
              <w:t xml:space="preserve">Enformer silencing scores add nothing</w:t>
            </w:r>
          </w:p>
        </w:tc>
        <w:tc>
          <w:tcPr/>
          <w:p>
            <w:pPr>
              <w:pStyle w:val="Compact"/>
            </w:pPr>
            <w:r>
              <w:t xml:space="preserve">increment -0.275, interval -0.21 to 0.13</w:t>
            </w:r>
          </w:p>
        </w:tc>
        <w:tc>
          <w:tcPr/>
          <w:p>
            <w:pPr>
              <w:pStyle w:val="Compact"/>
            </w:pPr>
            <w:r>
              <w:t xml:space="preserve">Not supported: the headline value was an alignment artefact and features had an indexing error; the corrected score adds information, confirmed on held-out screens; against activity and contact its gain is smaller and, on the held-out screens, small (Enformer results)</w:t>
            </w:r>
          </w:p>
        </w:tc>
      </w:tr>
      <w:tr>
        <w:tc>
          <w:tcPr/>
          <w:p>
            <w:pPr>
              <w:pStyle w:val="Compact"/>
            </w:pPr>
            <w:r>
              <w:t xml:space="preserve">Almost all significant effects are repressions</w:t>
            </w:r>
          </w:p>
        </w:tc>
        <w:tc>
          <w:tcPr/>
          <w:p>
            <w:pPr>
              <w:pStyle w:val="Compact"/>
            </w:pPr>
            <w:r>
              <w:t xml:space="preserve">0.967</w:t>
            </w:r>
          </w:p>
        </w:tc>
        <w:tc>
          <w:tcPr/>
          <w:p>
            <w:pPr>
              <w:pStyle w:val="Compact"/>
            </w:pPr>
            <w:r>
              <w:t xml:space="preserve">Population-dependent (sign-composition results)</w:t>
            </w:r>
          </w:p>
        </w:tc>
      </w:tr>
      <w:tr>
        <w:tc>
          <w:tcPr/>
          <w:p>
            <w:pPr>
              <w:pStyle w:val="Compact"/>
            </w:pPr>
            <w:r>
              <w:t xml:space="preserve">Conformal coverage is nominal</w:t>
            </w:r>
          </w:p>
        </w:tc>
        <w:tc>
          <w:tcPr/>
          <w:p>
            <w:pPr>
              <w:pStyle w:val="Compact"/>
            </w:pPr>
            <w:r>
              <w:t xml:space="preserve">0.893 on chr19</w:t>
            </w:r>
          </w:p>
        </w:tc>
        <w:tc>
          <w:tcPr/>
          <w:p>
            <w:pPr>
              <w:pStyle w:val="Compact"/>
            </w:pPr>
            <w:r>
              <w:t xml:space="preserve">Marginal only, and below nominal; conditional coverage poor for constant width (conformal results)</w:t>
            </w:r>
          </w:p>
        </w:tc>
      </w:tr>
    </w:tbl>
    <w:p>
      <w:pPr>
        <w:pStyle w:val="BodyText"/>
      </w:pPr>
      <w:r>
        <w:rPr>
          <w:b/>
          <w:bCs/>
        </w:rPr>
        <w:t xml:space="preserve">Table 2.</w:t>
      </w:r>
      <w:r>
        <w:t xml:space="preserve"> </w:t>
      </w:r>
      <w:r>
        <w:t xml:space="preserve">Fate of the v1.0 claims.</w:t>
      </w:r>
    </w:p>
    <w:p>
      <w:pPr>
        <w:pStyle w:val="BodyText"/>
      </w:pPr>
      <w:r>
        <w:rPr>
          <w:b/>
          <w:bCs/>
        </w:rPr>
        <w:t xml:space="preserve">Limitations.</w:t>
      </w:r>
      <w:r>
        <w:t xml:space="preserve"> </w:t>
      </w:r>
      <w:r>
        <w:t xml:space="preserve">The study uses one cell type for training and one public table; its labels depend on screen power, and</w:t>
      </w:r>
      <w:r>
        <w:t xml:space="preserve"> </w:t>
      </w:r>
      <w:r>
        <w:t xml:space="preserve">“not regulated”</w:t>
      </w:r>
      <w:r>
        <w:t xml:space="preserve"> </w:t>
      </w:r>
      <w:r>
        <w:t xml:space="preserve">is not</w:t>
      </w:r>
      <w:r>
        <w:t xml:space="preserve"> </w:t>
      </w:r>
      <w:r>
        <w:t xml:space="preserve">“no effect”</w:t>
      </w:r>
      <w:r>
        <w:t xml:space="preserve">. The effective sample is the number of independent loci, far smaller than the number of pairs, which is why several contexts were not estimable; the held-out K562 slice tests cross-screen rather than cross-cell-type transfer. Accessibility comes from one ENCODE experiment. The Enformer confirmation covers one cell type (K562) and a small number of positives, and the held-out set shares genes with the training table, so it is independent by screen and not by locus. Enformer analyses use a community port of the published weights, checked with a rank-based fidelity control but not compared numerically with the original implementation, one scoring rule, and the window-eligible subset only; the null windows were chosen from a fixed list of offsets, so distance matching is approximate. The pre-specification lives in the repository’s own git history, as one author’s commits made within a single working day without an external timestamp; eight of the first eighteen amendments were made after results had been seen (classifiers, post-hoc Enformer contrasts, the bridge and sensitivity analyses, extra labels and status labels), and amendments A11 to A19 record each, with whether results had been seen. Confidence intervals condition on fixed out-of-fold predictions (models are not refitted inside the bootstrap), so they omit training variance, and several rest on few clusters. Published rE2G and activity-by-contact values are quoted from the source’s Supplementary Table 3. The contact feature is a single normalised Hi-C pixel without the activity-by-contact denominator, and it did not pass its positive control, so the activity-and-contact test does not settle whether the score adds to 3D contact; the comparison with the published rE2G predictions is pending. Three genes lack TSS coordinates in the benchmark tables; for one of them four held-out pairs inside the window were therefore excluded from the confirmation set, which was not re-run. The conformal selection analysis is exploratory and its labels are relative to benchmark calls, not to ground truth.</w:t>
      </w:r>
    </w:p>
    <w:p>
      <w:pPr>
        <w:pStyle w:val="BodyText"/>
      </w:pPr>
      <w:r>
        <w:rPr>
          <w:b/>
          <w:bCs/>
        </w:rPr>
        <w:t xml:space="preserve">Recommendations.</w:t>
      </w:r>
      <w:r>
        <w:t xml:space="preserve"> </w:t>
      </w:r>
      <w:r>
        <w:t xml:space="preserve">Report an unfitted distance baseline next to any new predictor; evaluate with every chromosome held out in turn and cluster-aware intervals; state which positive class is used; avoid selecting a winner on the test set; report conditional as well as marginal coverage, in line with reporting recommendations for machine learning in biology [Walsh 2021; Kapoor 2024].</w:t>
      </w:r>
    </w:p>
    <w:bookmarkEnd w:id="22"/>
    <w:bookmarkStart w:id="31" w:name="methods"/>
    <w:p>
      <w:pPr>
        <w:pStyle w:val="Heading2"/>
      </w:pPr>
      <w:r>
        <w:t xml:space="preserve">4. Methods</w:t>
      </w:r>
    </w:p>
    <w:bookmarkStart w:id="23" w:name="data"/>
    <w:p>
      <w:pPr>
        <w:pStyle w:val="Heading3"/>
      </w:pPr>
      <w:r>
        <w:t xml:space="preserve">4.1 Data</w:t>
      </w:r>
    </w:p>
    <w:p>
      <w:pPr>
        <w:pStyle w:val="FirstParagraph"/>
      </w:pPr>
      <w:r>
        <w:t xml:space="preserve">We used the public EPCrisprBenchmark combined K562 training table [Gschwind 2026] (columns</w:t>
      </w:r>
      <w:r>
        <w:t xml:space="preserve"> </w:t>
      </w:r>
      <w:r>
        <w:rPr>
          <w:rStyle w:val="VerbatimChar"/>
        </w:rPr>
        <w:t xml:space="preserve">EffectSize</w:t>
      </w:r>
      <w:r>
        <w:t xml:space="preserve">,</w:t>
      </w:r>
      <w:r>
        <w:t xml:space="preserve"> </w:t>
      </w:r>
      <w:r>
        <w:rPr>
          <w:rStyle w:val="VerbatimChar"/>
        </w:rPr>
        <w:t xml:space="preserve">Significant</w:t>
      </w:r>
      <w:r>
        <w:t xml:space="preserve">,</w:t>
      </w:r>
      <w:r>
        <w:t xml:space="preserve"> </w:t>
      </w:r>
      <w:r>
        <w:rPr>
          <w:rStyle w:val="VerbatimChar"/>
        </w:rPr>
        <w:t xml:space="preserve">Regulated</w:t>
      </w:r>
      <w:r>
        <w:t xml:space="preserve">,</w:t>
      </w:r>
      <w:r>
        <w:t xml:space="preserve"> </w:t>
      </w:r>
      <w:r>
        <w:rPr>
          <w:rStyle w:val="VerbatimChar"/>
        </w:rPr>
        <w:t xml:space="preserve">ValidConnection</w:t>
      </w:r>
      <w:r>
        <w:t xml:space="preserve">,</w:t>
      </w:r>
      <w:r>
        <w:t xml:space="preserve"> </w:t>
      </w:r>
      <w:r>
        <w:rPr>
          <w:rStyle w:val="VerbatimChar"/>
        </w:rPr>
        <w:t xml:space="preserve">distanceToTSS</w:t>
      </w:r>
      <w:r>
        <w:t xml:space="preserve">,</w:t>
      </w:r>
      <w:r>
        <w:t xml:space="preserve"> </w:t>
      </w:r>
      <w:r>
        <w:rPr>
          <w:rStyle w:val="VerbatimChar"/>
        </w:rPr>
        <w:t xml:space="preserve">Reference</w:t>
      </w:r>
      <w:r>
        <w:t xml:space="preserve">) and its held-out table of five cell types, restricted to valid connections. The table pools FlowFISH, Perturb-seq and TAP-seq screens; we label each pair with its originating screen from the</w:t>
      </w:r>
      <w:r>
        <w:t xml:space="preserve"> </w:t>
      </w:r>
      <w:r>
        <w:rPr>
          <w:rStyle w:val="VerbatimChar"/>
        </w:rPr>
        <w:t xml:space="preserve">Reference</w:t>
      </w:r>
      <w:r>
        <w:t xml:space="preserve"> </w:t>
      </w:r>
      <w:r>
        <w:t xml:space="preserve">field (Gasperini 2019, Fulco-derived FlowFISH, Schraivogel 2020 [Schraivogel 2020], other). Following the benchmark convention the primary positive class is</w:t>
      </w:r>
      <w:r>
        <w:t xml:space="preserve"> </w:t>
      </w:r>
      <w:r>
        <w:rPr>
          <w:rStyle w:val="VerbatimChar"/>
        </w:rPr>
        <w:t xml:space="preserve">Regulated</w:t>
      </w:r>
      <w:r>
        <w:t xml:space="preserve"> </w:t>
      </w:r>
      <w:r>
        <w:t xml:space="preserve">(a significant decrease in expression); the v1.0 label</w:t>
      </w:r>
      <w:r>
        <w:t xml:space="preserve"> </w:t>
      </w:r>
      <w:r>
        <w:rPr>
          <w:rStyle w:val="VerbatimChar"/>
        </w:rPr>
        <w:t xml:space="preserve">Significant</w:t>
      </w:r>
      <w:r>
        <w:t xml:space="preserve"> </w:t>
      </w:r>
      <w:r>
        <w:t xml:space="preserve">(any direction) is secondary (amendment A6). K562 accessibility features come from ENCODE IDR-ranked ATAC peaks (ENCSR956DNB).</w:t>
      </w:r>
    </w:p>
    <w:bookmarkEnd w:id="23"/>
    <w:bookmarkStart w:id="24" w:name="models-and-features"/>
    <w:p>
      <w:pPr>
        <w:pStyle w:val="Heading3"/>
      </w:pPr>
      <w:r>
        <w:t xml:space="preserve">4.2 Models and features</w:t>
      </w:r>
    </w:p>
    <w:p>
      <w:pPr>
        <w:pStyle w:val="FirstParagraph"/>
      </w:pPr>
      <w:r>
        <w:rPr>
          <w:rStyle w:val="VerbatimChar"/>
        </w:rPr>
        <w:t xml:space="preserve">logd</w:t>
      </w:r>
      <w:r>
        <w:t xml:space="preserve"> </w:t>
      </w:r>
      <w:r>
        <w:t xml:space="preserve">= log10(|distance to TSS| + 1). Baselines: M0, the negative</w:t>
      </w:r>
      <w:r>
        <w:t xml:space="preserve"> </w:t>
      </w:r>
      <w:r>
        <w:rPr>
          <w:rStyle w:val="VerbatimChar"/>
        </w:rPr>
        <w:t xml:space="preserve">logd</w:t>
      </w:r>
      <w:r>
        <w:t xml:space="preserve"> </w:t>
      </w:r>
      <w:r>
        <w:t xml:space="preserve">(no fitting); M1, LightGBM [Ke 2017] on</w:t>
      </w:r>
      <w:r>
        <w:t xml:space="preserve"> </w:t>
      </w:r>
      <w:r>
        <w:rPr>
          <w:rStyle w:val="VerbatimChar"/>
        </w:rPr>
        <w:t xml:space="preserve">logd</w:t>
      </w:r>
      <w:r>
        <w:t xml:space="preserve">; M2, LightGBM on</w:t>
      </w:r>
      <w:r>
        <w:t xml:space="preserve"> </w:t>
      </w:r>
      <w:r>
        <w:rPr>
          <w:rStyle w:val="VerbatimChar"/>
        </w:rPr>
        <w:t xml:space="preserve">logd</w:t>
      </w:r>
      <w:r>
        <w:t xml:space="preserve"> </w:t>
      </w:r>
      <w:r>
        <w:t xml:space="preserve">plus K562 ATAC overlap and distance-to-peak; M3, M2 plus the benchmark’s per-pair activity annotations (H3K27ac, DHS, CTCF, H3K27me3, H3K4me1 signals, ubiquitous-expression flag and chromatin category). LightGBM 4.6.0 used fixed hyperparameters (300 trees, learning rate 0.05, 31 leaves, minimum 40 samples per leaf, seed 0, deterministic mode) with no tuning in primary analyses. Predictors regress the signed effect size; the score for</w:t>
      </w:r>
      <w:r>
        <w:t xml:space="preserve"> </w:t>
      </w:r>
      <w:r>
        <w:rPr>
          <w:rStyle w:val="VerbatimChar"/>
        </w:rPr>
        <w:t xml:space="preserve">Regulated</w:t>
      </w:r>
      <w:r>
        <w:t xml:space="preserve"> </w:t>
      </w:r>
      <w:r>
        <w:t xml:space="preserve">is the negated prediction (predicted repression strength) and, for</w:t>
      </w:r>
      <w:r>
        <w:t xml:space="preserve"> </w:t>
      </w:r>
      <w:r>
        <w:rPr>
          <w:rStyle w:val="VerbatimChar"/>
        </w:rPr>
        <w:t xml:space="preserve">Significant</w:t>
      </w:r>
      <w:r>
        <w:t xml:space="preserve">, its absolute value. Classifiers (E7, post hoc) were a standardised logistic regression and a LightGBM classifier with monotone constraints (distance decreasing, accessibility overlap increasing, distance-to-peak decreasing).</w:t>
      </w:r>
    </w:p>
    <w:bookmarkEnd w:id="24"/>
    <w:bookmarkStart w:id="25" w:name="evaluation-and-inference"/>
    <w:p>
      <w:pPr>
        <w:pStyle w:val="Heading3"/>
      </w:pPr>
      <w:r>
        <w:t xml:space="preserve">4.3 Evaluation and inference</w:t>
      </w:r>
    </w:p>
    <w:p>
      <w:pPr>
        <w:pStyle w:val="FirstParagraph"/>
      </w:pPr>
      <w:r>
        <w:t xml:space="preserve">Out-of-fold predictions come from leave-one-chromosome-out folds (chromosomes with fewer than 100 pairs share one fold; all training chromosomes differ from the test chromosome, so no halo filter is needed). The primary metric is area under the precision–recall curve (AUPRC), with AUROC, precision at the top 2% (ties at the cut-off count their expected hit rate), precision at the threshold giving 70% recall, the Spearman correlation of the magnitude score with |effect| and of the signed prediction with the signed effect as secondary metrics. Pairs are not independent: we link pairs that share a gene or whose elements lie within 25 kb on the same chromosome and take connected components as clusters. Confidence intervals are 95% percentile intervals from a cluster bootstrap (2,000 resamples, seed 12345) that resamples whole clusters of fixed out-of-fold predictions and recomputes each metric on the same resample, so differences are paired; models are not refitted inside the bootstrap. Families of comparisons are corrected with the Holm procedure. Decision rules were fixed in</w:t>
      </w:r>
      <w:r>
        <w:t xml:space="preserve"> </w:t>
      </w:r>
      <w:r>
        <w:rPr>
          <w:rStyle w:val="VerbatimChar"/>
        </w:rPr>
        <w:t xml:space="preserve">PREREG_v2.md</w:t>
      </w:r>
      <w:r>
        <w:t xml:space="preserve"> </w:t>
      </w:r>
      <w:r>
        <w:t xml:space="preserve">before any v2 result was computed:</w:t>
      </w:r>
      <w:r>
        <w:t xml:space="preserve"> </w:t>
      </w:r>
      <w:r>
        <w:t xml:space="preserve">“adds over distance”</w:t>
      </w:r>
      <w:r>
        <w:t xml:space="preserve"> </w:t>
      </w:r>
      <w:r>
        <w:t xml:space="preserve">in E1 and E7 requires a Holm-adjusted p below 5% and a gain of at least 0.01; BENEFIT in E3 and E6 requires an interval above zero, a gain of at least 0.02 and, within a family, Holm-adjusted p below 5%; equivalence means an interval within ±0.02; otherwise a comparison is inconclusive. Later amendments (A11, A14 to A19 and A22; A20 and A21 were fixed before their results) tightened or added labels and analyses after results were seen and are disclosed as such. Intervals condition on the out-of-fold predictions, which are not refitted inside the bootstrap.</w:t>
      </w:r>
    </w:p>
    <w:bookmarkEnd w:id="25"/>
    <w:bookmarkStart w:id="26" w:name="transfer-analyses"/>
    <w:p>
      <w:pPr>
        <w:pStyle w:val="Heading3"/>
      </w:pPr>
      <w:r>
        <w:t xml:space="preserve">4.4 Transfer analyses</w:t>
      </w:r>
    </w:p>
    <w:p>
      <w:pPr>
        <w:pStyle w:val="FirstParagraph"/>
      </w:pPr>
      <w:r>
        <w:t xml:space="preserve">Transfer was assessed (i) between screens within the training table (leave-one-screen-out) and (ii) from the K562 training table to the held-out cell types. In every transfer, source pairs sharing a cluster with any target pair were removed before fitting (locus-disjoint transfer, amendment A7); naive transfer is reported as secondary. Each target also receives a native reference from within-target cross-validation (within-screen LOCO, or five-fold cluster-grouped cross-validation) with identical features, and the unfitted-distance ranking in the target. Targets with fewer than 15</w:t>
      </w:r>
      <w:r>
        <w:t xml:space="preserve"> </w:t>
      </w:r>
      <w:r>
        <w:rPr>
          <w:rStyle w:val="VerbatimChar"/>
        </w:rPr>
        <w:t xml:space="preserve">Regulated</w:t>
      </w:r>
      <w:r>
        <w:t xml:space="preserve"> </w:t>
      </w:r>
      <w:r>
        <w:t xml:space="preserve">pairs or fewer than 20 clusters are labelled not estimable. K562 ATAC features are used only for K562 targets; other cell types use the cell-type-matched benchmark annotations.</w:t>
      </w:r>
    </w:p>
    <w:bookmarkEnd w:id="26"/>
    <w:bookmarkStart w:id="27" w:name="enformer-in-silico-silencing"/>
    <w:p>
      <w:pPr>
        <w:pStyle w:val="Heading3"/>
      </w:pPr>
      <w:r>
        <w:t xml:space="preserve">4.5 Enformer in-silico silencing</w:t>
      </w:r>
    </w:p>
    <w:p>
      <w:pPr>
        <w:pStyle w:val="FirstParagraph"/>
      </w:pPr>
      <w:r>
        <w:t xml:space="preserve">Using the ported Enformer weights</w:t>
      </w:r>
      <w:r>
        <w:t xml:space="preserve"> </w:t>
      </w:r>
      <w:r>
        <w:rPr>
          <w:rStyle w:val="VerbatimChar"/>
        </w:rPr>
        <w:t xml:space="preserve">EleutherAI/enformer-official-rough</w:t>
      </w:r>
      <w:r>
        <w:t xml:space="preserve"> </w:t>
      </w:r>
      <w:r>
        <w:t xml:space="preserve">with</w:t>
      </w:r>
      <w:r>
        <w:t xml:space="preserve"> </w:t>
      </w:r>
      <w:r>
        <w:rPr>
          <w:rStyle w:val="VerbatimChar"/>
        </w:rPr>
        <w:t xml:space="preserve">enformer-pytorch</w:t>
      </w:r>
      <w:r>
        <w:t xml:space="preserve"> </w:t>
      </w:r>
      <w:r>
        <w:t xml:space="preserve">0.8.12 [Avsec 2021], following the shuffle-and-read-out-CAGE-at-the-TSS design of Karollus et al. [Karollus 2023] (who shuffled 2 kb windows and averaged 25 shuffles), each eligible pair (element fully inside a 196,608-bp window centred on the TSS; minus-strand genes reverse-complemented) was scored as the change in predicted CAGE at the TSS output bin ±1 when the element is replaced by a GC-matched shuffle (three seeds derived from a hash of the element coordinates). The output covers the central 896 bins × 128 bp of the input, so output bins were indexed after removing 40,960 bp of cropping on each side. The primary score uses the two K562 CAGE tracks (indices 4828 and 5111 in the Basenji/Enformer targets file, SHA-256 recorded in the repository); secondary scores use the mean over all 638 CAGE tracks and the K562 DNase tracks. A null control shuffles an equal-length window containing no benchmark element, chosen from a fixed list of offsets, so distance matching is approximate. A fidelity control checks that K562 CAGE ranks in the top decile at K562-marker promoters (amendment A8). The primary test is the LOCO change in AUPRC when −Δ is added to M2 on the eligible population (amendment A1). Post-hoc contrasts, the bridge to the v1.0 design and the random-shuffle sensitivity analysis are described in amendments A15 to A17. The finding was then tested in a pre-specified confirmation (E8, amendment A20) on the K562 slice of the held-out table, scored with identical code and tracks (</w:t>
      </w:r>
      <w:r>
        <w:rPr>
          <w:rStyle w:val="VerbatimChar"/>
        </w:rPr>
        <w:t xml:space="preserve">--table heldout --cell-type K562</w:t>
      </w:r>
      <w:r>
        <w:t xml:space="preserve">), with logistic regressions fitted on training-table in-window pairs that share no cluster with any held-out pair; the claim policy (confirmed iff adding the score to the logistic baseline meets the BENEFIT rule) was fixed beforehand. The plan was committed before the scoring job was submitted (commit 15e0533, tag</w:t>
      </w:r>
      <w:r>
        <w:t xml:space="preserve"> </w:t>
      </w:r>
      <w:r>
        <w:rPr>
          <w:rStyle w:val="VerbatimChar"/>
        </w:rPr>
        <w:t xml:space="preserve">prereg-v2-e8</w:t>
      </w:r>
      <w:r>
        <w:t xml:space="preserve">; the cluster’s accounting records the submission time of the scoring job). The activity-and-contact test (E9, amendment A21; commit 1916f53, tag</w:t>
      </w:r>
      <w:r>
        <w:t xml:space="preserve"> </w:t>
      </w:r>
      <w:r>
        <w:rPr>
          <w:rStyle w:val="VerbatimChar"/>
        </w:rPr>
        <w:t xml:space="preserve">prereg-v2-e9</w:t>
      </w:r>
      <w:r>
        <w:t xml:space="preserve">, made before any contact value was extracted) uses the K562 intact Hi-C matrix ENCFF621AIY at 5-kb resolution with SCALE normalisation, read with hictkpy; contact c is the normalised value at the pair of bins holding the element midpoint and the TSS (when both fall in one bin, the larger neighbouring off-diagonal value), transformed as log10(c/m + 0.01) with m the median non-zero contact of the training table; activity is log1p of the geometric mean of the benchmark’s DNase and H3K27ac RPM; the activity-by-contact numerator is log1p(activity × c/m); TSS counts use the rE2G RefSeq TSS file and peak counts the K562 ATAC IDR peaks. Its positive control compares a logistic model on distance and contact with distance on the whole training table. Pairs whose TSS is zero in the benchmark tables take the TSS of the same gene in the reference file, checked against the table’s distance (amendment A22).</w:t>
      </w:r>
    </w:p>
    <w:bookmarkEnd w:id="27"/>
    <w:bookmarkStart w:id="28" w:name="additional-analyses"/>
    <w:p>
      <w:pPr>
        <w:pStyle w:val="Heading3"/>
      </w:pPr>
      <w:r>
        <w:t xml:space="preserve">4.6 Additional analyses</w:t>
      </w:r>
    </w:p>
    <w:p>
      <w:pPr>
        <w:pStyle w:val="FirstParagraph"/>
      </w:pPr>
      <w:r>
        <w:t xml:space="preserve">Variant methods (LambdaRank, a two-stage classifier-times-regressor in two orientations, uncertainty-penalised re-ranking, nested-cross-validated hyperparameter search with chromosome-grouped inner folds, gene-level covariates) were compared with M2 under the same LOCO folds with paired cluster bootstrap and Holm correction over the six variants (E6, primary label only). Conformal analyses (E4) used a cluster-grouped 25% calibration split inside each training set, split-conformal constant-width and per-decile (Mondrian) absolute-residual intervals [Papadopoulos 2002; Angelopoulos 2023], and conformal p-values from non-regulated calibration pairs with Benjamini–Hochberg selection [Jin 2023]. A sign-composition summary (E5) reports the fraction of significant pairs that are decreases in each population, with Wilson intervals.</w:t>
      </w:r>
    </w:p>
    <w:bookmarkEnd w:id="28"/>
    <w:bookmarkStart w:id="29" w:name="Xa33ddc1883307507836074a1c19fd0672a108af"/>
    <w:p>
      <w:pPr>
        <w:pStyle w:val="Heading3"/>
      </w:pPr>
      <w:r>
        <w:t xml:space="preserve">4.7 Reproducibility, review and deviations from the plan</w:t>
      </w:r>
    </w:p>
    <w:p>
      <w:pPr>
        <w:pStyle w:val="FirstParagraph"/>
      </w:pPr>
      <w:r>
        <w:t xml:space="preserve">All experiments run from</w:t>
      </w:r>
      <w:r>
        <w:t xml:space="preserve"> </w:t>
      </w:r>
      <w:r>
        <w:rPr>
          <w:rStyle w:val="VerbatimChar"/>
        </w:rPr>
        <w:t xml:space="preserve">hpc/run_all.sh</w:t>
      </w:r>
      <w:r>
        <w:t xml:space="preserve"> </w:t>
      </w:r>
      <w:r>
        <w:t xml:space="preserve">under a pinned environment (</w:t>
      </w:r>
      <w:r>
        <w:rPr>
          <w:rStyle w:val="VerbatimChar"/>
        </w:rPr>
        <w:t xml:space="preserve">hpc/requirements.lock.txt</w:t>
      </w:r>
      <w:r>
        <w:t xml:space="preserve">,</w:t>
      </w:r>
      <w:r>
        <w:t xml:space="preserve"> </w:t>
      </w:r>
      <w:r>
        <w:rPr>
          <w:rStyle w:val="VerbatimChar"/>
        </w:rPr>
        <w:t xml:space="preserve">hpc/setup_env.sh</w:t>
      </w:r>
      <w:r>
        <w:t xml:space="preserve">) on the Bocconi HPC cluster (SLURM; one NVIDIA A100 slice for Enformer). Results are written to</w:t>
      </w:r>
      <w:r>
        <w:t xml:space="preserve"> </w:t>
      </w:r>
      <w:r>
        <w:rPr>
          <w:rStyle w:val="VerbatimChar"/>
        </w:rPr>
        <w:t xml:space="preserve">results/v2/*.json</w:t>
      </w:r>
      <w:r>
        <w:t xml:space="preserve">, flattened into</w:t>
      </w:r>
      <w:r>
        <w:t xml:space="preserve"> </w:t>
      </w:r>
      <w:r>
        <w:rPr>
          <w:rStyle w:val="VerbatimChar"/>
        </w:rPr>
        <w:t xml:space="preserve">results/claims.json</w:t>
      </w:r>
      <w:r>
        <w:t xml:space="preserve"> </w:t>
      </w:r>
      <w:r>
        <w:t xml:space="preserve">and substituted into this manuscript by</w:t>
      </w:r>
      <w:r>
        <w:t xml:space="preserve"> </w:t>
      </w:r>
      <w:r>
        <w:rPr>
          <w:rStyle w:val="VerbatimChar"/>
        </w:rPr>
        <w:t xml:space="preserve">scripts/claims.py</w:t>
      </w:r>
      <w:r>
        <w:t xml:space="preserve">, which checks that numbers in the Abstract, Results and Discussion are substituted rather than typed (numbers in the Introduction, Methods and tables of constants are exempt), and fails if a status annotation disagrees with the results or uses a forbidden verb, a pipeline step failed,</w:t>
      </w:r>
      <w:r>
        <w:t xml:space="preserve"> </w:t>
      </w:r>
      <w:r>
        <w:rPr>
          <w:rStyle w:val="VerbatimChar"/>
        </w:rPr>
        <w:t xml:space="preserve">claims.json</w:t>
      </w:r>
      <w:r>
        <w:t xml:space="preserve"> </w:t>
      </w:r>
      <w:r>
        <w:t xml:space="preserve">is stale, or a banned term appears. Three independent AI reviews (code, then two of the draft) produced fixes recorded as amendments A14, A16 and A19; under the pre-specified cap of three review rounds no further round was run. Amendments to the pre-specified plan (A1 to A22) are listed with their rationale and with whether results had been seen in</w:t>
      </w:r>
      <w:r>
        <w:t xml:space="preserve"> </w:t>
      </w:r>
      <w:r>
        <w:rPr>
          <w:rStyle w:val="VerbatimChar"/>
        </w:rPr>
        <w:t xml:space="preserve">supplementary/PREREG_v2.md</w:t>
      </w:r>
      <w:r>
        <w:t xml:space="preserve">. Scores for the training table were produced by the pipeline at an earlier commit; the scoring script was later extended with options (</w:t>
      </w:r>
      <w:r>
        <w:rPr>
          <w:rStyle w:val="VerbatimChar"/>
        </w:rPr>
        <w:t xml:space="preserve">--table</w:t>
      </w:r>
      <w:r>
        <w:t xml:space="preserve">,</w:t>
      </w:r>
      <w:r>
        <w:t xml:space="preserve"> </w:t>
      </w:r>
      <w:r>
        <w:rPr>
          <w:rStyle w:val="VerbatimChar"/>
        </w:rPr>
        <w:t xml:space="preserve">--cell-type</w:t>
      </w:r>
      <w:r>
        <w:t xml:space="preserve">) that leave its default behaviour unchanged, which was not re-verified by re-running. The unit-test suite and a synthetic end-to-end demo run in continuous integration.</w:t>
      </w:r>
    </w:p>
    <w:bookmarkEnd w:id="29"/>
    <w:bookmarkStart w:id="30" w:name="use-of-ai-tools"/>
    <w:p>
      <w:pPr>
        <w:pStyle w:val="Heading3"/>
      </w:pPr>
      <w:r>
        <w:t xml:space="preserve">4.8 Use of AI tools</w:t>
      </w:r>
    </w:p>
    <w:p>
      <w:pPr>
        <w:pStyle w:val="FirstParagraph"/>
      </w:pPr>
      <w:r>
        <w:t xml:space="preserve">The analysis code, the pre-specification, the audit, the literature survey and the first draft of this manuscript were produced with AI agents (Anthropic Claude models) working under the direction of the authors in a recorded session, and two further AI agents without access to the authors’ conclusions reviewed the code and the draft. The AI system is not an author.</w:t>
      </w:r>
      <w:r>
        <w:t xml:space="preserve"> </w:t>
      </w:r>
      <w:r>
        <w:rPr>
          <w:i/>
          <w:iCs/>
        </w:rPr>
        <w:t xml:space="preserve">[Authors: confirm or edit this statement, describe your own contribution to design, interpretation and writing, and verify every claim and reference before submission.]</w:t>
      </w:r>
    </w:p>
    <w:bookmarkEnd w:id="30"/>
    <w:bookmarkEnd w:id="31"/>
    <w:bookmarkStart w:id="32" w:name="data-and-code-availability"/>
    <w:p>
      <w:pPr>
        <w:pStyle w:val="Heading2"/>
      </w:pPr>
      <w:r>
        <w:t xml:space="preserve">5. Data and code availability</w:t>
      </w:r>
    </w:p>
    <w:p>
      <w:pPr>
        <w:pStyle w:val="FirstParagraph"/>
      </w:pPr>
      <w:r>
        <w:t xml:space="preserve">Code, pre-specification, audit, literature survey and result files: https://github.com/Gabriele-Bambini/siren-crispr-reference (currently private; to be made public by the authors at submission, which also provides an external timestamp for the pre-specification). Data: EPCrisprBenchmark tables from the EngreitzLab CRISPR_comparison repository; ENCODE accession ENCSR956DNB; Enformer weights from the Hugging Face model</w:t>
      </w:r>
      <w:r>
        <w:t xml:space="preserve"> </w:t>
      </w:r>
      <w:r>
        <w:rPr>
          <w:rStyle w:val="VerbatimChar"/>
        </w:rPr>
        <w:t xml:space="preserve">EleutherAI/enformer-official-rough</w:t>
      </w:r>
      <w:r>
        <w:t xml:space="preserve">.</w:t>
      </w:r>
    </w:p>
    <w:bookmarkEnd w:id="32"/>
    <w:bookmarkStart w:id="33" w:name="author-contributions-and-acknowledgments"/>
    <w:p>
      <w:pPr>
        <w:pStyle w:val="Heading2"/>
      </w:pPr>
      <w:r>
        <w:t xml:space="preserve">6. Author contributions and acknowledgments</w:t>
      </w:r>
    </w:p>
    <w:p>
      <w:pPr>
        <w:pStyle w:val="FirstParagraph"/>
      </w:pPr>
      <w:r>
        <w:rPr>
          <w:i/>
          <w:iCs/>
        </w:rPr>
        <w:t xml:space="preserve">(to be completed by the authors: CRediT roles, funding, competing interests and acknowledgments are not assigned by the analysis agent)</w:t>
      </w:r>
    </w:p>
    <w:bookmarkEnd w:id="33"/>
    <w:bookmarkStart w:id="34" w:name="references"/>
    <w:p>
      <w:pPr>
        <w:pStyle w:val="Heading2"/>
      </w:pPr>
      <w:r>
        <w:t xml:space="preserve">References</w:t>
      </w:r>
    </w:p>
    <w:p>
      <w:pPr>
        <w:pStyle w:val="Compact"/>
        <w:numPr>
          <w:ilvl w:val="0"/>
          <w:numId w:val="1001"/>
        </w:numPr>
      </w:pPr>
      <w:r>
        <w:t xml:space="preserve">Angelopoulos AN, Bates S. Conformal prediction: a gentle introduction. Found Trends Mach Learn 2023;16:494. doi:10.1561/2200000101</w:t>
      </w:r>
    </w:p>
    <w:p>
      <w:pPr>
        <w:pStyle w:val="Compact"/>
        <w:numPr>
          <w:ilvl w:val="0"/>
          <w:numId w:val="1001"/>
        </w:numPr>
      </w:pPr>
      <w:r>
        <w:t xml:space="preserve">Avsec Ž et al. Effective gene expression prediction from sequence by integrating long-range interactions. Nat Methods 2021;18:1196. doi:10.1038/s41592-021-01252-x</w:t>
      </w:r>
    </w:p>
    <w:p>
      <w:pPr>
        <w:pStyle w:val="Compact"/>
        <w:numPr>
          <w:ilvl w:val="0"/>
          <w:numId w:val="1001"/>
        </w:numPr>
      </w:pPr>
      <w:r>
        <w:t xml:space="preserve">Avsec Ž et al. Advancing regulatory variant effect prediction with AlphaGenome. Nature 2026;649:1206. doi:10.1038/s41586-025-10014-0</w:t>
      </w:r>
    </w:p>
    <w:p>
      <w:pPr>
        <w:pStyle w:val="Compact"/>
        <w:numPr>
          <w:ilvl w:val="0"/>
          <w:numId w:val="1001"/>
        </w:numPr>
      </w:pPr>
      <w:r>
        <w:t xml:space="preserve">Fulco CP et al. Activity-by-contact model of enhancer–promoter regulation from thousands of CRISPR perturbations. Nat Genet 2019;51:1664. doi:10.1038/s41588-019-0538-0</w:t>
      </w:r>
    </w:p>
    <w:p>
      <w:pPr>
        <w:pStyle w:val="Compact"/>
        <w:numPr>
          <w:ilvl w:val="0"/>
          <w:numId w:val="1001"/>
        </w:numPr>
      </w:pPr>
      <w:r>
        <w:t xml:space="preserve">Gasperini M et al. A genome-wide framework for mapping gene regulation via cellular genetic screens. Cell 2019;176:377. doi:10.1016/j.cell.2018.11.029</w:t>
      </w:r>
    </w:p>
    <w:p>
      <w:pPr>
        <w:pStyle w:val="Compact"/>
        <w:numPr>
          <w:ilvl w:val="0"/>
          <w:numId w:val="1001"/>
        </w:numPr>
      </w:pPr>
      <w:r>
        <w:t xml:space="preserve">Gschwind AR et al. An encyclopedia of human enhancer–gene regulatory interactions. Nature 2026. doi:10.1038/s41586-026-10781-4 (preprint: doi:10.1101/2023.11.09.563812)</w:t>
      </w:r>
    </w:p>
    <w:p>
      <w:pPr>
        <w:pStyle w:val="Compact"/>
        <w:numPr>
          <w:ilvl w:val="0"/>
          <w:numId w:val="1001"/>
        </w:numPr>
      </w:pPr>
      <w:r>
        <w:t xml:space="preserve">Jin Y, Candès EJ. Selection by prediction with conformal p-values. J Mach Learn Res 2023;24(244):1–41. https://jmlr.org/papers/v24/22-1176.html</w:t>
      </w:r>
    </w:p>
    <w:p>
      <w:pPr>
        <w:pStyle w:val="Compact"/>
        <w:numPr>
          <w:ilvl w:val="0"/>
          <w:numId w:val="1001"/>
        </w:numPr>
      </w:pPr>
      <w:r>
        <w:t xml:space="preserve">Kapoor S et al. REFORMS: consensus-based recommendations for machine-learning-based science. Sci Adv 2024;10:eadk3452. doi:10.1126/sciadv.adk3452</w:t>
      </w:r>
    </w:p>
    <w:p>
      <w:pPr>
        <w:pStyle w:val="Compact"/>
        <w:numPr>
          <w:ilvl w:val="0"/>
          <w:numId w:val="1001"/>
        </w:numPr>
      </w:pPr>
      <w:r>
        <w:t xml:space="preserve">Karollus A et al. Current sequence-based models capture gene expression determinants in promoters but mostly ignore distal enhancers. Genome Biol 2023;24. doi:10.1186/s13059-023-02899-9</w:t>
      </w:r>
    </w:p>
    <w:p>
      <w:pPr>
        <w:pStyle w:val="Compact"/>
        <w:numPr>
          <w:ilvl w:val="0"/>
          <w:numId w:val="1001"/>
        </w:numPr>
      </w:pPr>
      <w:r>
        <w:t xml:space="preserve">Ke G et al. LightGBM: a highly efficient gradient boosting decision tree. NeurIPS 2017. https://papers.nips.cc/paper_files/paper/2017/hash/6449f44a102fde848669bdd9eb6b76fa-Abstract.html</w:t>
      </w:r>
    </w:p>
    <w:p>
      <w:pPr>
        <w:pStyle w:val="Compact"/>
        <w:numPr>
          <w:ilvl w:val="0"/>
          <w:numId w:val="1001"/>
        </w:numPr>
      </w:pPr>
      <w:r>
        <w:t xml:space="preserve">Moore JE et al. A curated benchmark of enhancer-gene interactions (BENGI). Genome Biol 2020;21. doi:10.1186/s13059-019-1924-8</w:t>
      </w:r>
    </w:p>
    <w:p>
      <w:pPr>
        <w:pStyle w:val="Compact"/>
        <w:numPr>
          <w:ilvl w:val="0"/>
          <w:numId w:val="1001"/>
        </w:numPr>
      </w:pPr>
      <w:r>
        <w:t xml:space="preserve">Nasser J et al. Genome-wide enhancer maps link risk variants to disease genes. Nature 2021;593:238. doi:10.1038/s41586-021-03446-x</w:t>
      </w:r>
    </w:p>
    <w:p>
      <w:pPr>
        <w:pStyle w:val="Compact"/>
        <w:numPr>
          <w:ilvl w:val="0"/>
          <w:numId w:val="1001"/>
        </w:numPr>
      </w:pPr>
      <w:r>
        <w:t xml:space="preserve">Papadopoulos H et al. Inductive confidence machines for regression. ECML 2002, LNCS 2430. doi:10.1007/3-540-36755-1_29</w:t>
      </w:r>
    </w:p>
    <w:p>
      <w:pPr>
        <w:pStyle w:val="Compact"/>
        <w:numPr>
          <w:ilvl w:val="0"/>
          <w:numId w:val="1001"/>
        </w:numPr>
      </w:pPr>
      <w:r>
        <w:t xml:space="preserve">Schraivogel D et al. Targeted Perturb-seq enables genome-scale genetic screens in single cells. Nat Methods 2020;17:629. doi:10.1038/s41592-020-0837-5</w:t>
      </w:r>
    </w:p>
    <w:p>
      <w:pPr>
        <w:pStyle w:val="Compact"/>
        <w:numPr>
          <w:ilvl w:val="0"/>
          <w:numId w:val="1001"/>
        </w:numPr>
      </w:pPr>
      <w:r>
        <w:t xml:space="preserve">Walsh I et al. DOME: recommendations for supervised machine learning validation in biology. Nat Methods 2021;18:1122. doi:10.1038/s41592-021-01205-4</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2026-10-23T16:10:51Z</dcterms:created>
  <dcterms:modified xsi:type="dcterms:W3CDTF">2026-10-23T16:10:51Z</dcterms:modified>
</cp:coreProperties>
</file>

<file path=docProps/custom.xml><?xml version="1.0" encoding="utf-8"?>
<Properties xmlns="http://schemas.openxmlformats.org/officeDocument/2006/custom-properties" xmlns:vt="http://schemas.openxmlformats.org/officeDocument/2006/docPropsVTypes"/>
</file>