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6"/>
        <w:spacing w:after="60"/>
        <w:jc w:val="center"/>
      </w:pPr>
      <w:r>
        <w:t>Ferramentas de apoio à Reengenharia de Software</w:t>
      </w:r>
    </w:p>
    <w:p>
      <w:pPr>
        <w:pStyle w:val="para37"/>
        <w:spacing w:after="160"/>
        <w:jc w:val="center"/>
      </w:pPr>
      <w:r>
        <w:t xml:space="preserve">Integrantes: Gabriel Galhardone Felipe, João Paulo Candido, Miguel Costacurta </w:t>
      </w:r>
    </w:p>
    <w:tbl>
      <w:tblPr>
        <w:tblStyle w:val="TableGrid"/>
        <w:name w:val="Tabela1"/>
        <w:tabOrder w:val="0"/>
        <w:jc w:val="center"/>
        <w:tblInd w:w="0" w:type="dxa"/>
        <w:tblW w:w="10029" w:type="dxa"/>
        <w:pPr>
          <w:spacing/>
          <w:jc w:val="center"/>
        </w:pPr>
        <w:tblLook w:val="04A0" w:firstRow="1" w:lastRow="0" w:firstColumn="1" w:lastColumn="0" w:noHBand="0" w:noVBand="1"/>
      </w:tblPr>
      <w:tblGrid>
        <w:gridCol w:w="10029"/>
      </w:tblGrid>
      <w:tr>
        <w:trPr>
          <w:tblHeader w:val="0"/>
          <w:cantSplit w:val="0"/>
          <w:trHeight w:val="0" w:hRule="auto"/>
        </w:trPr>
        <w:tc>
          <w:tcPr>
            <w:tcW w:w="10029" w:type="dxa"/>
            <w:shd w:val="solid" w:color="EEF3F8" tmshd="1677721856, 0, 16315374"/>
            <w:tmTcPr id="1774530506" protected="0"/>
          </w:tcPr>
          <w:p>
            <w:pPr>
              <w:pStyle w:val="para37"/>
              <w:spacing w:after="160"/>
              <w:jc w:val="center"/>
            </w:pPr>
            <w:r>
              <w:t>RA:24021292-2, 24000797-2, 24011302-2</w:t>
            </w:r>
          </w:p>
        </w:tc>
      </w:tr>
    </w:tbl>
    <w:p>
      <w:r/>
    </w:p>
    <w:p>
      <w:pPr>
        <w:pStyle w:val="para3"/>
      </w:pPr>
      <w:r>
        <w:t>1. Introdução</w:t>
      </w:r>
    </w:p>
    <w:p>
      <w:pPr>
        <w:ind w:firstLine="397"/>
        <w:spacing w:after="80" w:line="252" w:lineRule="auto"/>
      </w:pPr>
      <w:r>
        <w:t>A reengenharia de software consiste em compreender e transformar um sistema já existente para melhorar sua manutenção, sua estrutura interna e sua capacidade de evolução. Em muitos casos, ela é aplicada a sistemas legados que continuam sendo importantes para o negócio, mas já apresentam sinais de desgaste técnico. Em vez de simplesmente substituir tudo, a reengenharia procura preservar o valor construído ao longo do tempo e reduzir riscos de mudanças bruscas.</w:t>
      </w:r>
    </w:p>
    <w:p>
      <w:pPr>
        <w:ind w:firstLine="397"/>
        <w:spacing w:after="80" w:line="252" w:lineRule="auto"/>
      </w:pPr>
      <w:r>
        <w:t>Sistemas legados costumam exigir esse tipo de intervenção quando acumulam documentação fraca, alto acoplamento, dependência de poucos especialistas, dificuldade para corrigir defeitos e grande chance de efeitos colaterais em mudanças pequenas. Nessas condições, o custo de manutenção cresce e o time perde previsibilidade. Ferramentas de análise ajudam justamente a recuperar conhecimento técnico e a transformar percepções subjetivas em evidências.</w:t>
      </w:r>
    </w:p>
    <w:p>
      <w:pPr>
        <w:ind w:firstLine="397"/>
        <w:spacing w:after="80" w:line="252" w:lineRule="auto"/>
      </w:pPr>
      <w:r>
        <w:t>Neste relatório foram escolhidas três ferramentas com papéis complementares: SonarQube, Checkstyle e VisualVM. As duas primeiras contribuem principalmente com análise estática, enquanto a terceira acrescenta observação dinâmica do comportamento do sistema. Juntas, elas apoiam um processo inicial de reengenharia orientado por métricas, padrões e sinais reais de execução.</w:t>
      </w:r>
    </w:p>
    <w:p>
      <w:pPr>
        <w:pStyle w:val="para3"/>
      </w:pPr>
      <w:r>
        <w:t>2. Fundamentação conceitual</w:t>
      </w:r>
    </w:p>
    <w:p>
      <w:pPr>
        <w:ind w:firstLine="397"/>
        <w:spacing w:after="80" w:line="252" w:lineRule="auto"/>
      </w:pPr>
      <w:r>
        <w:t>Engenharia reversa e reengenharia não são sinônimos. A engenharia reversa tem como foco compreender o sistema existente: sua estrutura, dependências, organização e regras que estão embutidas no código. Já a reengenharia utiliza esse conhecimento para promover melhorias planejadas, como refatoração, atualização de arquitetura, reorganização de módulos e produção de documentação mais confiável. Em resumo, a engenharia reversa descobre; a reengenharia transforma.</w:t>
      </w:r>
    </w:p>
    <w:p>
      <w:pPr>
        <w:ind w:firstLine="397"/>
        <w:spacing w:after="80" w:line="252" w:lineRule="auto"/>
      </w:pPr>
      <w:r>
        <w:t>Também é necessário diferenciar análise estática e análise dinâmica. A análise estática examina o software sem executá-lo, permitindo identificar complexidade, duplicação, violações de padrão, dependências e métricas de manutenção. A análise dinâmica observa o sistema em funcionamento e torna visíveis aspectos como consumo de memória, uso de CPU, threads, gargalos e vazamentos. Na prática, a reengenharia se beneficia mais quando essas duas abordagens são combinadas.</w:t>
      </w:r>
    </w:p>
    <w:p>
      <w:pPr>
        <w:pStyle w:val="para3"/>
      </w:pPr>
      <w:r>
        <w:t>3. Apresentação das ferramentas escolhidas</w:t>
      </w:r>
    </w:p>
    <w:p>
      <w:pPr>
        <w:pStyle w:val="para4"/>
      </w:pPr>
      <w:r>
        <w:t>3.1 SonarQube</w:t>
      </w:r>
    </w:p>
    <w:p>
      <w:pPr>
        <w:ind w:firstLine="397"/>
        <w:spacing w:after="80" w:line="252" w:lineRule="auto"/>
      </w:pPr>
      <w:r>
        <w:t>O SonarQube é uma plataforma de inspeção contínua de código voltada à análise estática. Seu objetivo principal é reunir, em um único painel, indicadores que ajudam a avaliar a saúde técnica do software. Entre as informações extraídas estão bugs potenciais, vulnerabilidades, code smells, duplicação, complexidade e cobertura de testes. Para a reengenharia, isso é valioso porque permite localizar módulos frágeis, definir prioridades e acompanhar a evolução da qualidade ao longo das melhorias.</w:t>
      </w:r>
    </w:p>
    <w:p>
      <w:pPr>
        <w:ind w:firstLine="397"/>
        <w:spacing w:after="80" w:line="252" w:lineRule="auto"/>
      </w:pPr>
      <w:r>
        <w:t>Como vantagens, destacam-se a boa visualização de resultados, a integração com pipelines e a possibilidade de trabalhar com critérios de qualidade. Sua principal limitação é que ele não mostra sozinho o comportamento do sistema em execução. Assim, é excelente para entender a estrutura do código, mas insuficiente para explicar certos problemas de desempenho ou concorrência.</w:t>
      </w:r>
    </w:p>
    <w:p>
      <w:r>
        <w:rPr>
          <w:noProof/>
        </w:rPr>
        <w:drawing>
          <wp:inline distT="89535" distB="89535" distL="89535" distR="89535">
            <wp:extent cx="6189345" cy="2813685"/>
            <wp:effectExtent l="0" t="0" r="0" b="0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/>
                      <a:extLst>
                        <a:ext uri="sm">
                          <sm:smNativeData xmlns:sm="sm" val="SMDATA_16_yi/F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IAAAAAAAAAAAAAAQAAAAAAAABiAAAAAAAAAAAAAABiAAAAEyYAAE8RAAAAAAAAYgAAAGI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813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4"/>
        <w:rPr>
          <w:rFonts w:cs="Cambria"/>
          <w:b w:val="0"/>
          <w:bCs w:val="0"/>
          <w:color w:val="232323"/>
          <w:sz w:val="21"/>
          <w:szCs w:val="22"/>
        </w:rPr>
      </w:pPr>
      <w:r>
        <w:t xml:space="preserve">3.2 </w:t>
      </w:r>
      <w:r>
        <w:rPr>
          <w:rFonts w:cs="Cambria"/>
          <w:b w:val="0"/>
          <w:bCs w:val="0"/>
          <w:color w:val="232323"/>
          <w:sz w:val="21"/>
          <w:szCs w:val="22"/>
        </w:rPr>
        <w:t>Checkstyle</w:t>
      </w:r>
      <w:r>
        <w:rPr>
          <w:rFonts w:cs="Cambria"/>
          <w:b w:val="0"/>
          <w:bCs w:val="0"/>
          <w:color w:val="232323"/>
          <w:sz w:val="21"/>
          <w:szCs w:val="22"/>
        </w:rPr>
      </w:r>
    </w:p>
    <w:p>
      <w:pPr>
        <w:ind w:firstLine="397"/>
        <w:spacing w:after="80" w:line="252" w:lineRule="auto"/>
      </w:pPr>
      <w:r>
        <w:t>O Checkstyle é uma ferramenta de análise estática voltada principalmente a projetos Java. Seu foco é verificar conformidade com convenções de codificação, nomenclatura, organização de imports, tamanho de métodos e outras regras de estilo. Embora pareça mais simples que o SonarQube, ele tem utilidade real em reengenharia porque a falta de padronização aumenta o esforço de leitura e dificulta a manutenção coletiva do código.</w:t>
      </w:r>
    </w:p>
    <w:p>
      <w:pPr>
        <w:ind w:firstLine="397"/>
        <w:spacing w:after="80" w:line="252" w:lineRule="auto"/>
      </w:pPr>
      <w:r>
        <w:t>Os artefatos produzidos pelo Checkstyle ajudam a revelar inconsistências que prejudicam a compreensão do sistema. Ao padronizar a escrita do código, a equipe reduz ruído visual, melhora a legibilidade e cria uma base mais uniforme para futuras refatorações. Sua limitação está no foco mais restrito: ele não substitui análises arquiteturais mais amplas e tampouco mostra comportamento em tempo de execução.</w:t>
      </w:r>
    </w:p>
    <w:p>
      <w:r>
        <w:rPr>
          <w:noProof/>
        </w:rPr>
        <w:drawing>
          <wp:inline distT="89535" distB="89535" distL="89535" distR="89535">
            <wp:extent cx="5109210" cy="2382520"/>
            <wp:effectExtent l="0" t="0" r="0" b="0"/>
            <wp:docPr id="2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picLocks noChangeAspect="1"/>
                      <a:extLst>
                        <a:ext uri="sm">
                          <sm:smNativeData xmlns:sm="sm" val="SMDATA_16_yi/F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4fAACoDgAAbh8AAKg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IAAAAAAAAAAAAAAQAAAAAAAABiAAAAAQAAAAAAAABiAAAAbh8AAKgOAAAAAAAAYgAAAGI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382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37"/>
        <w:spacing w:after="80"/>
        <w:jc w:val="center"/>
      </w:pPr>
      <w:r/>
    </w:p>
    <w:p>
      <w:pPr>
        <w:pStyle w:val="para4"/>
      </w:pPr>
      <w:r>
        <w:t>3.3 VisualVM</w:t>
      </w:r>
    </w:p>
    <w:p>
      <w:pPr>
        <w:ind w:firstLine="397"/>
        <w:spacing w:after="80" w:line="252" w:lineRule="auto"/>
      </w:pPr>
      <w:r>
        <w:t>O VisualVM trabalha de forma diferente, pois sua força está na análise dinâmica de aplicações Java. Ele monitora CPU, memória, threads, heap dumps e outros sinais de execução. Em sistemas legados, isso é importante quando a equipe precisa entender lentidão, travamentos, vazamentos de memória ou comportamento inconsistente que não aparece apenas pela leitura do código. Seu apoio à reengenharia está em validar hipóteses levantadas na análise estática e revelar gargalos reais. Uma classe aparentemente simples pode se mostrar crítica quando observada sob carga ou em execução prolongada. Como vantagem, a ferramenta fornece diagnósticos úteis para desempenho e uso de recursos. Como limitação, depende de um ambiente de teste representativo para que os resultados sejam confiáveis.</w:t>
      </w:r>
    </w:p>
    <w:p>
      <w:pPr>
        <w:rPr>
          <w:b/>
          <w:bCs/>
        </w:rPr>
      </w:pPr>
      <w:r/>
      <w:r>
        <w:rPr>
          <w:noProof/>
        </w:rPr>
        <w:drawing>
          <wp:inline distT="89535" distB="89535" distL="89535" distR="89535">
            <wp:extent cx="5181600" cy="3876675"/>
            <wp:effectExtent l="0" t="0" r="0" b="0"/>
            <wp:docPr id="3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>
                      <a:picLocks noChangeAspect="1"/>
                      <a:extLst>
                        <a:ext uri="sm">
                          <sm:smNativeData xmlns:sm="sm" val="SMDATA_16_yi/F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AAAAB6IAAAAAAAAAAAAAAAAAAAAAAACgAAAAAAAAAAAAAACgAAAA4B8AANkXAAAAAAAAoAAAAK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876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  <w:bCs/>
        </w:rPr>
      </w:r>
    </w:p>
    <w:p>
      <w:pPr>
        <w:pStyle w:val="para3"/>
      </w:pPr>
      <w:r>
        <w:t>4. Aplicação ao cenário proposto</w:t>
      </w:r>
    </w:p>
    <w:p>
      <w:pPr>
        <w:ind w:firstLine="397"/>
        <w:spacing w:after="80" w:line="252" w:lineRule="auto"/>
      </w:pPr>
      <w:r>
        <w:t>O sistema apresentado no enunciado é um forte candidato à reengenharia porque reúne sintomas típicos de degradação: documentação ruim, dificuldade para pequenas alterações, dependência de poucas pessoas e defeitos em cascata. Isso mostra que o problema não está apenas em falhas isoladas, mas na perda gradual de compreensibilidade e controle sobre a base de código.</w:t>
      </w:r>
    </w:p>
    <w:p>
      <w:pPr>
        <w:ind w:firstLine="397"/>
        <w:spacing w:after="80" w:line="252" w:lineRule="auto"/>
      </w:pPr>
      <w:r>
        <w:t>A ferramenta a ser usada primeiro seria o SonarQube. Antes de mudar o sistema, é necessário obter uma visão ampla dos arquivos mais problemáticos, da complexidade, das duplicações e dos sinais de baixa manutenibilidade. Com esse panorama, o grupo conseguiria priorizar onde investigar primeiro e evitar ações de manutenção baseadas apenas em intuição.</w:t>
      </w:r>
    </w:p>
    <w:p>
      <w:pPr>
        <w:ind w:firstLine="397"/>
        <w:spacing w:after="80" w:line="252" w:lineRule="auto"/>
      </w:pPr>
      <w:r>
        <w:t>Nas etapas iniciais, seria importante extrair informações sobre módulos mais complexos, classes com maior incidência de problemas, regiões duplicadas e áreas sem testes suficientes. Em seguida, o Checkstyle ajudaria a localizar inconsistências de padronização que tornam o código mais difícil de ler. Por fim, o VisualVM entraria como complemento para observar se os módulos suspeitos também apresentam gargalos de CPU, memória ou concorrência.</w:t>
      </w:r>
    </w:p>
    <w:p>
      <w:pPr>
        <w:ind w:firstLine="397"/>
        <w:spacing w:after="80" w:line="252" w:lineRule="auto"/>
      </w:pPr>
      <w:r>
        <w:t>A prioridade, portanto, seria uma combinação entre análise estática e dinâmica, começando pela estática. Essa sequência reduz custos e riscos porque organiza a investigação e torna o esforço de manutenção mais racional. Em vez de alterar partes do legado por tentativa e erro, a equipe passa a agir com base em métricas, evidências e hipóteses validadas.</w:t>
      </w:r>
    </w:p>
    <w:p>
      <w:pPr>
        <w:pStyle w:val="para3"/>
      </w:pPr>
      <w:r>
        <w:t>5. Discussão</w:t>
      </w:r>
    </w:p>
    <w:p>
      <w:pPr>
        <w:ind w:firstLine="397"/>
        <w:spacing w:after="80" w:line="252" w:lineRule="auto"/>
      </w:pPr>
      <w:r>
        <w:t>A pesquisa permite concluir que nenhuma ferramenta, sozinha, é suficiente para apoiar toda a reengenharia. O SonarQube ajuda mais na visão global da qualidade e na identificação de problemas de manutenção; o Checkstyle ajuda mais na disciplina e na legibilidade do código; o VisualVM ajuda mais na compreensão do comportamento real do sistema em execução. Essa complementaridade mostra que a reengenharia é um processo técnico e analítico, não apenas uma troca de ferramenta.</w:t>
      </w:r>
    </w:p>
    <w:p>
      <w:pPr>
        <w:ind w:firstLine="397"/>
        <w:spacing w:after="80" w:line="252" w:lineRule="auto"/>
      </w:pPr>
      <w:r>
        <w:t>Também se percebe que a análise estática, embora essencial, não resolve tudo. Ela não mostra diretamente gargalos de execução, bloqueios entre threads ou crescimento anormal de memória. É justamente nesses pontos que a análise dinâmica se torna necessária. Ao mesmo tempo, a análise dinâmica também possui limites, pois depende de ambiente, dados e cenários realistas de teste. Mesmo após o uso das ferramentas, ainda podem permanecer dificuldades como regras de negócio escondidas no código, integrações pouco documentadas e dependências externas críticas.</w:t>
      </w:r>
    </w:p>
    <w:p>
      <w:pPr>
        <w:pStyle w:val="para3"/>
      </w:pPr>
      <w:r>
        <w:t>6. Conclusão</w:t>
      </w:r>
    </w:p>
    <w:p>
      <w:pPr>
        <w:ind w:firstLine="397"/>
        <w:spacing w:after="80" w:line="252" w:lineRule="auto"/>
      </w:pPr>
      <w:r>
        <w:t>A principal aprendizagem deste trabalho é que a reengenharia de software depende de compreensão progressiva e bem fundamentada. Em sistemas legados, recuperar conhecimento é a etapa que torna possíveis intervenções mais seguras. Entre as ferramentas estudadas, a que mais se destacou para iniciar o processo foi o SonarQube, porque oferece uma visão ampla da qualidade estrutural do sistema e apoia a priorização técnica.</w:t>
      </w:r>
    </w:p>
    <w:p>
      <w:pPr>
        <w:ind w:firstLine="397"/>
        <w:spacing w:after="80" w:line="252" w:lineRule="auto"/>
      </w:pPr>
      <w:r>
        <w:t>Ainda assim, a recomendação final não deve ser baseada em uma única ferramenta. Para o cenário do enunciado, a melhor estratégia inicial é usar o SonarQube para mapear criticidade, aplicar o Checkstyle para reduzir inconsistências de codificação e recorrer ao VisualVM quando for preciso confirmar sintomas de execução. Essa combinação ajuda a diminuir risco, custo e esforço de manutenção, criando uma base mais confiável para as próximas etapas da reengenharia.</w:t>
      </w:r>
    </w:p>
    <w:p>
      <w:pPr>
        <w:spacing/>
        <w:jc w:val="center"/>
      </w:pPr>
      <w:r>
        <w:br w:type="page"/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11"/>
      <w:type w:val="nextPage"/>
      <w:pgSz w:h="15840" w:w="12240"/>
      <w:pgMar w:left="1134" w:top="1020" w:right="1077" w:bottom="907" w:header="0"/>
      <w:paperSrc w:first="0" w:other="0" a="0" b="0"/>
      <w:pgNumType w:fmt="decimal"/>
      <w:tmGutter w:val="3"/>
      <w:mirrorMargins w:val="0"/>
      <w:tmSection w:h="-2">
        <w:tmFooter w:id="0" w:h="0" edge="720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Courier">
    <w:panose1 w:val="04000509000000000000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"/>
      <w:spacing/>
      <w:jc w:val="center"/>
    </w:pP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Lista numerada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Lista numerada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Lista numerada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Lista numerada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Lista numerada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Lista numerada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Lista numerada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Lista numerada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4"/>
    <w:tmLastPosSelect w:val="0"/>
    <w:tmLastPosFrameIdx w:val="0"/>
    <w:tmLastPosCaret>
      <w:tmLastPosPgfIdx w:val="35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4530506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/>
      <w:color w:val="232323"/>
      <w:sz w:val="21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cs="Calibri"/>
      <w:b/>
      <w:bCs/>
      <w:color w:val="12375f"/>
      <w:sz w:val="26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cs="Calibri"/>
      <w:b/>
      <w:bCs/>
      <w:color w:val="12375f"/>
      <w:sz w:val="23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paragraph" w:styleId="para36" w:customStyle="1">
    <w:name w:val="TitleCustom"/>
    <w:qFormat/>
    <w:rPr>
      <w:rFonts w:ascii="Arial" w:hAnsi="Arial" w:eastAsia="Arial" w:cs="Cambria"/>
      <w:b/>
      <w:color w:val="12375f"/>
      <w:sz w:val="34"/>
      <w:szCs w:val="22"/>
      <w:lang w:val="en-us" w:eastAsia="en-us" w:bidi="ar-sa"/>
    </w:rPr>
  </w:style>
  <w:style w:type="paragraph" w:styleId="para37" w:customStyle="1">
    <w:name w:val="Mini"/>
    <w:qFormat/>
    <w:rPr>
      <w:rFonts w:ascii="Arial" w:hAnsi="Arial" w:eastAsia="Arial" w:cs="Cambria"/>
      <w:color w:val="5a5a5a"/>
      <w:sz w:val="19"/>
      <w:szCs w:val="22"/>
      <w:lang w:val="en-us" w:eastAsia="en-us" w:bidi="ar-sa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/>
      <w:color w:val="232323"/>
      <w:sz w:val="21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cs="Calibri"/>
      <w:b/>
      <w:bCs/>
      <w:color w:val="12375f"/>
      <w:sz w:val="26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cs="Calibri"/>
      <w:b/>
      <w:bCs/>
      <w:color w:val="12375f"/>
      <w:sz w:val="23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paragraph" w:styleId="para36" w:customStyle="1">
    <w:name w:val="TitleCustom"/>
    <w:qFormat/>
    <w:rPr>
      <w:rFonts w:ascii="Arial" w:hAnsi="Arial" w:eastAsia="Arial" w:cs="Cambria"/>
      <w:b/>
      <w:color w:val="12375f"/>
      <w:sz w:val="34"/>
      <w:szCs w:val="22"/>
      <w:lang w:val="en-us" w:eastAsia="en-us" w:bidi="ar-sa"/>
    </w:rPr>
  </w:style>
  <w:style w:type="paragraph" w:styleId="para37" w:customStyle="1">
    <w:name w:val="Mini"/>
    <w:qFormat/>
    <w:rPr>
      <w:rFonts w:ascii="Arial" w:hAnsi="Arial" w:eastAsia="Arial" w:cs="Cambria"/>
      <w:color w:val="5a5a5a"/>
      <w:sz w:val="19"/>
      <w:szCs w:val="22"/>
      <w:lang w:val="en-us" w:eastAsia="en-us" w:bidi="ar-sa"/>
    </w:r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2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Calibri"/>
      </a:majorFont>
      <a:minorFont>
        <a:latin typeface="Arial"/>
        <a:ea typeface="Arial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2026-03-26T13:08:26Z</dcterms:modified>
</cp:coreProperties>
</file>