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0"/>
        <w:jc w:val="center"/>
      </w:pPr>
      <w:r>
        <w:rPr>
          <w:rFonts w:ascii="Arial" w:hAnsi="Arial"/>
          <w:b/>
          <w:i w:val="0"/>
        </w:rPr>
        <w:t>UNICURITIBA</w:t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/>
          <w:i w:val="0"/>
        </w:rPr>
        <w:t>CURSO: [PREENCHER O NOME DO CURSO]</w:t>
      </w:r>
    </w:p>
    <w:p>
      <w:pPr>
        <w:keepNext w:val="0"/>
        <w:spacing w:line="240" w:lineRule="auto" w:after="0" w:before="120"/>
        <w:jc w:val="center"/>
      </w:pPr>
      <w:r>
        <w:rPr>
          <w:rFonts w:ascii="Arial" w:hAnsi="Arial"/>
          <w:b w:val="0"/>
          <w:i w:val="0"/>
        </w:rPr>
        <w:t>COMPUTAÇÃO GRÁFICA E REALIDADE VIRTUAL</w:t>
      </w:r>
    </w:p>
    <w:p>
      <w:pPr>
        <w:keepNext w:val="0"/>
        <w:spacing w:line="240" w:lineRule="auto" w:after="0" w:before="1400"/>
        <w:jc w:val="both"/>
      </w:pP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Gabriel Thiago Casini Keppen (RA 172422353)</w:t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Felipe Silva Muchinski (RA 172422440)</w:t>
      </w:r>
    </w:p>
    <w:p>
      <w:pPr>
        <w:keepNext w:val="0"/>
        <w:spacing w:line="240" w:lineRule="auto" w:after="0" w:before="1800"/>
        <w:jc w:val="both"/>
      </w:pPr>
    </w:p>
    <w:p>
      <w:pPr>
        <w:keepNext w:val="0"/>
        <w:spacing w:line="360" w:lineRule="auto" w:after="0" w:before="0"/>
        <w:jc w:val="center"/>
      </w:pPr>
      <w:r>
        <w:rPr>
          <w:rFonts w:ascii="Arial" w:hAnsi="Arial"/>
          <w:b/>
          <w:i w:val="0"/>
        </w:rPr>
        <w:t>SANDBOX GRÁFICO INTERATIVO PARA VISUALIZAÇÃO DE ILUMINAÇÃO E CONCEITOS MATEMÁTICOS EM COMPUTAÇÃO GRÁFICA UTILIZANDO UNREAL ENGINE</w:t>
      </w:r>
    </w:p>
    <w:p>
      <w:pPr>
        <w:keepNext w:val="0"/>
        <w:spacing w:line="240" w:lineRule="auto" w:after="0" w:before="240"/>
        <w:jc w:val="center"/>
      </w:pPr>
      <w:r>
        <w:rPr>
          <w:rFonts w:ascii="Arial" w:hAnsi="Arial"/>
          <w:b w:val="0"/>
          <w:i w:val="0"/>
        </w:rPr>
        <w:t>Entrega parcial do Projeto A3</w:t>
      </w:r>
    </w:p>
    <w:p>
      <w:pPr>
        <w:keepNext w:val="0"/>
        <w:spacing w:line="240" w:lineRule="auto" w:after="0" w:before="2200"/>
        <w:jc w:val="both"/>
      </w:pP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Curitiba</w:t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2026</w:t>
      </w:r>
    </w:p>
    <w:p>
      <w:r>
        <w:br w:type="page"/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Gabriel Thiago Casini Keppen</w:t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Felipe Silva Muchinski</w:t>
      </w:r>
    </w:p>
    <w:p>
      <w:pPr>
        <w:keepNext w:val="0"/>
        <w:spacing w:line="240" w:lineRule="auto" w:after="0" w:before="2200"/>
        <w:jc w:val="both"/>
      </w:pPr>
    </w:p>
    <w:p>
      <w:pPr>
        <w:keepNext w:val="0"/>
        <w:spacing w:line="360" w:lineRule="auto" w:after="0" w:before="0"/>
        <w:jc w:val="center"/>
      </w:pPr>
      <w:r>
        <w:rPr>
          <w:rFonts w:ascii="Arial" w:hAnsi="Arial"/>
          <w:b/>
          <w:i w:val="0"/>
        </w:rPr>
        <w:t>SANDBOX GRÁFICO INTERATIVO PARA VISUALIZAÇÃO DE ILUMINAÇÃO E CONCEITOS MATEMÁTICOS EM COMPUTAÇÃO GRÁFICA UTILIZANDO UNREAL ENGINE</w:t>
      </w:r>
    </w:p>
    <w:p>
      <w:pPr>
        <w:keepNext w:val="0"/>
        <w:spacing w:line="240" w:lineRule="auto" w:after="0" w:before="1200"/>
        <w:jc w:val="both"/>
      </w:pPr>
    </w:p>
    <w:p>
      <w:pPr>
        <w:keepNext w:val="0"/>
        <w:spacing w:line="240" w:lineRule="auto" w:after="0" w:before="0"/>
        <w:ind w:left="4535"/>
        <w:jc w:val="both"/>
      </w:pPr>
      <w:r>
        <w:rPr>
          <w:rFonts w:ascii="Arial" w:hAnsi="Arial"/>
          <w:b w:val="0"/>
          <w:i w:val="0"/>
          <w:sz w:val="20"/>
        </w:rPr>
        <w:t>Documento referente à entrega parcial do Projeto A3 da unidade curricular Computação Gráfica e Realidade Virtual, apresentado como requisito de avaliação.</w:t>
      </w:r>
    </w:p>
    <w:p>
      <w:pPr>
        <w:keepNext w:val="0"/>
        <w:spacing w:line="240" w:lineRule="auto" w:after="0" w:before="200"/>
        <w:ind w:left="4535"/>
        <w:jc w:val="both"/>
      </w:pPr>
      <w:r>
        <w:rPr>
          <w:rFonts w:ascii="Arial" w:hAnsi="Arial"/>
          <w:b w:val="0"/>
          <w:i w:val="0"/>
          <w:sz w:val="20"/>
        </w:rPr>
        <w:t>Professor: Rubem Matimoto Koide</w:t>
      </w:r>
    </w:p>
    <w:p>
      <w:pPr>
        <w:keepNext w:val="0"/>
        <w:spacing w:line="240" w:lineRule="auto" w:after="0" w:before="2400"/>
        <w:jc w:val="both"/>
      </w:pP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Curitiba</w:t>
      </w:r>
    </w:p>
    <w:p>
      <w:pPr>
        <w:keepNext w:val="0"/>
        <w:spacing w:line="240" w:lineRule="auto" w:after="0" w:before="0"/>
        <w:jc w:val="center"/>
      </w:pPr>
      <w:r>
        <w:rPr>
          <w:rFonts w:ascii="Arial" w:hAnsi="Arial"/>
          <w:b w:val="0"/>
          <w:i w:val="0"/>
        </w:rPr>
        <w:t>2026</w:t>
      </w:r>
    </w:p>
    <w:p>
      <w:r>
        <w:br w:type="page"/>
      </w:r>
    </w:p>
    <w:p>
      <w:pPr>
        <w:keepNext w:val="0"/>
        <w:spacing w:line="360" w:lineRule="auto" w:after="240" w:before="0"/>
        <w:jc w:val="center"/>
      </w:pPr>
      <w:r>
        <w:rPr>
          <w:rFonts w:ascii="Arial" w:hAnsi="Arial"/>
          <w:b/>
          <w:i w:val="0"/>
        </w:rPr>
        <w:t>SUMÁRIO</w:t>
      </w:r>
    </w:p>
    <w:p>
      <w:r>
        <w:fldChar w:fldCharType="begin"/>
        <w:instrText xml:space="preserve">TOC \o "1-2" \h \z \u</w:instrText>
        <w:fldChar w:fldCharType="separate"/>
        <w:t>Clique com o botão direito e escolha “Atualizar campo” para gerar o sumário.</w:t>
        <w:fldChar w:fldCharType="end"/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pPr>
        <w:pStyle w:val="Heading2"/>
      </w:pPr>
      <w:r>
        <w:t>1.1 Contextualização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A computação gráfica utiliza, de forma contínua, conceitos matemáticos para representar, transformar e iluminar objetos em ambientes tridimensionais. Operações com vetores, matrizes, transformações geométricas e produtos escalares estão presentes em cada quadro renderizado (HUGHES et al., 2013; AKENINE-MÖLLER; HAINES; HOFFMAN, 2018). Nos motores gráficos atuais, no entanto, boa parte desse cálculo ocorre de maneira automática e fica oculta de quem desenvolve ou estuda a área, o que dificulta relacionar a teoria vista em sala com o resultado visual obtido.</w:t>
      </w:r>
    </w:p>
    <w:p>
      <w:pPr>
        <w:pStyle w:val="Heading2"/>
      </w:pPr>
      <w:r>
        <w:t>1.2 Problema e proposta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 xml:space="preserve">Como tornar perceptível, em tempo real, a relação entre a matemática da iluminação e a aparência final de uma superfície em um motor gráfico? Para responder a essa pergunta, o projeto propõe um </w:t>
      </w:r>
      <w:r>
        <w:rPr>
          <w:rFonts w:ascii="Arial" w:hAnsi="Arial"/>
          <w:b/>
          <w:i w:val="0"/>
        </w:rPr>
        <w:t>sandbox gráfico interativo</w:t>
      </w:r>
      <w:r>
        <w:rPr>
          <w:rFonts w:ascii="Arial" w:hAnsi="Arial"/>
          <w:b w:val="0"/>
          <w:i w:val="0"/>
        </w:rPr>
        <w:t xml:space="preserve"> desenvolvido na Unreal Engine, no qual o usuário manipula uma fonte de luz e observa, sobre a própria cena, o vetor normal da superfície, a direção da luz, o produto escalar entre eles, o ângulo de incidência e a intensidade difusa resultante.</w:t>
      </w:r>
    </w:p>
    <w:p>
      <w:pPr>
        <w:pStyle w:val="Heading2"/>
      </w:pPr>
      <w:r>
        <w:t>1.3 Objetivos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/>
          <w:i w:val="0"/>
        </w:rPr>
        <w:t>Objetivo geral:</w:t>
      </w:r>
      <w:r>
        <w:rPr>
          <w:rFonts w:ascii="Arial" w:hAnsi="Arial"/>
          <w:b w:val="0"/>
          <w:i w:val="0"/>
        </w:rPr>
        <w:t xml:space="preserve"> desenvolver um ambiente 3D interativo que permita visualizar, em tempo real, os cálculos vetoriais envolvidos na iluminação difusa de uma superfície.</w:t>
      </w:r>
    </w:p>
    <w:p>
      <w:pPr>
        <w:keepNext w:val="0"/>
        <w:spacing w:line="360" w:lineRule="auto" w:after="0" w:before="0"/>
        <w:jc w:val="both"/>
      </w:pPr>
      <w:r>
        <w:rPr>
          <w:rFonts w:ascii="Arial" w:hAnsi="Arial"/>
          <w:b/>
          <w:i w:val="0"/>
        </w:rPr>
        <w:t>Objetivos específicos: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• construir uma cena 3D na Unreal Engine com superfície, piso e fonte de luz manipulável;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• implementar em Blueprint o cálculo do produto escalar N · L, do ângulo de incidência e da intensidade difusa;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• representar graficamente os vetores normal e de direção da luz diretamente na cena;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• validar os valores calculados pelo Blueprint contra o cálculo teórico;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• projetar a estrutura de modo modular, permitindo incluir futuramente reflexão especular, transformações, matrizes, materiais e sombras.</w:t>
      </w:r>
    </w:p>
    <w:p>
      <w:pPr>
        <w:pStyle w:val="Heading2"/>
      </w:pPr>
      <w:r>
        <w:t>1.4 Justificativa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projeto tem valor didático: ao expor valores normalmente invisíveis, aproxima o formalismo matemático da experiência visual e funciona como ferramenta de apoio ao estudo da disciplina. Também se alinha às aplicações de computação gráfica e realidade virtual discutidas em aula, como visualização técnica, simulação e treinamento (KOIDE, 2026).</w:t>
      </w:r>
    </w:p>
    <w:p>
      <w:pPr>
        <w:pStyle w:val="Heading2"/>
      </w:pPr>
      <w:r>
        <w:t>1.5 Metodologia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desenvolvimento segue abordagem incremental, partindo de um produto mínimo viável (cena, luz manipulável, visualização dos vetores e cálculo da iluminação difusa) e incorporando módulos conforme o tempo permite. O trabalho é versionado em repositório Git hospedado no GitHub. Na criação do Blueprint e da cena foi utilizado um assistente de inteligência artificial (Claude Code), conectado ao editor por meio do Model Context Protocol, como apoio à automação de tarefas do editor; o projeto, as decisões de modelagem e a validação dos resultados foram conduzidos pela equipe.</w:t>
      </w:r>
    </w:p>
    <w:p>
      <w:pPr>
        <w:pStyle w:val="Heading1"/>
      </w:pPr>
      <w:r>
        <w:t>2 Revisão bibliográfica</w:t>
      </w:r>
    </w:p>
    <w:p>
      <w:pPr>
        <w:pStyle w:val="Heading2"/>
      </w:pPr>
      <w:r>
        <w:t>2.1 Iluminação difusa e o modelo de Lambert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Superfícies foscas espalham a luz recebida de maneira aproximadamente igual em todas as direções. Essa propriedade é descrita pela lei do cosseno de Lambert, segundo a qual a luz refletida por um ponto da superfície é proporcional ao cosseno do ângulo entre a normal da superfície e a direção da luz incidente (LAMBERT, 1760). Na computação gráfica, esse é o modelo de reflexão difusa mais elementar e constitui o termo difuso de modelos de iluminação local mais completos (HUGHES et al., 2013). Em sua forma usual:</w:t>
      </w:r>
    </w:p>
    <w:p>
      <w:pPr>
        <w:spacing w:before="120" w:after="120"/>
        <w:jc w:val="center"/>
      </w:pPr>
      <w:r>
        <w:rPr>
          <w:rFonts w:ascii="Arial" w:hAnsi="Arial"/>
          <w:b w:val="0"/>
          <w:i w:val="0"/>
        </w:rPr>
        <w:t>I</w:t>
      </w:r>
      <w:r>
        <w:rPr>
          <w:rFonts w:ascii="Arial" w:hAnsi="Arial"/>
          <w:i w:val="0"/>
          <w:vertAlign w:val="subscript"/>
        </w:rPr>
        <w:t>d</w:t>
      </w:r>
      <w:r>
        <w:rPr>
          <w:rFonts w:ascii="Arial" w:hAnsi="Arial"/>
          <w:b w:val="0"/>
          <w:i w:val="0"/>
        </w:rPr>
        <w:t xml:space="preserve"> = I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· k</w:t>
      </w:r>
      <w:r>
        <w:rPr>
          <w:rFonts w:ascii="Arial" w:hAnsi="Arial"/>
          <w:i w:val="0"/>
          <w:vertAlign w:val="subscript"/>
        </w:rPr>
        <w:t>d</w:t>
      </w:r>
      <w:r>
        <w:rPr>
          <w:rFonts w:ascii="Arial" w:hAnsi="Arial"/>
          <w:b w:val="0"/>
          <w:i w:val="0"/>
        </w:rPr>
        <w:t xml:space="preserve"> · máx(0, N · L)        (1)</w:t>
      </w:r>
    </w:p>
    <w:p>
      <w:pPr>
        <w:keepNext w:val="0"/>
        <w:spacing w:line="360" w:lineRule="auto" w:after="0" w:before="0"/>
        <w:jc w:val="both"/>
      </w:pPr>
      <w:r>
        <w:rPr>
          <w:rFonts w:ascii="Arial" w:hAnsi="Arial"/>
          <w:b w:val="0"/>
          <w:i w:val="0"/>
        </w:rPr>
        <w:t>em que I</w:t>
      </w:r>
      <w:r>
        <w:rPr>
          <w:rFonts w:ascii="Arial" w:hAnsi="Arial"/>
          <w:i w:val="0"/>
          <w:vertAlign w:val="subscript"/>
        </w:rPr>
        <w:t>d</w:t>
      </w:r>
      <w:r>
        <w:rPr>
          <w:rFonts w:ascii="Arial" w:hAnsi="Arial"/>
          <w:b w:val="0"/>
          <w:i w:val="0"/>
        </w:rPr>
        <w:t xml:space="preserve"> é a intensidade difusa resultante, I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a intensidade da luz, k</w:t>
      </w:r>
      <w:r>
        <w:rPr>
          <w:rFonts w:ascii="Arial" w:hAnsi="Arial"/>
          <w:i w:val="0"/>
          <w:vertAlign w:val="subscript"/>
        </w:rPr>
        <w:t>d</w:t>
      </w:r>
      <w:r>
        <w:rPr>
          <w:rFonts w:ascii="Arial" w:hAnsi="Arial"/>
          <w:b w:val="0"/>
          <w:i w:val="0"/>
        </w:rPr>
        <w:t xml:space="preserve"> o coeficiente de reflexão difusa do material, N o vetor normal unitário da superfície e L o vetor unitário que aponta do ponto da superfície para a fonte de luz. A função máx impede contribuição negativa quando a luz incide pela face oposta da superfície.</w:t>
      </w:r>
    </w:p>
    <w:p>
      <w:pPr>
        <w:pStyle w:val="Heading2"/>
      </w:pPr>
      <w:r>
        <w:t>2.2 Vetores, normal e produto escalar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produto escalar entre dois vetores a e b é definido como a · b = |a| |b| cos θ, em que θ é o ângulo entre eles. Para vetores unitários, o módulo é igual a 1 e o produto escalar coincide com o cosseno do ângulo (AKENINE-MÖLLER; HAINES; HOFFMAN, 2018). Assim, o ângulo de incidência da luz pode ser recuperado por:</w:t>
      </w:r>
    </w:p>
    <w:p>
      <w:pPr>
        <w:spacing w:before="120" w:after="120"/>
        <w:jc w:val="center"/>
      </w:pPr>
      <w:r>
        <w:rPr>
          <w:rFonts w:ascii="Arial" w:hAnsi="Arial"/>
          <w:b w:val="0"/>
          <w:i w:val="0"/>
        </w:rPr>
        <w:t>θ = arccos(N · L)        (2)</w:t>
      </w:r>
    </w:p>
    <w:p>
      <w:pPr>
        <w:keepNext w:val="0"/>
        <w:spacing w:line="360" w:lineRule="auto" w:after="0" w:before="0"/>
        <w:jc w:val="both"/>
      </w:pPr>
      <w:r>
        <w:rPr>
          <w:rFonts w:ascii="Arial" w:hAnsi="Arial"/>
          <w:b w:val="0"/>
          <w:i w:val="0"/>
        </w:rPr>
        <w:t>Para uma luz pontual na posição P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e um ponto da superfície na posição P, o vetor de direção da luz é obtido pela normalização da diferença entre as posições:</w:t>
      </w:r>
    </w:p>
    <w:p>
      <w:pPr>
        <w:spacing w:before="120" w:after="120"/>
        <w:jc w:val="center"/>
      </w:pPr>
      <w:r>
        <w:rPr>
          <w:rFonts w:ascii="Arial" w:hAnsi="Arial"/>
          <w:b w:val="0"/>
          <w:i w:val="0"/>
        </w:rPr>
        <w:t>L = (P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− P) / |P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− P|        (3)</w:t>
      </w:r>
    </w:p>
    <w:p>
      <w:pPr>
        <w:pStyle w:val="Heading2"/>
      </w:pPr>
      <w:r>
        <w:t>2.3 Unreal Engine e Blueprints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A Unreal Engine, desenvolvida pela Epic Games, é um motor gráfico de tempo real amplamente utilizado em jogos, visualização arquitetônica, simulação e produção virtual. Seu sistema de programação visual, o Blueprint, permite construir lógica de interação por meio de nós conectados, sem escrever código tradicional, com suporte a C++ quando necessário (EPIC GAMES, 2026). Esse recurso foi escolhido por permitir iterar rapidamente sobre o cálculo e por tornar a lógica legível para fins didáticos, conforme as ferramentas apresentadas em aula (KOIDE, 2026).</w:t>
      </w:r>
    </w:p>
    <w:p>
      <w:pPr>
        <w:pStyle w:val="Heading2"/>
      </w:pPr>
      <w:r>
        <w:t>2.4 Ferramentas de apoio ao desenvolvimento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/>
          <w:i w:val="0"/>
        </w:rPr>
        <w:t>Git, GitHub e Git LFS.</w:t>
      </w:r>
      <w:r>
        <w:rPr>
          <w:rFonts w:ascii="Arial" w:hAnsi="Arial"/>
          <w:b w:val="0"/>
          <w:i w:val="0"/>
        </w:rPr>
        <w:t xml:space="preserve"> O controle de versão é feito com Git (CHACON; STRAUB, 2014), com repositório remoto no GitHub. Como projetos Unreal possuem arquivos binários grandes (.uasset e .umap), é utilizado o Git LFS, que armazena esses arquivos fora do histórico regular do repositório.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/>
          <w:i w:val="0"/>
        </w:rPr>
        <w:t>Model Context Protocol (MCP).</w:t>
      </w:r>
      <w:r>
        <w:rPr>
          <w:rFonts w:ascii="Arial" w:hAnsi="Arial"/>
          <w:b w:val="0"/>
          <w:i w:val="0"/>
        </w:rPr>
        <w:t xml:space="preserve"> O MCP é um protocolo aberto que padroniza a conexão entre assistentes de inteligência artificial e ferramentas externas (MODEL CONTEXT PROTOCOL, 2026). A Unreal Engine 5.8 inclui, como recurso experimental, o plugin ModelContextProtocol, que faz o editor atuar como servidor MCP e expõe ferramentas para manipular atores, níveis, assets e grafos de Blueprint. No projeto, esse plugin foi ativado (juntamente com os toolsets EditorToolset e UMGToolSet) para automatizar a criação da cena e do Blueprint.</w:t>
      </w:r>
    </w:p>
    <w:p>
      <w:pPr>
        <w:pStyle w:val="Heading1"/>
      </w:pPr>
      <w:r>
        <w:t>3 Desenvolvimento parcial</w:t>
      </w:r>
    </w:p>
    <w:p>
      <w:pPr>
        <w:pStyle w:val="Heading2"/>
      </w:pPr>
      <w:r>
        <w:t>3.1 Ambiente de desenvolvimento e organização do projeto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projeto foi criado na Unreal Engine 5.8 com o nome LightSandbox, a partir de um modelo em branco baseado em Blueprint. O código-fonte e os assets são versionados no repositório privado da equipe no GitHub (github.com/Gabrielkeppen/Light_SandBox), com Git LFS habilitado para os assets binários. O Quadro 1 resume o ambiente.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Quadro 1 – Ambiente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Item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Motor gráfico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Unreal Engine 5.8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Linguagem / lógica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Blueprint (programação visual)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Plugins ativados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ModelContextProtocol, EditorToolset, UMGToolSet, MCPClientToolset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Controle de versão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Git, GitHub (repositório privado) e Git LFS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Sistema operacional</w:t>
            </w:r>
          </w:p>
        </w:tc>
        <w:tc>
          <w:tcPr>
            <w:tcW w:type="dxa" w:w="5386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Windows 10</w:t>
            </w:r>
          </w:p>
        </w:tc>
      </w:tr>
    </w:tbl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pStyle w:val="Heading2"/>
      </w:pPr>
      <w:r>
        <w:t>3.2 Cena de testes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A cena de testes (nível SandBoxMap) é composta por três elementos, descritos no Quadro 2: um piso, uma luz pontual e o ator analisador, que representa a superfície cujo vetor normal e iluminação são estudados.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Quadro 2 – Elementos da cena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Elemento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Tipo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Posição (cm)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Observações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Chao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Static Mesh (plano)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(0, 0, 0)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Escala 20 × 20; referência visual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LuzPontual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Point Light</w:t>
            </w:r>
          </w:p>
        </w:tc>
        <w:tc>
          <w:tcPr>
            <w:tcW w:type="dxa" w:w="1928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(350, −250, 400)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Fonte de luz manipulável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Analisador</w:t>
            </w:r>
          </w:p>
        </w:tc>
        <w:tc>
          <w:tcPr>
            <w:tcW w:type="dxa" w:w="204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BP_LightAnalyzer</w:t>
            </w:r>
          </w:p>
        </w:tc>
        <w:tc>
          <w:tcPr>
            <w:tcW w:type="dxa" w:w="1928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(0, 0, 150)</w:t>
            </w:r>
          </w:p>
        </w:tc>
        <w:tc>
          <w:tcPr>
            <w:tcW w:type="dxa" w:w="255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Inclinado 20° (pitch); referencia a LuzPontual</w:t>
            </w:r>
          </w:p>
        </w:tc>
      </w:tr>
    </w:tbl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pStyle w:val="Heading2"/>
      </w:pPr>
      <w:r>
        <w:t>3.3 Blueprint BP_LightAnalyzer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Blueprint BP_LightAnalyzer é um ator que contém uma malha em forma de cubo achatado (4 × 4 × 0,1 unidades de escala) usada como superfície. As variáveis do Blueprint estão no Quadro 3.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Quadro 3 – Variáveis do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Tipo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Função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LightActor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Referência a ator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Luz analisada; editável por instância na cena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NdotL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Ponto flutuante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Produto escalar N · 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AngleDeg</w:t>
            </w:r>
          </w:p>
        </w:tc>
        <w:tc>
          <w:tcPr>
            <w:tcW w:type="dxa" w:w="215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Ponto flutuante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Ângulo de incidência θ, em graus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DiffusePct</w:t>
            </w:r>
          </w:p>
        </w:tc>
        <w:tc>
          <w:tcPr>
            <w:tcW w:type="dxa" w:w="2154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Ponto flutuante</w:t>
            </w:r>
          </w:p>
        </w:tc>
        <w:tc>
          <w:tcPr>
            <w:tcW w:type="dxa" w:w="4252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Intensidade difusa, em porcentagem</w:t>
            </w:r>
          </w:p>
        </w:tc>
      </w:tr>
    </w:tbl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A cada quadro (evento Tick), e desde que a referência à luz seja válida, o Blueprint executa os passos abaixo, que implementam diretamente as equações 1 a 3: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1) obtém a posição do ator (P) e a posição da luz (P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>);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2) calcula L = normalizar(P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 xml:space="preserve"> − P);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3) obtém a normal N como o vetor “para cima” (Up Vector) do ator;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4) calcula N · L com o nó Dot Product;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5) calcula θ = arccos(N · L), em graus, com o nó Acos (Degrees);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6) calcula a intensidade difusa como máx(0, N · L) × 100;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7) desenha, com Draw Debug Arrow, a seta verde da normal e a seta amarela da direção da luz;</w:t>
      </w:r>
    </w:p>
    <w:p>
      <w:pPr>
        <w:keepNext w:val="0"/>
        <w:spacing w:line="360" w:lineRule="auto" w:after="0" w:before="0"/>
        <w:ind w:left="709"/>
        <w:jc w:val="both"/>
      </w:pPr>
      <w:r>
        <w:rPr>
          <w:rFonts w:ascii="Arial" w:hAnsi="Arial"/>
          <w:b w:val="0"/>
          <w:i w:val="0"/>
        </w:rPr>
        <w:t>8) exibe os valores na tela e no log (Print String).</w:t>
      </w:r>
    </w:p>
    <w:p>
      <w:pPr>
        <w:keepNext w:val="0"/>
        <w:spacing w:line="360" w:lineRule="auto" w:after="0" w:before="120"/>
        <w:ind w:firstLine="709"/>
        <w:jc w:val="both"/>
      </w:pPr>
      <w:r>
        <w:rPr>
          <w:rFonts w:ascii="Arial" w:hAnsi="Arial"/>
          <w:b w:val="0"/>
          <w:i w:val="0"/>
        </w:rPr>
        <w:t>A Figura 1 mostra o ambiente com a simulação em execução e o log com os valores calculados. A Figura 2 apresenta a superfície inclinada com as setas desenhadas: em verde a normal N e, em amarelo, a direção da luz L.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Figura 1 – Editor da Unreal Engine com simulação em execução e log do cálculo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6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ditor_pie_n_dot_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Figura 2 – Superfície analisada com a normal (verde) e a direção da luz (amarelo)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e_vista_analis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pStyle w:val="Heading2"/>
      </w:pPr>
      <w:r>
        <w:t>3.4 Resultados parciais e validação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Para validar a implementação, a luz foi posicionada em cinco pontos distintos e os valores exibidos pelo Blueprint foram comparados com o cálculo teórico das equações 1 a 3, feito de forma independente. Com o analisador em (0, 0, 150) e inclinado 20°, a normal vale N = (−0,342; 0; 0,940). O Quadro 4 apresenta os resultados.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Quadro 4 – Comparação entre valores teóricos e medidos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</w:trPr>
        <w:tc>
          <w:tcPr>
            <w:tcW w:type="dxa" w:w="7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Caso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Posição da luz (cm)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N·L teórico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N·L medido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θ teórico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θ medido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Difusa medida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(0, 0, 550)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0,9397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0,9397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20,0°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20,0°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94,0%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(350, -250, 400)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0,2316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0,2316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76,6°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76,6°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23,2%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(400, 0, 150)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-0,3420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-0,3420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110,0°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110,0°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0,0%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</w:t>
            </w:r>
          </w:p>
        </w:tc>
        <w:tc>
          <w:tcPr>
            <w:tcW w:type="dxa" w:w="204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(-400, 0, 300)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0,6502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0,6502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49,4°</w:t>
            </w:r>
          </w:p>
        </w:tc>
        <w:tc>
          <w:tcPr>
            <w:tcW w:type="dxa" w:w="107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49,4°</w:t>
            </w:r>
          </w:p>
        </w:tc>
        <w:tc>
          <w:tcPr>
            <w:tcW w:type="dxa" w:w="1247"/>
          </w:tcPr>
          <w:p>
            <w:pPr>
              <w:keepNext/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65,0%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</w:t>
            </w:r>
          </w:p>
        </w:tc>
        <w:tc>
          <w:tcPr>
            <w:tcW w:type="dxa" w:w="204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(-200, 0, 500)</w:t>
            </w:r>
          </w:p>
        </w:tc>
        <w:tc>
          <w:tcPr>
            <w:tcW w:type="dxa" w:w="119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0,9856</w:t>
            </w:r>
          </w:p>
        </w:tc>
        <w:tc>
          <w:tcPr>
            <w:tcW w:type="dxa" w:w="1191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0,9856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9,7°</w:t>
            </w:r>
          </w:p>
        </w:tc>
        <w:tc>
          <w:tcPr>
            <w:tcW w:type="dxa" w:w="1077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9,7°</w:t>
            </w:r>
          </w:p>
        </w:tc>
        <w:tc>
          <w:tcPr>
            <w:tcW w:type="dxa" w:w="1247"/>
          </w:tcPr>
          <w:p>
            <w:pPr>
              <w:spacing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98,6%</w:t>
            </w:r>
          </w:p>
        </w:tc>
      </w:tr>
    </w:tbl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Em todos os casos os valores medidos coincidiram com os teóricos até a sexta casa decimal, o que valida a implementação do cálculo. O caso C ilustra o comportamento do termo máx(0, N · L): a luz incide pela face oposta (N · L = −0,342; θ = 110°) e, por isso, a intensidade difusa é 0%. A Figura 3 resume a comparação para a intensidade difusa.</w:t>
      </w:r>
    </w:p>
    <w:p>
      <w:pPr>
        <w:keepNext/>
        <w:spacing w:line="240" w:lineRule="auto" w:after="80" w:before="120"/>
        <w:jc w:val="center"/>
      </w:pPr>
      <w:r>
        <w:rPr>
          <w:rFonts w:ascii="Arial" w:hAnsi="Arial"/>
          <w:b w:val="0"/>
          <w:i w:val="0"/>
          <w:sz w:val="20"/>
        </w:rPr>
        <w:t>Figura 3 – Intensidade difusa calculada e medida em cada caso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fico_resul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240" w:before="0"/>
        <w:jc w:val="center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pPr>
        <w:pStyle w:val="Heading2"/>
      </w:pPr>
      <w:r>
        <w:t>3.5 Limitações e próximas etapas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Arial" w:hAnsi="Arial"/>
          <w:b w:val="0"/>
          <w:i w:val="0"/>
        </w:rPr>
        <w:t>O que está implementado cobre o produto mínimo viável do módulo de iluminação difusa. Permanecem como próximas etapas: (a) interface gráfica (UMG) com os valores em texto sobre a tela, em substituição ao texto de depuração; (b) controles para o usuário mover a luz durante a execução; (c) inclusão do coeficiente do material (k</w:t>
      </w:r>
      <w:r>
        <w:rPr>
          <w:rFonts w:ascii="Arial" w:hAnsi="Arial"/>
          <w:i w:val="0"/>
          <w:vertAlign w:val="subscript"/>
        </w:rPr>
        <w:t>d</w:t>
      </w:r>
      <w:r>
        <w:rPr>
          <w:rFonts w:ascii="Arial" w:hAnsi="Arial"/>
          <w:b w:val="0"/>
          <w:i w:val="0"/>
        </w:rPr>
        <w:t>) e da intensidade da luz (I</w:t>
      </w:r>
      <w:r>
        <w:rPr>
          <w:rFonts w:ascii="Arial" w:hAnsi="Arial"/>
          <w:i w:val="0"/>
          <w:vertAlign w:val="subscript"/>
        </w:rPr>
        <w:t>L</w:t>
      </w:r>
      <w:r>
        <w:rPr>
          <w:rFonts w:ascii="Arial" w:hAnsi="Arial"/>
          <w:b w:val="0"/>
          <w:i w:val="0"/>
        </w:rPr>
        <w:t>) no cálculo da equação 1; (d) suporte a luz direcional, além da pontual; e (e) novos módulos, como reflexão especular, transformações e matrizes, sombras e propriedades de materiais. Como limitação atual, a normal é obtida do vetor “para cima” do ator, o que é adequado a superfícies planas, mas não considera malhas com normais variáveis por vértice.</w:t>
      </w:r>
    </w:p>
    <w:p>
      <w:pPr>
        <w:pStyle w:val="Heading1"/>
      </w:pPr>
      <w:r>
        <w:t>Referências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AKENINE-MÖLLER, Tomas; HAINES, Eric; HOFFMAN, Naty. </w:t>
      </w:r>
      <w:r>
        <w:rPr>
          <w:rFonts w:ascii="Arial" w:hAnsi="Arial"/>
          <w:b/>
          <w:i w:val="0"/>
        </w:rPr>
        <w:t>Real-time rendering</w:t>
      </w:r>
      <w:r>
        <w:rPr>
          <w:rFonts w:ascii="Arial" w:hAnsi="Arial"/>
          <w:b w:val="0"/>
          <w:i w:val="0"/>
        </w:rPr>
        <w:t>. 4. ed. Boca Raton: CRC Press, 2018.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CHACON, Scott; STRAUB, Ben. </w:t>
      </w:r>
      <w:r>
        <w:rPr>
          <w:rFonts w:ascii="Arial" w:hAnsi="Arial"/>
          <w:b/>
          <w:i w:val="0"/>
        </w:rPr>
        <w:t>Pro Git</w:t>
      </w:r>
      <w:r>
        <w:rPr>
          <w:rFonts w:ascii="Arial" w:hAnsi="Arial"/>
          <w:b w:val="0"/>
          <w:i w:val="0"/>
        </w:rPr>
        <w:t>. 2. ed. Berkeley: Apress, 2014. Disponível em: https://git-scm.com/book. Acesso em: 12 out. 2026.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EPIC GAMES. </w:t>
      </w:r>
      <w:r>
        <w:rPr>
          <w:rFonts w:ascii="Arial" w:hAnsi="Arial"/>
          <w:b/>
          <w:i w:val="0"/>
        </w:rPr>
        <w:t>Unreal Engine documentation</w:t>
      </w:r>
      <w:r>
        <w:rPr>
          <w:rFonts w:ascii="Arial" w:hAnsi="Arial"/>
          <w:b w:val="0"/>
          <w:i w:val="0"/>
        </w:rPr>
        <w:t>. 2026. Disponível em: https://dev.epicgames.com/documentation/unreal-engine. Acesso em: 12 out. 2026.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HUGHES, John F. et al. </w:t>
      </w:r>
      <w:r>
        <w:rPr>
          <w:rFonts w:ascii="Arial" w:hAnsi="Arial"/>
          <w:b/>
          <w:i w:val="0"/>
        </w:rPr>
        <w:t>Computer graphics</w:t>
      </w:r>
      <w:r>
        <w:rPr>
          <w:rFonts w:ascii="Arial" w:hAnsi="Arial"/>
          <w:b w:val="0"/>
          <w:i w:val="0"/>
        </w:rPr>
        <w:t>: principles and practice. 3. ed. Upper Saddle River: Addison-Wesley, 2013.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KOIDE, Rubem Matimoto. </w:t>
      </w:r>
      <w:r>
        <w:rPr>
          <w:rFonts w:ascii="Arial" w:hAnsi="Arial"/>
          <w:b/>
          <w:i w:val="0"/>
        </w:rPr>
        <w:t>Computação gráfica e realidade virtual</w:t>
      </w:r>
      <w:r>
        <w:rPr>
          <w:rFonts w:ascii="Arial" w:hAnsi="Arial"/>
          <w:b w:val="0"/>
          <w:i w:val="0"/>
        </w:rPr>
        <w:t>: aula 1. Curitiba: UniCuritiba, 2026. Material de aula.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LAMBERT, Johann Heinrich. </w:t>
      </w:r>
      <w:r>
        <w:rPr>
          <w:rFonts w:ascii="Arial" w:hAnsi="Arial"/>
          <w:b/>
          <w:i w:val="0"/>
        </w:rPr>
        <w:t>Photometria sive de mensura et gradibus luminis, colorum et umbrae</w:t>
      </w:r>
      <w:r>
        <w:rPr>
          <w:rFonts w:ascii="Arial" w:hAnsi="Arial"/>
          <w:b w:val="0"/>
          <w:i w:val="0"/>
        </w:rPr>
        <w:t>. Augsburg: Eberhard Klett, 1760.</w:t>
      </w:r>
    </w:p>
    <w:p>
      <w:pPr>
        <w:keepNext w:val="0"/>
        <w:spacing w:line="240" w:lineRule="auto" w:after="240" w:before="0"/>
        <w:jc w:val="left"/>
      </w:pPr>
      <w:r>
        <w:rPr>
          <w:rFonts w:ascii="Arial" w:hAnsi="Arial"/>
          <w:b w:val="0"/>
          <w:i w:val="0"/>
        </w:rPr>
        <w:t xml:space="preserve">MODEL CONTEXT PROTOCOL. </w:t>
      </w:r>
      <w:r>
        <w:rPr>
          <w:rFonts w:ascii="Arial" w:hAnsi="Arial"/>
          <w:b/>
          <w:i w:val="0"/>
        </w:rPr>
        <w:t>Specification</w:t>
      </w:r>
      <w:r>
        <w:rPr>
          <w:rFonts w:ascii="Arial" w:hAnsi="Arial"/>
          <w:b w:val="0"/>
          <w:i w:val="0"/>
        </w:rPr>
        <w:t>. 2026. Disponível em: https://modelcontextprotocol.io. Acesso em: 12 out. 2026.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="Arial" w:hAnsi="Arial" w:eastAsia="Arial" w:cs="Arial"/>
      <w:b/>
      <w:bCs/>
      <w:i w:val="0"/>
      <w:cap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="Arial" w:hAnsi="Arial" w:eastAsia="Arial" w:cs="Arial"/>
      <w:b/>
      <w:bCs/>
      <w:i w:val="0"/>
      <w:caps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="Arial" w:hAnsi="Arial" w:eastAsia="Arial" w:cs="Arial"/>
      <w:b/>
      <w:bCs/>
      <w:i w:val="0"/>
      <w:caps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