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00"/>
        <w:jc w:val="center"/>
      </w:pPr>
      <w:r>
        <w:rPr>
          <w:b/>
          <w:bCs/>
          <w:color w:val="595959"/>
          <w:spacing w:val="40"/>
          <w:sz w:val="24"/>
          <w:szCs w:val="24"/>
        </w:rPr>
        <w:t xml:space="preserve">ARQUITETURA DE SOFTWARE</w:t>
      </w:r>
    </w:p>
    <w:p>
      <w:pPr>
        <w:spacing w:after="160"/>
        <w:jc w:val="center"/>
      </w:pPr>
      <w:r>
        <w:rPr>
          <w:b/>
          <w:bCs/>
          <w:color w:val="1F3864"/>
          <w:sz w:val="44"/>
          <w:szCs w:val="44"/>
        </w:rPr>
        <w:t xml:space="preserve">Estudo de caso: integrar hospital, operadora e laboratório</w:t>
      </w:r>
    </w:p>
    <w:p>
      <w:pPr>
        <w:pBdr>
          <w:top w:val="single" w:color="2E5C9A" w:sz="8" w:space="10"/>
        </w:pBdr>
        <w:spacing w:after="900"/>
        <w:jc w:val="center"/>
      </w:pPr>
      <w:r>
        <w:rPr>
          <w:color w:val="595959"/>
          <w:sz w:val="24"/>
          <w:szCs w:val="24"/>
        </w:rPr>
        <w:t xml:space="preserve">Módulo 2 — APIs · Resolução das cinco decisões e insumos para o ADR-002</w:t>
      </w:r>
    </w:p>
    <w:tbl>
      <w:tblPr>
        <w:tblW w:type="dxa" w:w="9026"/>
        <w:tblBorders>
          <w:top w:val="single" w:color="B7C0D0" w:sz="2"/>
          <w:left w:val="single" w:color="B7C0D0" w:sz="2"/>
          <w:bottom w:val="single" w:color="B7C0D0" w:sz="2"/>
          <w:right w:val="single" w:color="B7C0D0" w:sz="2"/>
          <w:insideH w:val="single" w:color="B7C0D0" w:sz="2"/>
          <w:insideV w:val="single" w:color="B7C0D0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679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Autor</w:t>
            </w:r>
          </w:p>
        </w:tc>
        <w:tc>
          <w:tcPr>
            <w:tcW w:type="dxa" w:w="66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Gabriel Krzizanowski</w:t>
            </w:r>
          </w:p>
        </w:tc>
      </w:tr>
      <w:tr>
        <w:tc>
          <w:tcPr>
            <w:tcW w:type="dxa" w:w="2347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Disciplina</w:t>
            </w:r>
          </w:p>
        </w:tc>
        <w:tc>
          <w:tcPr>
            <w:tcW w:type="dxa" w:w="6679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Arquitetura de Software — Módulo 2 (APIs)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Entregável</w:t>
            </w:r>
          </w:p>
        </w:tc>
        <w:tc>
          <w:tcPr>
            <w:tcW w:type="dxa" w:w="66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Resolução do estudo de caso</w:t>
            </w:r>
          </w:p>
        </w:tc>
      </w:tr>
      <w:tr>
        <w:tc>
          <w:tcPr>
            <w:tcW w:type="dxa" w:w="2347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6679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29 de agosto de 2026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Fonte do caso</w:t>
            </w:r>
          </w:p>
        </w:tc>
        <w:tc>
          <w:tcPr>
            <w:tcW w:type="dxa" w:w="66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marco-mendes.github.io/arquitetura-software/modulo-2-apis/estudo-de-caso/</w:t>
            </w:r>
          </w:p>
        </w:tc>
      </w:tr>
      <w:tr>
        <w:tc>
          <w:tcPr>
            <w:tcW w:type="dxa" w:w="2347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Repositório da oficina</w:t>
            </w:r>
          </w:p>
        </w:tc>
        <w:tc>
          <w:tcPr>
            <w:tcW w:type="dxa" w:w="6679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github.com/Gabrielkr28/arquitetura-software-modulo2-apis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1"/>
        <w:pBdr>
          <w:bottom w:val="single" w:color="DCE3EF" w:sz="6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Sumário</w:t>
      </w:r>
    </w:p>
    <w:p>
      <w:pPr>
        <w:spacing w:after="100"/>
        <w:ind w:left="200"/>
      </w:pPr>
      <w:r>
        <w:rPr>
          <w:sz w:val="22"/>
          <w:szCs w:val="22"/>
        </w:rPr>
        <w:t xml:space="preserve">1. Contexto e forças de arquitetura</w:t>
      </w:r>
    </w:p>
    <w:p>
      <w:pPr>
        <w:spacing w:after="100"/>
        <w:ind w:left="200"/>
      </w:pPr>
      <w:r>
        <w:rPr>
          <w:sz w:val="22"/>
          <w:szCs w:val="22"/>
        </w:rPr>
        <w:t xml:space="preserve">2. Decisão 1 — Como integrar o pedido ao laboratório</w:t>
      </w:r>
    </w:p>
    <w:p>
      <w:pPr>
        <w:spacing w:after="100"/>
        <w:ind w:left="200"/>
      </w:pPr>
      <w:r>
        <w:rPr>
          <w:sz w:val="22"/>
          <w:szCs w:val="22"/>
        </w:rPr>
        <w:t xml:space="preserve">3. Decisão 2 — Onde fica a tradução SOAP/TISS</w:t>
      </w:r>
    </w:p>
    <w:p>
      <w:pPr>
        <w:spacing w:after="100"/>
        <w:ind w:left="200"/>
      </w:pPr>
      <w:r>
        <w:rPr>
          <w:sz w:val="22"/>
          <w:szCs w:val="22"/>
        </w:rPr>
        <w:t xml:space="preserve">4. Decisão 3 — De quem é o mapeamento de matrícula</w:t>
      </w:r>
    </w:p>
    <w:p>
      <w:pPr>
        <w:spacing w:after="100"/>
        <w:ind w:left="200"/>
      </w:pPr>
      <w:r>
        <w:rPr>
          <w:sz w:val="22"/>
          <w:szCs w:val="22"/>
        </w:rPr>
        <w:t xml:space="preserve">5. Decisão 4 — Como avisar que um exame ficou pronto</w:t>
      </w:r>
    </w:p>
    <w:p>
      <w:pPr>
        <w:spacing w:after="100"/>
        <w:ind w:left="200"/>
      </w:pPr>
      <w:r>
        <w:rPr>
          <w:sz w:val="22"/>
          <w:szCs w:val="22"/>
        </w:rPr>
        <w:t xml:space="preserve">6. Decisão 5 — O que registrar antes da mensageria idempotente</w:t>
      </w:r>
    </w:p>
    <w:p>
      <w:pPr>
        <w:spacing w:after="100"/>
        <w:ind w:left="200"/>
      </w:pPr>
      <w:r>
        <w:rPr>
          <w:sz w:val="22"/>
          <w:szCs w:val="22"/>
        </w:rPr>
        <w:t xml:space="preserve">7. Baseline recomendada e limites honestos</w:t>
      </w:r>
    </w:p>
    <w:p>
      <w:pPr>
        <w:spacing w:after="100"/>
        <w:ind w:left="200"/>
      </w:pPr>
      <w:r>
        <w:rPr>
          <w:sz w:val="22"/>
          <w:szCs w:val="22"/>
        </w:rPr>
        <w:t xml:space="preserve">8. Consolidação para o ADR-002</w:t>
      </w:r>
    </w:p>
    <w:p>
      <w:pPr>
        <w:pageBreakBefore/>
      </w:pPr>
    </w:p>
    <w:p>
      <w:pPr>
        <w:pStyle w:val="Heading1"/>
        <w:pBdr>
          <w:bottom w:val="single" w:color="DCE3EF" w:sz="6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Contexto e forças de arquitetura</w:t>
      </w:r>
    </w:p>
    <w:p>
      <w:pPr>
        <w:spacing w:after="140" w:line="300"/>
      </w:pPr>
      <w:r>
        <w:t xml:space="preserve">A plataforma hospitalar é a fronteira entre canais administrativos internos (agenda, elegibilidade, autorização, pedidos de exame) e duas organizações independentes — a operadora e o laboratório — que têm versões, disponibilidade, vocabulário e ritmo próprios. Duas forças determinam todas as decisões deste documento: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A plataforma não controla o parceiro.</w:t>
      </w:r>
      <w:r>
        <w:t xml:space="preserve"> Disponibilidade, latência, versão e semântica do laboratório e da operadora mudam sem aviso e sem coordenação de release.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O tempo do processo não é o tempo da requisição.</w:t>
      </w:r>
      <w:r>
        <w:t xml:space="preserve"> A elegibilidade é aceita em segundos, mas decidida em minutos; um resultado de exame pode levar minutos, horas ou dias.</w:t>
      </w:r>
    </w:p>
    <w:p>
      <w:pPr>
        <w:spacing w:after="140" w:line="300"/>
      </w:pPr>
      <w:r>
        <w:t xml:space="preserve">Por isso o desenho começa registrando o pedido </w:t>
      </w:r>
      <w:r>
        <w:rPr>
          <w:i/>
          <w:iCs/>
        </w:rPr>
        <w:t xml:space="preserve">antes</w:t>
      </w:r>
      <w:r>
        <w:t xml:space="preserve"> de falar com o parceiro e mantendo o estado externo </w:t>
      </w:r>
      <w:r>
        <w:rPr>
          <w:b/>
          <w:bCs/>
        </w:rPr>
        <w:t xml:space="preserve">explícito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recebida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desconhecida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falha temporária</w:t>
      </w:r>
      <w:r>
        <w:t xml:space="preserve">) em vez de presumir uma decisão que a plataforma não tomou. A API mínima da oficina prova esse formato: </w:t>
      </w:r>
      <w:r>
        <w:rPr>
          <w:rFonts w:ascii="Consolas" w:cs="Consolas" w:eastAsia="Consolas" w:hAnsi="Consolas"/>
          <w:sz w:val="20"/>
          <w:szCs w:val="20"/>
        </w:rPr>
        <w:t xml:space="preserve">POST /elegibilidades</w:t>
      </w:r>
      <w:r>
        <w:t xml:space="preserve"> responde </w:t>
      </w:r>
      <w:r>
        <w:rPr>
          <w:rFonts w:ascii="Consolas" w:cs="Consolas" w:eastAsia="Consolas" w:hAnsi="Consolas"/>
          <w:sz w:val="20"/>
          <w:szCs w:val="20"/>
        </w:rPr>
        <w:t xml:space="preserve">202 Accepted</w:t>
      </w:r>
      <w:r>
        <w:t xml:space="preserve"> com </w:t>
      </w:r>
      <w:r>
        <w:rPr>
          <w:rFonts w:ascii="Consolas" w:cs="Consolas" w:eastAsia="Consolas" w:hAnsi="Consolas"/>
          <w:sz w:val="20"/>
          <w:szCs w:val="20"/>
        </w:rPr>
        <w:t xml:space="preserve">Location</w:t>
      </w:r>
      <w:r>
        <w:t xml:space="preserve">, e </w:t>
      </w:r>
      <w:r>
        <w:rPr>
          <w:rFonts w:ascii="Consolas" w:cs="Consolas" w:eastAsia="Consolas" w:hAnsi="Consolas"/>
          <w:sz w:val="20"/>
          <w:szCs w:val="20"/>
        </w:rPr>
        <w:t xml:space="preserve">GET /elegibilidades/{protocolo}</w:t>
      </w:r>
      <w:r>
        <w:t xml:space="preserve"> devolve a situação conhecida — nunca uma decisão inventada.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Mapa de interações antes da escolha técnica</w:t>
      </w:r>
    </w:p>
    <w:tbl>
      <w:tblPr>
        <w:tblW w:type="dxa" w:w="9026"/>
        <w:tblBorders>
          <w:top w:val="single" w:color="B7C0D0" w:sz="2"/>
          <w:left w:val="single" w:color="B7C0D0" w:sz="2"/>
          <w:bottom w:val="single" w:color="B7C0D0" w:sz="2"/>
          <w:right w:val="single" w:color="B7C0D0" w:sz="2"/>
          <w:insideH w:val="single" w:color="B7C0D0" w:sz="2"/>
          <w:insideV w:val="single" w:color="B7C0D0" w:sz="2"/>
        </w:tblBorders>
      </w:tblPr>
      <w:tblGrid>
        <w:gridCol w:w="2708"/>
        <w:gridCol w:w="2888"/>
        <w:gridCol w:w="3430"/>
      </w:tblGrid>
      <w:tr>
        <w:trPr>
          <w:tblHeader/>
        </w:trPr>
        <w:tc>
          <w:tcPr>
            <w:tcW w:type="dxa" w:w="2708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Interação</w:t>
            </w:r>
          </w:p>
        </w:tc>
        <w:tc>
          <w:tcPr>
            <w:tcW w:type="dxa" w:w="2888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Necessidade temporal</w:t>
            </w:r>
          </w:p>
        </w:tc>
        <w:tc>
          <w:tcPr>
            <w:tcW w:type="dxa" w:w="3430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Risco que não pode ficar implícito</w:t>
            </w:r>
          </w:p>
        </w:tc>
      </w:tr>
      <w:tr>
        <w:tc>
          <w:tcPr>
            <w:tcW w:type="dxa" w:w="27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Consultar horários</w:t>
            </w:r>
          </w:p>
        </w:tc>
        <w:tc>
          <w:tcPr>
            <w:tcW w:type="dxa" w:w="288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resposta rápida para escolher</w:t>
            </w:r>
          </w:p>
        </w:tc>
        <w:tc>
          <w:tcPr>
            <w:tcW w:type="dxa" w:w="343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páginas mudam enquanto se navega</w:t>
            </w:r>
          </w:p>
        </w:tc>
      </w:tr>
      <w:tr>
        <w:tc>
          <w:tcPr>
            <w:tcW w:type="dxa" w:w="2708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Pedir elegibilidade</w:t>
            </w:r>
          </w:p>
        </w:tc>
        <w:tc>
          <w:tcPr>
            <w:tcW w:type="dxa" w:w="2888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aceitação rápida; decisão pode demorar</w:t>
            </w:r>
          </w:p>
        </w:tc>
        <w:tc>
          <w:tcPr>
            <w:tcW w:type="dxa" w:w="3430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repetição após perda de resposta</w:t>
            </w:r>
          </w:p>
        </w:tc>
      </w:tr>
      <w:tr>
        <w:tc>
          <w:tcPr>
            <w:tcW w:type="dxa" w:w="27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Solicitar autorização</w:t>
            </w:r>
          </w:p>
        </w:tc>
        <w:tc>
          <w:tcPr>
            <w:tcW w:type="dxa" w:w="288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processo externo variável</w:t>
            </w:r>
          </w:p>
        </w:tc>
        <w:tc>
          <w:tcPr>
            <w:tcW w:type="dxa" w:w="343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estado externo diverge do interno</w:t>
            </w:r>
          </w:p>
        </w:tc>
      </w:tr>
      <w:tr>
        <w:tc>
          <w:tcPr>
            <w:tcW w:type="dxa" w:w="2708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Enviar pedido ao laboratório</w:t>
            </w:r>
          </w:p>
        </w:tc>
        <w:tc>
          <w:tcPr>
            <w:tcW w:type="dxa" w:w="2888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entrega confiável</w:t>
            </w:r>
          </w:p>
        </w:tc>
        <w:tc>
          <w:tcPr>
            <w:tcW w:type="dxa" w:w="3430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perda de significado na conversão</w:t>
            </w:r>
          </w:p>
        </w:tc>
      </w:tr>
      <w:tr>
        <w:tc>
          <w:tcPr>
            <w:tcW w:type="dxa" w:w="27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Receber resultado</w:t>
            </w:r>
          </w:p>
        </w:tc>
        <w:tc>
          <w:tcPr>
            <w:tcW w:type="dxa" w:w="288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minutos, horas ou dias</w:t>
            </w:r>
          </w:p>
        </w:tc>
        <w:tc>
          <w:tcPr>
            <w:tcW w:type="dxa" w:w="343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autenticidade, repetição e ordenação</w:t>
            </w:r>
          </w:p>
        </w:tc>
      </w:tr>
    </w:tbl>
    <w:p>
      <w:pPr>
        <w:spacing w:after="200"/>
      </w:pPr>
    </w:p>
    <w:p>
      <w:pPr>
        <w:pBdr>
          <w:left w:val="single" w:color="DCE3EF" w:sz="12" w:space="8"/>
        </w:pBdr>
        <w:spacing w:after="160" w:before="100" w:line="290"/>
        <w:ind w:left="200"/>
      </w:pPr>
      <w:r>
        <w:rPr>
          <w:i/>
          <w:iCs/>
          <w:color w:val="595959"/>
        </w:rPr>
        <w:t xml:space="preserve">O mapa não impõe REST, mensageria ou gateway. Ele mostra que cada interação tem uma necessidade temporal diferente — e é essa diferença, não a preferência tecnológica, que justifica cada decisão a seguir.</w:t>
      </w:r>
    </w:p>
    <w:p>
      <w:pPr>
        <w:pageBreakBefore/>
      </w:pPr>
    </w:p>
    <w:p>
      <w:pPr>
        <w:pStyle w:val="Heading1"/>
        <w:pBdr>
          <w:bottom w:val="single" w:color="DCE3EF" w:sz="6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Decisão 1 — Como integrar o pedido ao laboratório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Escolha: contrato oficial SOAP/TISS consumido por um adaptador (anti-corruption layer).</w:t>
      </w:r>
    </w:p>
    <w:p>
      <w:pPr>
        <w:spacing w:after="140" w:line="300"/>
      </w:pPr>
      <w:r>
        <w:rPr>
          <w:b/>
          <w:bCs/>
        </w:rPr>
        <w:t xml:space="preserve">Justificativa em uma frase:</w:t>
      </w:r>
      <w:r>
        <w:t xml:space="preserve"> o acesso direto ao banco do parceiro acopla a plataforma a um modelo de dados que ela não controla nem versiona, e a mensageria cobra hoje um preço de consistência eventual, duplicidade e operação que ainda não temos evidência de precisar pagar — o contrato oficial isolado atrás de um adaptador respeita a interface publicada pelo parceiro e concentra a tradução em um único ponto revisável.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Alternativas avaliadas</w:t>
      </w:r>
    </w:p>
    <w:tbl>
      <w:tblPr>
        <w:tblW w:type="dxa" w:w="9026"/>
        <w:tblBorders>
          <w:top w:val="single" w:color="B7C0D0" w:sz="2"/>
          <w:left w:val="single" w:color="B7C0D0" w:sz="2"/>
          <w:bottom w:val="single" w:color="B7C0D0" w:sz="2"/>
          <w:right w:val="single" w:color="B7C0D0" w:sz="2"/>
          <w:insideH w:val="single" w:color="B7C0D0" w:sz="2"/>
          <w:insideV w:val="single" w:color="B7C0D0" w:sz="2"/>
        </w:tblBorders>
      </w:tblPr>
      <w:tblGrid>
        <w:gridCol w:w="2347"/>
        <w:gridCol w:w="2708"/>
        <w:gridCol w:w="3971"/>
      </w:tblGrid>
      <w:tr>
        <w:trPr>
          <w:tblHeader/>
        </w:trPr>
        <w:tc>
          <w:tcPr>
            <w:tcW w:type="dxa" w:w="2347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Alternativa</w:t>
            </w:r>
          </w:p>
        </w:tc>
        <w:tc>
          <w:tcPr>
            <w:tcW w:type="dxa" w:w="2708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Ganho inicial</w:t>
            </w:r>
          </w:p>
        </w:tc>
        <w:tc>
          <w:tcPr>
            <w:tcW w:type="dxa" w:w="3971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Consequência que pesou na decisão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Acesso direto ao banco</w:t>
            </w:r>
          </w:p>
        </w:tc>
        <w:tc>
          <w:tcPr>
            <w:tcW w:type="dxa" w:w="27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reduz o esforço de integração inicial</w:t>
            </w:r>
          </w:p>
        </w:tc>
        <w:tc>
          <w:tcPr>
            <w:tcW w:type="dxa" w:w="397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acopla ao modelo externo e fragiliza toda evolução futura; quebra a cada mudança do parceiro</w:t>
            </w:r>
          </w:p>
        </w:tc>
      </w:tr>
      <w:tr>
        <w:tc>
          <w:tcPr>
            <w:tcW w:type="dxa" w:w="2347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Contrato oficial por adaptador (escolhida)</w:t>
            </w:r>
          </w:p>
        </w:tc>
        <w:tc>
          <w:tcPr>
            <w:tcW w:type="dxa" w:w="2708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respeita a interface publicada pelo parceiro</w:t>
            </w:r>
          </w:p>
        </w:tc>
        <w:tc>
          <w:tcPr>
            <w:tcW w:type="dxa" w:w="3971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mantém dependência temporal e exige tradução, testes e observabilidade próprios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Mensagem posterior (mensageria)</w:t>
            </w:r>
          </w:p>
        </w:tc>
        <w:tc>
          <w:tcPr>
            <w:tcW w:type="dxa" w:w="27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desacopla o tempo e permite retomada</w:t>
            </w:r>
          </w:p>
        </w:tc>
        <w:tc>
          <w:tcPr>
            <w:tcW w:type="dxa" w:w="397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introduz consistência eventual, duplicidade e carga operacional ainda não justificadas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Consequências assumidas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Permanece uma </w:t>
      </w:r>
      <w:r>
        <w:rPr>
          <w:b/>
          <w:bCs/>
        </w:rPr>
        <w:t xml:space="preserve">dependência temporal</w:t>
      </w:r>
      <w:r>
        <w:t xml:space="preserve"> da disponibilidade do laboratório: a chamada externa pode falhar ou expirar. O desenho absorve isso registrando o protocolo antes da chamada e gravando </w:t>
      </w:r>
      <w:r>
        <w:rPr>
          <w:i/>
          <w:iCs/>
        </w:rPr>
        <w:t xml:space="preserve">falha temporária correlacionada</w:t>
      </w:r>
      <w:r>
        <w:t xml:space="preserve"> em vez de erro final.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O adaptador é um componente real: exige testes de tradução, mapeamento de erro e observabilidade própria — latência, taxa de timeout e divergência de estado.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Evidência que mudaria essa escolha</w:t>
      </w:r>
    </w:p>
    <w:tbl>
      <w:tblPr>
        <w:tblW w:type="dxa" w:w="9026"/>
        <w:tblBorders>
          <w:top w:val="single" w:color="B7C0D0" w:sz="2"/>
          <w:left w:val="single" w:color="B7C0D0" w:sz="2"/>
          <w:bottom w:val="single" w:color="B7C0D0" w:sz="2"/>
          <w:right w:val="single" w:color="B7C0D0" w:sz="2"/>
          <w:insideH w:val="single" w:color="B7C0D0" w:sz="2"/>
          <w:insideV w:val="single" w:color="B7C0D0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Evidência observada</w:t>
            </w:r>
          </w:p>
        </w:tc>
        <w:tc>
          <w:tcPr>
            <w:tcW w:type="dxa" w:w="4513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Para onde a decisão migra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Indisponibilidade do laboratório acima do orçamento de erro acordado, ou janela de manutenção do parceiro maior que o timeout aceitável do canal administrativo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Mensageria com fila de saída (outbox) e retomada — desacopla o tempo do pedido do tempo do parceiro</w:t>
            </w:r>
          </w:p>
        </w:tc>
      </w:tr>
      <w:tr>
        <w:tc>
          <w:tcPr>
            <w:tcW w:type="dxa" w:w="4513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Volume que torne a chamada síncrona um gargalo, ou necessidade demonstrada de retomar pedidos após reinício da plataforma</w:t>
            </w:r>
          </w:p>
        </w:tc>
        <w:tc>
          <w:tcPr>
            <w:tcW w:type="dxa" w:w="4513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Mensageria com idempotência (ver Decisão 5)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Laboratório passar a publicar contrato REST/JSON versionado e estável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 adaptador permanece, mas encolhe: deixa de traduzir XML e passa a traduzir apenas identificadores e códigos de erro</w:t>
            </w:r>
          </w:p>
        </w:tc>
      </w:tr>
      <w:tr>
        <w:tc>
          <w:tcPr>
            <w:tcW w:type="dxa" w:w="4513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Perda de significado detectada na conversão (campo TISS sem equivalente interno)</w:t>
            </w:r>
          </w:p>
        </w:tc>
        <w:tc>
          <w:tcPr>
            <w:tcW w:type="dxa" w:w="4513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Não muda a família de alternativa; muda o contrato interno, que passa a precisar de campo explícito em vez de valor inferido</w:t>
            </w:r>
          </w:p>
        </w:tc>
      </w:tr>
    </w:tbl>
    <w:p>
      <w:pPr>
        <w:spacing w:after="200"/>
      </w:pPr>
    </w:p>
    <w:p>
      <w:pPr>
        <w:pBdr>
          <w:left w:val="single" w:color="DCE3EF" w:sz="12" w:space="8"/>
        </w:pBdr>
        <w:spacing w:after="160" w:before="100" w:line="290"/>
        <w:ind w:left="200"/>
      </w:pPr>
      <w:r>
        <w:rPr>
          <w:i/>
          <w:iCs/>
          <w:color w:val="595959"/>
        </w:rPr>
        <w:t xml:space="preserve">O acesso direto ao banco não volta a ser alternativa em nenhum desses cenários: ele troca um problema de integração por um problema de acoplamento permanente.</w:t>
      </w:r>
    </w:p>
    <w:p>
      <w:pPr>
        <w:pageBreakBefore/>
      </w:pPr>
    </w:p>
    <w:p>
      <w:pPr>
        <w:pStyle w:val="Heading1"/>
        <w:pBdr>
          <w:bottom w:val="single" w:color="DCE3EF" w:sz="6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Decisão 2 — Onde fica a tradução SOAP/TISS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Escolha: no adaptador, não no gateway.</w:t>
      </w:r>
    </w:p>
    <w:p>
      <w:pPr>
        <w:spacing w:after="140" w:line="300"/>
      </w:pPr>
      <w:r>
        <w:rPr>
          <w:b/>
          <w:bCs/>
        </w:rPr>
        <w:t xml:space="preserve">Justificativa em uma frase:</w:t>
      </w:r>
      <w:r>
        <w:t xml:space="preserve"> o gateway é o lugar das </w:t>
      </w:r>
      <w:r>
        <w:rPr>
          <w:b/>
          <w:bCs/>
        </w:rPr>
        <w:t xml:space="preserve">políticas técnicas de fronteira</w:t>
      </w:r>
      <w:r>
        <w:t xml:space="preserve"> — TLS, roteamento, autenticação técnica, rate limit, correlação, métricas — e colocar conversão TISS nele espalha decisão de domínio por um componente de infraestrutura, escondendo perda semântica atrás de uma fachada REST que </w:t>
      </w:r>
      <w:r>
        <w:rPr>
          <w:i/>
          <w:iCs/>
        </w:rPr>
        <w:t xml:space="preserve">parece</w:t>
      </w:r>
      <w:r>
        <w:t xml:space="preserve"> correta.</w:t>
      </w:r>
    </w:p>
    <w:p>
      <w:pPr>
        <w:spacing w:after="140" w:line="300"/>
      </w:pPr>
      <w:r>
        <w:t xml:space="preserve">A distinção prática é direta: o gateway não consegue responder à pergunta “o que este código TISS significa para o hospital?”. Essa pergunta é de domínio. Se a resposta mudar quando o laboratório publicar uma nova versão do contrato, a mudança precisa cair em um componente com teste de tradução, versionamento e dono — não em um arquivo de rota.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O que o adaptador traduz</w:t>
      </w:r>
    </w:p>
    <w:tbl>
      <w:tblPr>
        <w:tblW w:type="dxa" w:w="9026"/>
        <w:tblBorders>
          <w:top w:val="single" w:color="B7C0D0" w:sz="2"/>
          <w:left w:val="single" w:color="B7C0D0" w:sz="2"/>
          <w:bottom w:val="single" w:color="B7C0D0" w:sz="2"/>
          <w:right w:val="single" w:color="B7C0D0" w:sz="2"/>
          <w:insideH w:val="single" w:color="B7C0D0" w:sz="2"/>
          <w:insideV w:val="single" w:color="B7C0D0" w:sz="2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Dimensão</w:t>
            </w:r>
          </w:p>
        </w:tc>
        <w:tc>
          <w:tcPr>
            <w:tcW w:type="dxa" w:w="6860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Exemplo no caso</w:t>
            </w:r>
          </w:p>
        </w:tc>
      </w:tr>
      <w:tr>
        <w:tc>
          <w:tcPr>
            <w:tcW w:type="dxa" w:w="21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Vocabulário</w:t>
            </w:r>
          </w:p>
        </w:tc>
        <w:tc>
          <w:tcPr>
            <w:tcW w:type="dxa" w:w="6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pedido de exame</w:t>
            </w:r>
            <w:r>
              <w:rPr>
                <w:sz w:val="19"/>
                <w:szCs w:val="19"/>
              </w:rPr>
              <w:t xml:space="preserve"> interno → estrutura de guia SOAP/TISS</w:t>
            </w:r>
          </w:p>
        </w:tc>
      </w:tr>
      <w:tr>
        <w:tc>
          <w:tcPr>
            <w:tcW w:type="dxa" w:w="2166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Identificadores</w:t>
            </w:r>
          </w:p>
        </w:tc>
        <w:tc>
          <w:tcPr>
            <w:tcW w:type="dxa" w:w="6860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protocolo interno ↔ número de guia ou lote do laboratório</w:t>
            </w:r>
          </w:p>
        </w:tc>
      </w:tr>
      <w:tr>
        <w:tc>
          <w:tcPr>
            <w:tcW w:type="dxa" w:w="21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Erro</w:t>
            </w:r>
          </w:p>
        </w:tc>
        <w:tc>
          <w:tcPr>
            <w:tcW w:type="dxa" w:w="6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i/>
                <w:iCs/>
                <w:sz w:val="19"/>
                <w:szCs w:val="19"/>
              </w:rPr>
              <w:t xml:space="preserve">fault</w:t>
            </w:r>
            <w:r>
              <w:rPr>
                <w:sz w:val="19"/>
                <w:szCs w:val="19"/>
              </w:rPr>
              <w:t xml:space="preserve"> SOAP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codigo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mensagem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detalhes</w:t>
            </w:r>
            <w:r>
              <w:rPr>
                <w:sz w:val="19"/>
                <w:szCs w:val="19"/>
              </w:rPr>
              <w:t xml:space="preserve"> do contrato interno</w:t>
            </w:r>
          </w:p>
        </w:tc>
      </w:tr>
      <w:tr>
        <w:tc>
          <w:tcPr>
            <w:tcW w:type="dxa" w:w="2166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Estado</w:t>
            </w:r>
          </w:p>
        </w:tc>
        <w:tc>
          <w:tcPr>
            <w:tcW w:type="dxa" w:w="6860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timeout do parceiro → </w:t>
            </w:r>
            <w:r>
              <w:rPr>
                <w:i/>
                <w:iCs/>
                <w:sz w:val="19"/>
                <w:szCs w:val="19"/>
              </w:rPr>
              <w:t xml:space="preserve">falha temporária correlacionada</w:t>
            </w:r>
            <w:r>
              <w:rPr>
                <w:sz w:val="19"/>
                <w:szCs w:val="19"/>
              </w:rPr>
              <w:t xml:space="preserve">, nunca “negado”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Separação de responsabilidades</w:t>
      </w:r>
    </w:p>
    <w:tbl>
      <w:tblPr>
        <w:tblW w:type="dxa" w:w="9026"/>
        <w:tblBorders>
          <w:top w:val="single" w:color="B7C0D0" w:sz="2"/>
          <w:left w:val="single" w:color="B7C0D0" w:sz="2"/>
          <w:bottom w:val="single" w:color="B7C0D0" w:sz="2"/>
          <w:right w:val="single" w:color="B7C0D0" w:sz="2"/>
          <w:insideH w:val="single" w:color="B7C0D0" w:sz="2"/>
          <w:insideV w:val="single" w:color="B7C0D0" w:sz="2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Gateway (política de fronteira)</w:t>
            </w:r>
          </w:p>
        </w:tc>
        <w:tc>
          <w:tcPr>
            <w:tcW w:type="dxa" w:w="4513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Adaptador / ACL (proteção do domínio)</w:t>
            </w:r>
          </w:p>
        </w:tc>
      </w:tr>
      <w:tr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TLS, roteamento, autenticação técnica, rate limit, correlação, métricas e, em casos justificados, composição de respostas</w:t>
            </w:r>
          </w:p>
        </w:tc>
        <w:tc>
          <w:tcPr>
            <w:tcW w:type="dxa" w:w="451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Tradução de vocabulário, identificadores, erros e estado; isolamento das mudanças do parceiro</w:t>
            </w:r>
          </w:p>
        </w:tc>
      </w:tr>
      <w:tr>
        <w:tc>
          <w:tcPr>
            <w:tcW w:type="dxa" w:w="4513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Não sabe o que um código TISS significa</w:t>
            </w:r>
          </w:p>
        </w:tc>
        <w:tc>
          <w:tcPr>
            <w:tcW w:type="dxa" w:w="4513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É o único lugar onde esse significado é decidido, testado e versionado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rPr>
          <w:b/>
          <w:bCs/>
        </w:rPr>
        <w:t xml:space="preserve">Consequência assumida:</w:t>
      </w:r>
      <w:r>
        <w:t xml:space="preserve"> um componente a mais para construir, testar e observar. É o preço de manter o contrato interno estável quando o externo mudar.</w:t>
      </w:r>
    </w:p>
    <w:p>
      <w:pPr>
        <w:pageBreakBefore/>
      </w:pPr>
    </w:p>
    <w:p>
      <w:pPr>
        <w:pStyle w:val="Heading1"/>
        <w:pBdr>
          <w:bottom w:val="single" w:color="DCE3EF" w:sz="6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Decisão 3 — De quem é o mapeamento de matrícula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Escolha: pertence à operadora — logo, ao adaptador da operadora dentro da plataforma.</w:t>
      </w:r>
    </w:p>
    <w:p>
      <w:pPr>
        <w:spacing w:after="140" w:line="300"/>
      </w:pPr>
      <w:r>
        <w:rPr>
          <w:b/>
          <w:bCs/>
        </w:rPr>
        <w:t xml:space="preserve">Justificativa em uma frase:</w:t>
      </w:r>
      <w:r>
        <w:t xml:space="preserve"> quem define, emite, versiona e revoga a matrícula é a operadora, então a regra de correspondência entre </w:t>
      </w:r>
      <w:r>
        <w:rPr>
          <w:rFonts w:ascii="Consolas" w:cs="Consolas" w:eastAsia="Consolas" w:hAnsi="Consolas"/>
          <w:sz w:val="20"/>
          <w:szCs w:val="20"/>
        </w:rPr>
        <w:t xml:space="preserve">matricula_plano</w:t>
      </w:r>
      <w:r>
        <w:t xml:space="preserve"> e o identificador externo muda no ritmo da operadora e deve viver na fronteira que representa a operadora, não no modelo do hospital nem no gateway.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Desdobramento prático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A plataforma </w:t>
      </w:r>
      <w:r>
        <w:rPr>
          <w:b/>
          <w:bCs/>
        </w:rPr>
        <w:t xml:space="preserve">guarda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matricula_plano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codigo_operadora</w:t>
      </w:r>
      <w:r>
        <w:t xml:space="preserve"> como dados do pedido — é exatamente o que o contrato da oficina declara em </w:t>
      </w:r>
      <w:r>
        <w:rPr>
          <w:rFonts w:ascii="Consolas" w:cs="Consolas" w:eastAsia="Consolas" w:hAnsi="Consolas"/>
          <w:sz w:val="20"/>
          <w:szCs w:val="20"/>
        </w:rPr>
        <w:t xml:space="preserve">PedidoElegibilidade</w:t>
      </w:r>
      <w:r>
        <w:t xml:space="preserve">. Guardar o dado não é o mesmo que ser dona da regra.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A </w:t>
      </w:r>
      <w:r>
        <w:rPr>
          <w:b/>
          <w:bCs/>
        </w:rPr>
        <w:t xml:space="preserve">tradução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matricula_plano</w:t>
      </w:r>
      <w:r>
        <w:t xml:space="preserve"> → identificador interno da operadora fica no adaptador daquela operadora. Com N operadoras existem N traduções e um contrato interno único; se a regra estivesse no domínio, cada operadora nova vazaria um </w:t>
      </w:r>
      <w:r>
        <w:rPr>
          <w:rFonts w:ascii="Consolas" w:cs="Consolas" w:eastAsia="Consolas" w:hAnsi="Consolas"/>
          <w:sz w:val="20"/>
          <w:szCs w:val="20"/>
        </w:rPr>
        <w:t xml:space="preserve">if</w:t>
      </w:r>
      <w:r>
        <w:t xml:space="preserve"> para dentro do núcleo.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O gateway continua sem participar: ele roteia e aplica política, não resolve identidade de beneficiário.</w:t>
      </w:r>
    </w:p>
    <w:p>
      <w:pPr>
        <w:spacing w:after="120"/>
      </w:pPr>
    </w:p>
    <w:p>
      <w:pPr>
        <w:pBdr>
          <w:left w:val="single" w:color="DCE3EF" w:sz="12" w:space="8"/>
        </w:pBdr>
        <w:spacing w:after="160" w:before="100" w:line="290"/>
        <w:ind w:left="200"/>
      </w:pPr>
      <w:r>
        <w:rPr>
          <w:i/>
          <w:iCs/>
          <w:color w:val="595959"/>
        </w:rPr>
        <w:t xml:space="preserve">Teste de decisão usado para conferir: se a operadora mudar a regra sozinha, quem precisa publicar uma nova versão? Se a resposta for “a operadora”, a regra é dela — e o código que a espelha é código de fronteira.</w:t>
      </w:r>
    </w:p>
    <w:p>
      <w:pPr>
        <w:pageBreakBefore/>
      </w:pPr>
    </w:p>
    <w:p>
      <w:pPr>
        <w:pStyle w:val="Heading1"/>
        <w:pBdr>
          <w:bottom w:val="single" w:color="DCE3EF" w:sz="6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Decisão 4 — Como avisar que um exame ficou pronto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Escolha: webhook quando o parceiro conseguir notificar; polling adaptativo como contingência.</w:t>
      </w:r>
    </w:p>
    <w:p>
      <w:pPr>
        <w:spacing w:after="140" w:line="300"/>
      </w:pPr>
      <w:r>
        <w:rPr>
          <w:b/>
          <w:bCs/>
        </w:rPr>
        <w:t xml:space="preserve">Justificativa em uma frase:</w:t>
      </w:r>
      <w:r>
        <w:t xml:space="preserve"> os prazos vão de minutos a dias, e polling em intervalo fixo ou gasta chamadas em prazos longos ou atrasa o resultado em prazos curtos — o webhook transfere o custo para o instante em que o fato realmente aconteceu.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Alternativas avaliadas</w:t>
      </w:r>
    </w:p>
    <w:tbl>
      <w:tblPr>
        <w:tblW w:type="dxa" w:w="9026"/>
        <w:tblBorders>
          <w:top w:val="single" w:color="B7C0D0" w:sz="2"/>
          <w:left w:val="single" w:color="B7C0D0" w:sz="2"/>
          <w:bottom w:val="single" w:color="B7C0D0" w:sz="2"/>
          <w:right w:val="single" w:color="B7C0D0" w:sz="2"/>
          <w:insideH w:val="single" w:color="B7C0D0" w:sz="2"/>
          <w:insideV w:val="single" w:color="B7C0D0" w:sz="2"/>
        </w:tblBorders>
      </w:tblPr>
      <w:tblGrid>
        <w:gridCol w:w="2166"/>
        <w:gridCol w:w="3069"/>
        <w:gridCol w:w="3791"/>
      </w:tblGrid>
      <w:tr>
        <w:trPr>
          <w:tblHeader/>
        </w:trPr>
        <w:tc>
          <w:tcPr>
            <w:tcW w:type="dxa" w:w="2166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Forma de acompanhamento</w:t>
            </w:r>
          </w:p>
        </w:tc>
        <w:tc>
          <w:tcPr>
            <w:tcW w:type="dxa" w:w="3069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Quando ajuda</w:t>
            </w:r>
          </w:p>
        </w:tc>
        <w:tc>
          <w:tcPr>
            <w:tcW w:type="dxa" w:w="3791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Limite assumido</w:t>
            </w:r>
          </w:p>
        </w:tc>
      </w:tr>
      <w:tr>
        <w:tc>
          <w:tcPr>
            <w:tcW w:type="dxa" w:w="21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Polling frequente</w:t>
            </w:r>
          </w:p>
        </w:tc>
        <w:tc>
          <w:tcPr>
            <w:tcW w:type="dxa" w:w="306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parceiro só oferece consulta e o volume é pequeno</w:t>
            </w:r>
          </w:p>
        </w:tc>
        <w:tc>
          <w:tcPr>
            <w:tcW w:type="dxa" w:w="37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chamadas repetidas, custo e atraso entre consultas</w:t>
            </w:r>
          </w:p>
        </w:tc>
      </w:tr>
      <w:tr>
        <w:tc>
          <w:tcPr>
            <w:tcW w:type="dxa" w:w="2166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Polling adaptativo</w:t>
            </w:r>
          </w:p>
        </w:tc>
        <w:tc>
          <w:tcPr>
            <w:tcW w:type="dxa" w:w="3069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 prazo esperado muda com o tempo</w:t>
            </w:r>
          </w:p>
        </w:tc>
        <w:tc>
          <w:tcPr>
            <w:tcW w:type="dxa" w:w="3791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continua sendo consulta periódica; a política precisa estar documentada</w:t>
            </w:r>
          </w:p>
        </w:tc>
      </w:tr>
      <w:tr>
        <w:tc>
          <w:tcPr>
            <w:tcW w:type="dxa" w:w="216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Webhook (escolhida)</w:t>
            </w:r>
          </w:p>
        </w:tc>
        <w:tc>
          <w:tcPr>
            <w:tcW w:type="dxa" w:w="306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 parceiro consegue notificar a conclusão</w:t>
            </w:r>
          </w:p>
        </w:tc>
        <w:tc>
          <w:tcPr>
            <w:tcW w:type="dxa" w:w="37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endpoint autenticado, repetição, ordenação, confirmação e recuperação precisam existir</w:t>
            </w:r>
          </w:p>
        </w:tc>
      </w:tr>
      <w:tr>
        <w:tc>
          <w:tcPr>
            <w:tcW w:type="dxa" w:w="2166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WebSocket</w:t>
            </w:r>
          </w:p>
        </w:tc>
        <w:tc>
          <w:tcPr>
            <w:tcW w:type="dxa" w:w="3069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consumidor conectado, em tempo real</w:t>
            </w:r>
          </w:p>
        </w:tc>
        <w:tc>
          <w:tcPr>
            <w:tcW w:type="dxa" w:w="3791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não serve aqui: o resultado precisa ser processado sem tela aberta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Risco que aceito explicitamente</w:t>
      </w:r>
    </w:p>
    <w:p>
      <w:pPr>
        <w:spacing w:after="140" w:line="300"/>
      </w:pPr>
      <w:r>
        <w:t xml:space="preserve">O webhook transforma a plataforma em </w:t>
      </w:r>
      <w:r>
        <w:rPr>
          <w:i/>
          <w:iCs/>
        </w:rPr>
        <w:t xml:space="preserve">servidor</w:t>
      </w:r>
      <w:r>
        <w:t xml:space="preserve"> de um parceiro externo. Ao escolhê-lo, assumo de forma declarada a obrigação de construir quatro coisas: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Autenticação e autenticidade</w:t>
      </w:r>
      <w:r>
        <w:t xml:space="preserve"> do endpoint que recebe a notificação — assinatura da mensagem, mTLS ou segredo compartilhado. Sem isso, qualquer um declara um exame pronto.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Repetição:</w:t>
      </w:r>
      <w:r>
        <w:t xml:space="preserve"> o parceiro vai reenviar a mesma notificação. O recebimento precisa ser idempotente por identificador de negócio.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Ordenação:</w:t>
      </w:r>
      <w:r>
        <w:t xml:space="preserve"> notificações podem chegar fora de ordem; o estado do exame não pode retroceder de </w:t>
      </w:r>
      <w:r>
        <w:rPr>
          <w:rFonts w:ascii="Consolas" w:cs="Consolas" w:eastAsia="Consolas" w:hAnsi="Consolas"/>
          <w:sz w:val="20"/>
          <w:szCs w:val="20"/>
        </w:rPr>
        <w:t xml:space="preserve">concluído</w:t>
      </w:r>
      <w:r>
        <w:t xml:space="preserve"> para </w:t>
      </w:r>
      <w:r>
        <w:rPr>
          <w:rFonts w:ascii="Consolas" w:cs="Consolas" w:eastAsia="Consolas" w:hAnsi="Consolas"/>
          <w:sz w:val="20"/>
          <w:szCs w:val="20"/>
        </w:rPr>
        <w:t xml:space="preserve">em processamento</w:t>
      </w:r>
      <w:r>
        <w:t xml:space="preserve"> porque uma mensagem antiga chegou depois.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Confirmação e recuperação:</w:t>
      </w:r>
      <w:r>
        <w:t xml:space="preserve"> se a plataforma estiver fora do ar, a notificação se perde. Por isso o webhook </w:t>
      </w:r>
      <w:r>
        <w:rPr>
          <w:b/>
          <w:bCs/>
        </w:rPr>
        <w:t xml:space="preserve">não elimina</w:t>
      </w:r>
      <w:r>
        <w:t xml:space="preserve"> a consulta — mantenho uma varredura de reconciliação para pedidos sem notificação dentro do prazo esperado.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Política de polling adaptativo (para o parceiro que só oferece consulta)</w:t>
      </w:r>
    </w:p>
    <w:tbl>
      <w:tblPr>
        <w:tblW w:type="dxa" w:w="9026"/>
        <w:tblBorders>
          <w:top w:val="single" w:color="B7C0D0" w:sz="2"/>
          <w:left w:val="single" w:color="B7C0D0" w:sz="2"/>
          <w:bottom w:val="single" w:color="B7C0D0" w:sz="2"/>
          <w:right w:val="single" w:color="B7C0D0" w:sz="2"/>
          <w:insideH w:val="single" w:color="B7C0D0" w:sz="2"/>
          <w:insideV w:val="single" w:color="B7C0D0" w:sz="2"/>
        </w:tblBorders>
      </w:tblPr>
      <w:tblGrid>
        <w:gridCol w:w="4062"/>
        <w:gridCol w:w="4964"/>
      </w:tblGrid>
      <w:tr>
        <w:trPr>
          <w:tblHeader/>
        </w:trPr>
        <w:tc>
          <w:tcPr>
            <w:tcW w:type="dxa" w:w="4062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Janela desde o pedido</w:t>
            </w:r>
          </w:p>
        </w:tc>
        <w:tc>
          <w:tcPr>
            <w:tcW w:type="dxa" w:w="4964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Intervalo de consulta</w:t>
            </w:r>
          </w:p>
        </w:tc>
      </w:tr>
      <w:tr>
        <w:tc>
          <w:tcPr>
            <w:tcW w:type="dxa" w:w="40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0 – 30 minutos</w:t>
            </w:r>
          </w:p>
        </w:tc>
        <w:tc>
          <w:tcPr>
            <w:tcW w:type="dxa" w:w="49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 cada 1 minuto</w:t>
            </w:r>
          </w:p>
        </w:tc>
      </w:tr>
      <w:tr>
        <w:tc>
          <w:tcPr>
            <w:tcW w:type="dxa" w:w="4062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30 minutos – 6 horas</w:t>
            </w:r>
          </w:p>
        </w:tc>
        <w:tc>
          <w:tcPr>
            <w:tcW w:type="dxa" w:w="4964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 cada 10 minutos</w:t>
            </w:r>
          </w:p>
        </w:tc>
      </w:tr>
      <w:tr>
        <w:tc>
          <w:tcPr>
            <w:tcW w:type="dxa" w:w="406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 – 72 horas</w:t>
            </w:r>
          </w:p>
        </w:tc>
        <w:tc>
          <w:tcPr>
            <w:tcW w:type="dxa" w:w="496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 cada 1 hora</w:t>
            </w:r>
          </w:p>
        </w:tc>
      </w:tr>
      <w:tr>
        <w:tc>
          <w:tcPr>
            <w:tcW w:type="dxa" w:w="4062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acima de 72 horas</w:t>
            </w:r>
          </w:p>
        </w:tc>
        <w:tc>
          <w:tcPr>
            <w:tcW w:type="dxa" w:w="4964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para de consultar e gera alerta operacional</w:t>
            </w:r>
          </w:p>
        </w:tc>
      </w:tr>
    </w:tbl>
    <w:p>
      <w:pPr>
        <w:spacing w:after="160"/>
      </w:pPr>
    </w:p>
    <w:p>
      <w:pPr>
        <w:spacing w:after="140" w:line="300"/>
      </w:pPr>
      <w:r>
        <w:t xml:space="preserve">Sem essa política escrita, “polling adaptativo” é só uma palavra.</w:t>
      </w:r>
    </w:p>
    <w:p>
      <w:pPr>
        <w:pageBreakBefore/>
      </w:pPr>
    </w:p>
    <w:p>
      <w:pPr>
        <w:pStyle w:val="Heading1"/>
        <w:pBdr>
          <w:bottom w:val="single" w:color="DCE3EF" w:sz="6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Decisão 5 — O que registrar antes da mensageria idempotente</w:t>
      </w:r>
    </w:p>
    <w:p>
      <w:pPr>
        <w:spacing w:after="140" w:line="300"/>
      </w:pPr>
      <w:r>
        <w:t xml:space="preserve">Antes de trocar a chamada síncrona por mensageria, o ADR-002 precisa fechar três lacunas. Sem elas, “usar retry” e “usar fila” apenas deslocam a ambiguidade para a operação.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a) Identificador de negócio (chave de idempotência)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Uma chave </w:t>
      </w:r>
      <w:r>
        <w:rPr>
          <w:b/>
          <w:bCs/>
        </w:rPr>
        <w:t xml:space="preserve">estável, gerada pelo emissor e derivada do negócio</w:t>
      </w:r>
      <w:r>
        <w:t xml:space="preserve">, não do transporte: para o pedido de exame, o </w:t>
      </w:r>
      <w:r>
        <w:rPr>
          <w:rFonts w:ascii="Consolas" w:cs="Consolas" w:eastAsia="Consolas" w:hAnsi="Consolas"/>
          <w:sz w:val="20"/>
          <w:szCs w:val="20"/>
        </w:rPr>
        <w:t xml:space="preserve">protocolo</w:t>
      </w:r>
      <w:r>
        <w:t xml:space="preserve"> da plataforma; para o recebimento de resultado, a tripla </w:t>
      </w:r>
      <w:r>
        <w:rPr>
          <w:rFonts w:ascii="Consolas" w:cs="Consolas" w:eastAsia="Consolas" w:hAnsi="Consolas"/>
          <w:sz w:val="20"/>
          <w:szCs w:val="20"/>
        </w:rPr>
        <w:t xml:space="preserve">(numero_guia_laboratorio, codigo_exame, versao_resultado)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Ela precisa sobreviver a retry, reinício e reprocessamento manual — logo, é persistida junto com o pedido no mesmo instante em que o </w:t>
      </w:r>
      <w:r>
        <w:rPr>
          <w:rFonts w:ascii="Consolas" w:cs="Consolas" w:eastAsia="Consolas" w:hAnsi="Consolas"/>
          <w:sz w:val="20"/>
          <w:szCs w:val="20"/>
        </w:rPr>
        <w:t xml:space="preserve">202</w:t>
      </w:r>
      <w:r>
        <w:t xml:space="preserve"> é devolvido, e não gerada na hora do envio.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Regra explícita: </w:t>
      </w:r>
      <w:r>
        <w:rPr>
          <w:b/>
          <w:bCs/>
        </w:rPr>
        <w:t xml:space="preserve">um UUID novo por tentativa não é chave de idempotência</w:t>
      </w:r>
      <w:r>
        <w:t xml:space="preserve">, é ruído.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b) Retenção</w:t>
      </w:r>
    </w:p>
    <w:tbl>
      <w:tblPr>
        <w:tblW w:type="dxa" w:w="9026"/>
        <w:tblBorders>
          <w:top w:val="single" w:color="B7C0D0" w:sz="2"/>
          <w:left w:val="single" w:color="B7C0D0" w:sz="2"/>
          <w:bottom w:val="single" w:color="B7C0D0" w:sz="2"/>
          <w:right w:val="single" w:color="B7C0D0" w:sz="2"/>
          <w:insideH w:val="single" w:color="B7C0D0" w:sz="2"/>
          <w:insideV w:val="single" w:color="B7C0D0" w:sz="2"/>
        </w:tblBorders>
      </w:tblPr>
      <w:tblGrid>
        <w:gridCol w:w="2708"/>
        <w:gridCol w:w="1986"/>
        <w:gridCol w:w="4332"/>
      </w:tblGrid>
      <w:tr>
        <w:trPr>
          <w:tblHeader/>
        </w:trPr>
        <w:tc>
          <w:tcPr>
            <w:tcW w:type="dxa" w:w="2708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O que é retido</w:t>
            </w:r>
          </w:p>
        </w:tc>
        <w:tc>
          <w:tcPr>
            <w:tcW w:type="dxa" w:w="1986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Prazo proposto</w:t>
            </w:r>
          </w:p>
        </w:tc>
        <w:tc>
          <w:tcPr>
            <w:tcW w:type="dxa" w:w="4332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27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Chaves de processamento já vistas</w:t>
            </w:r>
          </w:p>
        </w:tc>
        <w:tc>
          <w:tcPr>
            <w:tcW w:type="dxa" w:w="19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90 dias</w:t>
            </w:r>
          </w:p>
        </w:tc>
        <w:tc>
          <w:tcPr>
            <w:tcW w:type="dxa" w:w="433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cobre com folga o prazo máximo de resultado (72 h) e a janela de reprocessamento operacional</w:t>
            </w:r>
          </w:p>
        </w:tc>
      </w:tr>
      <w:tr>
        <w:tc>
          <w:tcPr>
            <w:tcW w:type="dxa" w:w="2708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Histórico de estado do pedido</w:t>
            </w:r>
          </w:p>
        </w:tc>
        <w:tc>
          <w:tcPr>
            <w:tcW w:type="dxa" w:w="1986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 anos</w:t>
            </w:r>
          </w:p>
        </w:tc>
        <w:tc>
          <w:tcPr>
            <w:tcW w:type="dxa" w:w="4332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alinhado à guarda de prontuário e faturamento</w:t>
            </w:r>
          </w:p>
        </w:tc>
      </w:tr>
      <w:tr>
        <w:tc>
          <w:tcPr>
            <w:tcW w:type="dxa" w:w="27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Mensagem com chave já expirada</w:t>
            </w:r>
          </w:p>
        </w:tc>
        <w:tc>
          <w:tcPr>
            <w:tcW w:type="dxa" w:w="19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rejeitada com erro explícito</w:t>
            </w:r>
          </w:p>
        </w:tc>
        <w:tc>
          <w:tcPr>
            <w:tcW w:type="dxa" w:w="433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aceitar em silêncio recria o problema que a idempotência resolve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c) Comportamento de duplicidade</w:t>
      </w:r>
    </w:p>
    <w:tbl>
      <w:tblPr>
        <w:tblW w:type="dxa" w:w="9026"/>
        <w:tblBorders>
          <w:top w:val="single" w:color="B7C0D0" w:sz="2"/>
          <w:left w:val="single" w:color="B7C0D0" w:sz="2"/>
          <w:bottom w:val="single" w:color="B7C0D0" w:sz="2"/>
          <w:right w:val="single" w:color="B7C0D0" w:sz="2"/>
          <w:insideH w:val="single" w:color="B7C0D0" w:sz="2"/>
          <w:insideV w:val="single" w:color="B7C0D0" w:sz="2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6318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Comportamento que o ADR precisa fixar</w:t>
            </w:r>
          </w:p>
        </w:tc>
      </w:tr>
      <w:tr>
        <w:tc>
          <w:tcPr>
            <w:tcW w:type="dxa" w:w="27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Duplicata idêntica</w:t>
            </w:r>
          </w:p>
        </w:tc>
        <w:tc>
          <w:tcPr>
            <w:tcW w:type="dxa" w:w="631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devolver o mesmo resultado do primeiro processamento (mesmo protocolo, mesmo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Location</w:t>
            </w:r>
            <w:r>
              <w:rPr>
                <w:sz w:val="19"/>
                <w:szCs w:val="19"/>
              </w:rPr>
              <w:t xml:space="preserve">), sem novo efeito colateral, com métrica registrada</w:t>
            </w:r>
          </w:p>
        </w:tc>
      </w:tr>
      <w:tr>
        <w:tc>
          <w:tcPr>
            <w:tcW w:type="dxa" w:w="2708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Duplicata divergente sob a mesma chave</w:t>
            </w:r>
          </w:p>
        </w:tc>
        <w:tc>
          <w:tcPr>
            <w:tcW w:type="dxa" w:w="6318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rejeitar com erro de conflito e alertar — é sintoma de defeito do emissor, não de rede</w:t>
            </w:r>
          </w:p>
        </w:tc>
      </w:tr>
      <w:tr>
        <w:tc>
          <w:tcPr>
            <w:tcW w:type="dxa" w:w="27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Resposta externa tardia</w:t>
            </w:r>
          </w:p>
        </w:tc>
        <w:tc>
          <w:tcPr>
            <w:tcW w:type="dxa" w:w="631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registrar como evento de reconciliação, comparar com o estado atual e nunca sobrescrever cegamente</w:t>
            </w:r>
          </w:p>
        </w:tc>
      </w:tr>
      <w:tr>
        <w:tc>
          <w:tcPr>
            <w:tcW w:type="dxa" w:w="2708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Reinício no meio do processamento</w:t>
            </w:r>
          </w:p>
        </w:tc>
        <w:tc>
          <w:tcPr>
            <w:tcW w:type="dxa" w:w="6318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definir </w:t>
            </w:r>
            <w:r>
              <w:rPr>
                <w:i/>
                <w:iCs/>
                <w:sz w:val="19"/>
                <w:szCs w:val="19"/>
              </w:rPr>
              <w:t xml:space="preserve">at-least-once</w:t>
            </w:r>
            <w:r>
              <w:rPr>
                <w:sz w:val="19"/>
                <w:szCs w:val="19"/>
              </w:rPr>
              <w:t xml:space="preserve"> com deduplicação no consumidor (proposta) ou </w:t>
            </w:r>
            <w:r>
              <w:rPr>
                <w:i/>
                <w:iCs/>
                <w:sz w:val="19"/>
                <w:szCs w:val="19"/>
              </w:rPr>
              <w:t xml:space="preserve">exactly-once</w:t>
            </w:r>
            <w:r>
              <w:rPr>
                <w:sz w:val="19"/>
                <w:szCs w:val="19"/>
              </w:rPr>
              <w:t xml:space="preserve"> transacional; e onde ficam as mensagens não processáveis</w:t>
            </w:r>
          </w:p>
        </w:tc>
      </w:tr>
      <w:tr>
        <w:tc>
          <w:tcPr>
            <w:tcW w:type="dxa" w:w="27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Auditoria</w:t>
            </w:r>
          </w:p>
        </w:tc>
        <w:tc>
          <w:tcPr>
            <w:tcW w:type="dxa" w:w="631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todo descarte por duplicidade deixa rastro correlacionado — chave, decisão, momento e resultado</w:t>
            </w:r>
          </w:p>
        </w:tc>
      </w:tr>
    </w:tbl>
    <w:p>
      <w:pPr>
        <w:spacing w:after="160"/>
      </w:pPr>
    </w:p>
    <w:p>
      <w:pPr>
        <w:pBdr>
          <w:left w:val="single" w:color="DCE3EF" w:sz="12" w:space="8"/>
        </w:pBdr>
        <w:spacing w:after="160" w:before="100" w:line="290"/>
        <w:ind w:left="200"/>
      </w:pPr>
      <w:r>
        <w:rPr>
          <w:i/>
          <w:iCs/>
          <w:color w:val="595959"/>
        </w:rPr>
        <w:t xml:space="preserve">Em saúde, a pergunta “por que este pedido não foi enviado duas vezes?” é auditável. Uma decisão de deduplicação sem rastro é uma decisão que não aconteceu.</w:t>
      </w:r>
    </w:p>
    <w:p>
      <w:pPr>
        <w:pageBreakBefore/>
      </w:pPr>
    </w:p>
    <w:p>
      <w:pPr>
        <w:pStyle w:val="Heading1"/>
        <w:pBdr>
          <w:bottom w:val="single" w:color="DCE3EF" w:sz="6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Baseline recomendada e limites honestos</w:t>
      </w:r>
    </w:p>
    <w:p>
      <w:pPr>
        <w:spacing w:after="140" w:line="300"/>
      </w:pPr>
      <w:r>
        <w:rPr>
          <w:b/>
          <w:bCs/>
        </w:rPr>
        <w:t xml:space="preserve">Baseline para o incremento 2:</w:t>
      </w:r>
      <w:r>
        <w:t xml:space="preserve"> uma aplicação, REST/HTTP interno, </w:t>
      </w:r>
      <w:r>
        <w:rPr>
          <w:rFonts w:ascii="Consolas" w:cs="Consolas" w:eastAsia="Consolas" w:hAnsi="Consolas"/>
          <w:sz w:val="20"/>
          <w:szCs w:val="20"/>
        </w:rPr>
        <w:t xml:space="preserve">202 Accepted</w:t>
      </w:r>
      <w:r>
        <w:t xml:space="preserve"> com </w:t>
      </w:r>
      <w:r>
        <w:rPr>
          <w:rFonts w:ascii="Consolas" w:cs="Consolas" w:eastAsia="Consolas" w:hAnsi="Consolas"/>
          <w:sz w:val="20"/>
          <w:szCs w:val="20"/>
        </w:rPr>
        <w:t xml:space="preserve">Location</w:t>
      </w:r>
      <w:r>
        <w:t xml:space="preserve">, contrato OpenAPI 3.1 explícito e versionado, adaptador planejado por parceiro. Gateway e entrega assíncrona permanecem </w:t>
      </w:r>
      <w:r>
        <w:rPr>
          <w:b/>
          <w:bCs/>
        </w:rPr>
        <w:t xml:space="preserve">condicionais</w:t>
      </w:r>
      <w:r>
        <w:t xml:space="preserve">, com gatilhos escritos.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O que a API mínima prova de fato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Semântica de aceite (</w:t>
      </w:r>
      <w:r>
        <w:rPr>
          <w:rFonts w:ascii="Consolas" w:cs="Consolas" w:eastAsia="Consolas" w:hAnsi="Consolas"/>
          <w:sz w:val="20"/>
          <w:szCs w:val="20"/>
        </w:rPr>
        <w:t xml:space="preserve">202</w:t>
      </w:r>
      <w:r>
        <w:t xml:space="preserve">) separada de decisão, com </w:t>
      </w:r>
      <w:r>
        <w:rPr>
          <w:rFonts w:ascii="Consolas" w:cs="Consolas" w:eastAsia="Consolas" w:hAnsi="Consolas"/>
          <w:sz w:val="20"/>
          <w:szCs w:val="20"/>
        </w:rPr>
        <w:t xml:space="preserve">Location</w:t>
      </w:r>
      <w:r>
        <w:t xml:space="preserve"> para recuperar o recurso.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Erro como parte do contrato: </w:t>
      </w:r>
      <w:r>
        <w:rPr>
          <w:rFonts w:ascii="Consolas" w:cs="Consolas" w:eastAsia="Consolas" w:hAnsi="Consolas"/>
          <w:sz w:val="20"/>
          <w:szCs w:val="20"/>
        </w:rPr>
        <w:t xml:space="preserve">422</w:t>
      </w:r>
      <w:r>
        <w:t xml:space="preserve"> estruturado com </w:t>
      </w:r>
      <w:r>
        <w:rPr>
          <w:rFonts w:ascii="Consolas" w:cs="Consolas" w:eastAsia="Consolas" w:hAnsi="Consolas"/>
          <w:sz w:val="20"/>
          <w:szCs w:val="20"/>
        </w:rPr>
        <w:t xml:space="preserve">codigo = dados_invalidos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Contrato explícito validável por lint (Spectral) e comparável ao contrato gerado pela aplicação, com teste automatizado que reprova a divergência.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O que ela não prova — e por isso não pode ser afirmado</w:t>
      </w:r>
    </w:p>
    <w:tbl>
      <w:tblPr>
        <w:tblW w:type="dxa" w:w="9026"/>
        <w:tblBorders>
          <w:top w:val="single" w:color="B7C0D0" w:sz="2"/>
          <w:left w:val="single" w:color="B7C0D0" w:sz="2"/>
          <w:bottom w:val="single" w:color="B7C0D0" w:sz="2"/>
          <w:right w:val="single" w:color="B7C0D0" w:sz="2"/>
          <w:insideH w:val="single" w:color="B7C0D0" w:sz="2"/>
          <w:insideV w:val="single" w:color="B7C0D0" w:sz="2"/>
        </w:tblBorders>
      </w:tblPr>
      <w:tblGrid>
        <w:gridCol w:w="2347"/>
        <w:gridCol w:w="6679"/>
      </w:tblGrid>
      <w:tr>
        <w:trPr>
          <w:tblHeader/>
        </w:trPr>
        <w:tc>
          <w:tcPr>
            <w:tcW w:type="dxa" w:w="2347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Limite</w:t>
            </w:r>
          </w:p>
        </w:tc>
        <w:tc>
          <w:tcPr>
            <w:tcW w:type="dxa" w:w="6679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Por quê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66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 estado vive em memória e desaparece no reinício</w:t>
            </w:r>
          </w:p>
        </w:tc>
      </w:tr>
      <w:tr>
        <w:tc>
          <w:tcPr>
            <w:tcW w:type="dxa" w:w="2347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Segurança</w:t>
            </w:r>
          </w:p>
        </w:tc>
        <w:tc>
          <w:tcPr>
            <w:tcW w:type="dxa" w:w="6679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não há autenticação nem autorização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Escalabilidade</w:t>
            </w:r>
          </w:p>
        </w:tc>
        <w:tc>
          <w:tcPr>
            <w:tcW w:type="dxa" w:w="66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uma instância com memória local não sobrevive a duas réplicas: 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</w:t>
            </w:r>
            <w:r>
              <w:rPr>
                <w:sz w:val="19"/>
                <w:szCs w:val="19"/>
              </w:rPr>
              <w:t xml:space="preserve"> na réplica errada devolve 404</w:t>
            </w:r>
          </w:p>
        </w:tc>
      </w:tr>
      <w:tr>
        <w:tc>
          <w:tcPr>
            <w:tcW w:type="dxa" w:w="2347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Integração externa</w:t>
            </w:r>
          </w:p>
        </w:tc>
        <w:tc>
          <w:tcPr>
            <w:tcW w:type="dxa" w:w="6679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não existe operadora nem laboratório do outro lado</w:t>
            </w:r>
          </w:p>
        </w:tc>
      </w:tr>
      <w:tr>
        <w:tc>
          <w:tcPr>
            <w:tcW w:type="dxa" w:w="234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Duplicidade</w:t>
            </w:r>
          </w:p>
        </w:tc>
        <w:tc>
          <w:tcPr>
            <w:tcW w:type="dxa" w:w="66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não há chave de idempotência nem retenção</w:t>
            </w:r>
          </w:p>
        </w:tc>
      </w:tr>
    </w:tbl>
    <w:p>
      <w:pPr>
        <w:spacing w:after="200"/>
      </w:pP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Gatilhos de revisão registrados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Indisponibilidade do parceiro acima do orçamento de erro acordado.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Necessidade de segunda instância da aplicação — o armazenamento em memória deixa de servir.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Primeiro parceiro com capacidade de notificar por webhook.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t xml:space="preserve">Primeira duplicata observada em produção.</w:t>
      </w:r>
    </w:p>
    <w:p>
      <w:pPr>
        <w:pageBreakBefore/>
      </w:pPr>
    </w:p>
    <w:p>
      <w:pPr>
        <w:pStyle w:val="Heading1"/>
        <w:pBdr>
          <w:bottom w:val="single" w:color="DCE3EF" w:sz="6" w:space="6"/>
        </w:pBdr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Consolidação para o ADR-002</w:t>
      </w:r>
    </w:p>
    <w:p>
      <w:pPr>
        <w:spacing w:after="140" w:line="300"/>
      </w:pPr>
      <w:r>
        <w:t xml:space="preserve">Cada decisão entra no ADR-002 do incremento 2 como </w:t>
      </w:r>
      <w:r>
        <w:rPr>
          <w:b/>
          <w:bCs/>
        </w:rPr>
        <w:t xml:space="preserve">alternativa registrada</w:t>
      </w:r>
      <w:r>
        <w:t xml:space="preserve">, com consequência e gatilho de revisão — nunca como escolha única sem contraditório.</w:t>
      </w:r>
    </w:p>
    <w:tbl>
      <w:tblPr>
        <w:tblW w:type="dxa" w:w="9026"/>
        <w:tblBorders>
          <w:top w:val="single" w:color="B7C0D0" w:sz="2"/>
          <w:left w:val="single" w:color="B7C0D0" w:sz="2"/>
          <w:bottom w:val="single" w:color="B7C0D0" w:sz="2"/>
          <w:right w:val="single" w:color="B7C0D0" w:sz="2"/>
          <w:insideH w:val="single" w:color="B7C0D0" w:sz="2"/>
          <w:insideV w:val="single" w:color="B7C0D0" w:sz="2"/>
        </w:tblBorders>
      </w:tblPr>
      <w:tblGrid>
        <w:gridCol w:w="1715"/>
        <w:gridCol w:w="1986"/>
        <w:gridCol w:w="2437"/>
        <w:gridCol w:w="2888"/>
      </w:tblGrid>
      <w:tr>
        <w:trPr>
          <w:tblHeader/>
        </w:trPr>
        <w:tc>
          <w:tcPr>
            <w:tcW w:type="dxa" w:w="1715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1986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Escolha</w:t>
            </w:r>
          </w:p>
        </w:tc>
        <w:tc>
          <w:tcPr>
            <w:tcW w:type="dxa" w:w="2437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Alternativas registradas</w:t>
            </w:r>
          </w:p>
        </w:tc>
        <w:tc>
          <w:tcPr>
            <w:tcW w:type="dxa" w:w="2888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Gatilho de revisão</w:t>
            </w:r>
          </w:p>
        </w:tc>
      </w:tr>
      <w:tr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1. Pedido ao laboratório</w:t>
            </w:r>
          </w:p>
        </w:tc>
        <w:tc>
          <w:tcPr>
            <w:tcW w:type="dxa" w:w="19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Contrato oficial via adaptador</w:t>
            </w:r>
          </w:p>
        </w:tc>
        <w:tc>
          <w:tcPr>
            <w:tcW w:type="dxa" w:w="24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Acesso direto ao banco; mensageria</w:t>
            </w:r>
          </w:p>
        </w:tc>
        <w:tc>
          <w:tcPr>
            <w:tcW w:type="dxa" w:w="288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Indisponibilidade acima do orçamento de erro; volume; necessidade de retomada</w:t>
            </w:r>
          </w:p>
        </w:tc>
      </w:tr>
      <w:tr>
        <w:tc>
          <w:tcPr>
            <w:tcW w:type="dxa" w:w="1715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2. Tradução TISS</w:t>
            </w:r>
          </w:p>
        </w:tc>
        <w:tc>
          <w:tcPr>
            <w:tcW w:type="dxa" w:w="1986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 adaptador (ACL)</w:t>
            </w:r>
          </w:p>
        </w:tc>
        <w:tc>
          <w:tcPr>
            <w:tcW w:type="dxa" w:w="2437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 gateway; padronizar tudo em SOAP</w:t>
            </w:r>
          </w:p>
        </w:tc>
        <w:tc>
          <w:tcPr>
            <w:tcW w:type="dxa" w:w="2888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Nenhum — mover para o gateway seria regressão de projeto</w:t>
            </w:r>
          </w:p>
        </w:tc>
      </w:tr>
      <w:tr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3.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matricula_plano</w:t>
            </w:r>
          </w:p>
        </w:tc>
        <w:tc>
          <w:tcPr>
            <w:tcW w:type="dxa" w:w="19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Pertence à operadora</w:t>
            </w:r>
          </w:p>
        </w:tc>
        <w:tc>
          <w:tcPr>
            <w:tcW w:type="dxa" w:w="24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Pertence ao domínio da plataforma</w:t>
            </w:r>
          </w:p>
        </w:tc>
        <w:tc>
          <w:tcPr>
            <w:tcW w:type="dxa" w:w="288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Operadora publicar identificador estável e público</w:t>
            </w:r>
          </w:p>
        </w:tc>
      </w:tr>
      <w:tr>
        <w:tc>
          <w:tcPr>
            <w:tcW w:type="dxa" w:w="1715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4. Aviso de exame pronto</w:t>
            </w:r>
          </w:p>
        </w:tc>
        <w:tc>
          <w:tcPr>
            <w:tcW w:type="dxa" w:w="1986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Webhook + reconciliação</w:t>
            </w:r>
          </w:p>
        </w:tc>
        <w:tc>
          <w:tcPr>
            <w:tcW w:type="dxa" w:w="2437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Polling fixo; polling adaptativo; WebSocket</w:t>
            </w:r>
          </w:p>
        </w:tc>
        <w:tc>
          <w:tcPr>
            <w:tcW w:type="dxa" w:w="2888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Parceiro sem capacidade de notificar; volume de notificações</w:t>
            </w:r>
          </w:p>
        </w:tc>
      </w:tr>
      <w:tr>
        <w:tc>
          <w:tcPr>
            <w:tcW w:type="dxa" w:w="171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5. Confiabilidade</w:t>
            </w:r>
          </w:p>
        </w:tc>
        <w:tc>
          <w:tcPr>
            <w:tcW w:type="dxa" w:w="198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REST síncrono com estado explícito</w:t>
            </w:r>
          </w:p>
        </w:tc>
        <w:tc>
          <w:tcPr>
            <w:tcW w:type="dxa" w:w="24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Mensageria com idempotência</w:t>
            </w:r>
          </w:p>
        </w:tc>
        <w:tc>
          <w:tcPr>
            <w:tcW w:type="dxa" w:w="288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Fechar chave de negócio, retenção e regra de duplicidade</w:t>
            </w:r>
          </w:p>
        </w:tc>
      </w:tr>
    </w:tbl>
    <w:p>
      <w:pPr>
        <w:spacing w:after="240"/>
      </w:pP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2E5C9A"/>
          <w:sz w:val="25"/>
          <w:szCs w:val="25"/>
        </w:rPr>
        <w:t xml:space="preserve">Evidências executadas que sustentam este documento</w:t>
      </w:r>
    </w:p>
    <w:p>
      <w:pPr>
        <w:spacing w:after="140" w:line="300"/>
      </w:pPr>
      <w:r>
        <w:t xml:space="preserve">As decisões acima foram exercitadas na oficina de ferramentas do mesmo módulo. O repositório com o código, o contrato e as evidências está em </w:t>
      </w:r>
      <w:r>
        <w:rPr>
          <w:rFonts w:ascii="Consolas" w:cs="Consolas" w:eastAsia="Consolas" w:hAnsi="Consolas"/>
          <w:sz w:val="20"/>
          <w:szCs w:val="20"/>
        </w:rPr>
        <w:t xml:space="preserve">github.com/Gabrielkr28/arquitetura-software-modulo2-apis</w:t>
      </w:r>
      <w:r>
        <w:t xml:space="preserve">.</w:t>
      </w:r>
    </w:p>
    <w:tbl>
      <w:tblPr>
        <w:tblW w:type="dxa" w:w="9026"/>
        <w:tblBorders>
          <w:top w:val="single" w:color="B7C0D0" w:sz="2"/>
          <w:left w:val="single" w:color="B7C0D0" w:sz="2"/>
          <w:bottom w:val="single" w:color="B7C0D0" w:sz="2"/>
          <w:right w:val="single" w:color="B7C0D0" w:sz="2"/>
          <w:insideH w:val="single" w:color="B7C0D0" w:sz="2"/>
          <w:insideV w:val="single" w:color="B7C0D0" w:sz="2"/>
        </w:tblBorders>
      </w:tblPr>
      <w:tblGrid>
        <w:gridCol w:w="3791"/>
        <w:gridCol w:w="5235"/>
      </w:tblGrid>
      <w:tr>
        <w:trPr>
          <w:tblHeader/>
        </w:trPr>
        <w:tc>
          <w:tcPr>
            <w:tcW w:type="dxa" w:w="3791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Evidência</w:t>
            </w:r>
          </w:p>
        </w:tc>
        <w:tc>
          <w:tcPr>
            <w:tcW w:type="dxa" w:w="5235"/>
            <w:shd w:fill="DCE3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Resultado obtido</w:t>
            </w:r>
          </w:p>
        </w:tc>
      </w:tr>
      <w:tr>
        <w:tc>
          <w:tcPr>
            <w:tcW w:type="dxa" w:w="37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Testes de contrato (pytest + TestClient)</w:t>
            </w:r>
          </w:p>
        </w:tc>
        <w:tc>
          <w:tcPr>
            <w:tcW w:type="dxa" w:w="52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7 aprovados</w:t>
            </w:r>
          </w:p>
        </w:tc>
      </w:tr>
      <w:tr>
        <w:tc>
          <w:tcPr>
            <w:tcW w:type="dxa" w:w="3791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Lint do contrato (Spectral 6.16.1)</w:t>
            </w:r>
          </w:p>
        </w:tc>
        <w:tc>
          <w:tcPr>
            <w:tcW w:type="dxa" w:w="5235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sem erros</w:t>
            </w:r>
          </w:p>
        </w:tc>
      </w:tr>
      <w:tr>
        <w:tc>
          <w:tcPr>
            <w:tcW w:type="dxa" w:w="37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Falha deliberada no exemplo de mídia</w:t>
            </w:r>
          </w:p>
        </w:tc>
        <w:tc>
          <w:tcPr>
            <w:tcW w:type="dxa" w:w="52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 erro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oas3-valid-media-example</w:t>
            </w:r>
            <w:r>
              <w:rPr>
                <w:sz w:val="19"/>
                <w:szCs w:val="19"/>
              </w:rPr>
              <w:t xml:space="preserve">, detectado sem chamar a API</w:t>
            </w:r>
          </w:p>
        </w:tc>
      </w:tr>
      <w:tr>
        <w:tc>
          <w:tcPr>
            <w:tcW w:type="dxa" w:w="3791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Execução HTTP real</w:t>
            </w:r>
          </w:p>
        </w:tc>
        <w:tc>
          <w:tcPr>
            <w:tcW w:type="dxa" w:w="5235"/>
            <w:shd w:fill="F4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202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Location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422</w:t>
            </w:r>
            <w:r>
              <w:rPr>
                <w:sz w:val="19"/>
                <w:szCs w:val="19"/>
              </w:rPr>
              <w:t xml:space="preserve"> estruturado,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404</w:t>
            </w:r>
            <w:r>
              <w:rPr>
                <w:sz w:val="19"/>
                <w:szCs w:val="19"/>
              </w:rPr>
              <w:t xml:space="preserve"> explícito</w:t>
            </w:r>
          </w:p>
        </w:tc>
      </w:tr>
      <w:tr>
        <w:tc>
          <w:tcPr>
            <w:tcW w:type="dxa" w:w="37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Gateway Ocelot roteando duas APIs</w:t>
            </w:r>
          </w:p>
        </w:tc>
        <w:tc>
          <w:tcPr>
            <w:tcW w:type="dxa" w:w="523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200</w:t>
            </w:r>
            <w:r>
              <w:rPr>
                <w:sz w:val="19"/>
                <w:szCs w:val="19"/>
              </w:rPr>
              <w:t xml:space="preserve"> nas duas rotas, sem o consumidor conhecer as portas internas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de caso — integrar hospital, operadora e laboratório</dc:title>
  <dc:creator>Gabriel Krzizanowski</dc:creator>
  <dc:description>Resolução do estudo de caso do módulo 2 (APIs) — Arquitetura de Software</dc:description>
  <cp:lastModifiedBy>Un-named</cp:lastModifiedBy>
  <cp:revision>1</cp:revision>
  <dcterms:created xsi:type="dcterms:W3CDTF">2026-08-29T03:56:15.618Z</dcterms:created>
  <dcterms:modified xsi:type="dcterms:W3CDTF">2026-08-29T03:56:15.618Z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