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right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jc w:val="right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drawing>
          <wp:inline distT="0" distB="0" distL="114300" distR="114300">
            <wp:extent cx="1858010" cy="401320"/>
            <wp:effectExtent l="0" t="0" r="8890" b="17780"/>
            <wp:docPr id="1" name="Imagem 1" descr="E-Rec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-Recr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Equipe de Desenvolvimento</w:t>
      </w: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</w:p>
    <w:tbl>
      <w:tblPr>
        <w:tblStyle w:val="4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267"/>
        <w:gridCol w:w="1172"/>
        <w:gridCol w:w="1462"/>
        <w:gridCol w:w="1465"/>
        <w:gridCol w:w="1464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47" w:type="dxa"/>
          </w:tcPr>
          <w:p>
            <w:pPr>
              <w:jc w:val="center"/>
              <w:rPr>
                <w:rFonts w:hint="default" w:ascii="Arial Unicode MS" w:hAnsi="Arial Unicode MS" w:eastAsia="Arial Unicode MS" w:cs="Arial Unicode MS"/>
                <w:sz w:val="24"/>
                <w:szCs w:val="24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lang w:val="pt-BR"/>
              </w:rPr>
              <w:t>Membros</w:t>
            </w:r>
          </w:p>
        </w:tc>
        <w:tc>
          <w:tcPr>
            <w:tcW w:w="126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Design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Desenvovimento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Documentação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Tester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Product Owner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Scrum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4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lang w:val="pt-BR"/>
              </w:rPr>
              <w:t>Erico Junior</w:t>
            </w:r>
          </w:p>
        </w:tc>
        <w:tc>
          <w:tcPr>
            <w:tcW w:w="126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4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Gabriel Leite</w:t>
            </w:r>
          </w:p>
        </w:tc>
        <w:tc>
          <w:tcPr>
            <w:tcW w:w="126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94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Josimar Cândido</w:t>
            </w:r>
          </w:p>
        </w:tc>
        <w:tc>
          <w:tcPr>
            <w:tcW w:w="126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94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Lucas Andrade</w:t>
            </w:r>
          </w:p>
        </w:tc>
        <w:tc>
          <w:tcPr>
            <w:tcW w:w="126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194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Matheus Lima</w:t>
            </w:r>
          </w:p>
        </w:tc>
        <w:tc>
          <w:tcPr>
            <w:tcW w:w="126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194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Samuel Souza</w:t>
            </w:r>
          </w:p>
        </w:tc>
        <w:tc>
          <w:tcPr>
            <w:tcW w:w="126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94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Vitor Augusto</w:t>
            </w:r>
          </w:p>
        </w:tc>
        <w:tc>
          <w:tcPr>
            <w:tcW w:w="1267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-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Escopo do Produto</w:t>
      </w:r>
    </w:p>
    <w:p>
      <w:pPr>
        <w:ind w:firstLine="420" w:firstLine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E-Recruit é um plataforma para recrutamento e seleção de candidatos para vagas de emprego em uma determinada empresa.</w:t>
      </w:r>
    </w:p>
    <w:p>
      <w:pPr>
        <w:jc w:val="both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Uma das principais funcionalidades da plataforma é a pré-entrevista, em que o candidato se submete a uma pré-entrevista com um chatbot após selecionar uma vaga de interesse. O candidato também poderá se pré candidatar a uma área de interesse para recebimento de notificações sobre o surgimento de novas vagas.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Definição do Processo</w:t>
      </w:r>
    </w:p>
    <w:p>
      <w:pPr>
        <w:jc w:val="both"/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 xml:space="preserve">Etapas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Levantamento e especificação de requisitos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Artefatos: Documento de especificação de requisitos, historia de usuários.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Planejamento do desenvolvimento do projeto.</w:t>
      </w:r>
    </w:p>
    <w:p>
      <w:pPr>
        <w:numPr>
          <w:numId w:val="0"/>
        </w:numPr>
        <w:jc w:val="both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projeto será desenvolvido utilizando técnicas tradicionais no que concerne a documentação e a analise de riscos, no entanto, serão aplicadas metodologias ágeis durante o processo de elicitação de requisitos, desenvolvimento e integração com os s</w:t>
      </w:r>
      <w:r>
        <w:rPr>
          <w:rFonts w:hint="eastAsia" w:ascii="Arial Unicode MS" w:hAnsi="Arial Unicode MS" w:eastAsia="Arial Unicode MS" w:cs="Arial Unicode MS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takeholder</w:t>
      </w:r>
      <w:r>
        <w:rPr>
          <w:rFonts w:hint="default" w:ascii="Arial Unicode MS" w:hAnsi="Arial Unicode MS" w:eastAsia="Arial Unicode MS" w:cs="Arial Unicode MS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s, visando, a aplicação das melhores práticas conforme mencionado anteriormente a cada ciclo de desenvolvimento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.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Scrum</w:t>
      </w:r>
    </w:p>
    <w:p>
      <w:pPr>
        <w:numPr>
          <w:ilvl w:val="0"/>
          <w:numId w:val="0"/>
        </w:numPr>
        <w:tabs>
          <w:tab w:val="clear" w:pos="420"/>
        </w:tabs>
        <w:ind w:left="840"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  <w:drawing>
          <wp:inline distT="0" distB="0" distL="114300" distR="114300">
            <wp:extent cx="5266690" cy="3553460"/>
            <wp:effectExtent l="0" t="0" r="10160" b="8890"/>
            <wp:docPr id="2" name="Imagem 2" descr="REC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CRU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Para gestão de projetos, doravante fica eleita a ferramenta Trello.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018789">
    <w:nsid w:val="59963F25"/>
    <w:multiLevelType w:val="multilevel"/>
    <w:tmpl w:val="59963F2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030187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17EF4"/>
    <w:rsid w:val="49117EF4"/>
    <w:rsid w:val="6D7A48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2017-08-18T00:45:00Z</dcterms:created>
  <dc:creator>unievangelica</dc:creator>
  <cp:lastModifiedBy>unievangelica</cp:lastModifiedBy>
  <dcterms:modified xsi:type="dcterms:W3CDTF">2017-08-25T00:52:51Z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