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2021-10-08</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t xml:space="preserve">I will also use case incidence data from the Texas Health Department, as of 10/3/2021.</w:t>
      </w:r>
    </w:p>
    <w:p>
      <w:pPr>
        <w:pStyle w:val="Heading2"/>
      </w:pPr>
      <w:bookmarkStart w:id="25" w:name="questionshypotheses-to-be-addressed"/>
      <w:bookmarkEnd w:id="25"/>
      <w:r>
        <w:t xml:space="preserve">Questions/Hypotheses to be addressed</w:t>
      </w:r>
    </w:p>
    <w:p>
      <w:pPr>
        <w:pStyle w:val="FirstParagraph"/>
      </w:pPr>
      <w:r>
        <w:t xml:space="preserve">Using case incidence data, assess spatial heterogeneity (county-level) of SARS-CoV-2 in Texas.</w:t>
      </w:r>
    </w:p>
    <w:p>
      <w:pPr>
        <w:pStyle w:val="Heading1"/>
      </w:pPr>
      <w:bookmarkStart w:id="26" w:name="methods-and-results"/>
      <w:bookmarkEnd w:id="26"/>
      <w:r>
        <w:t xml:space="preserve">Methods and Results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an epi curve produced by one of the R scripts.</w:t>
      </w:r>
    </w:p>
    <w:p>
      <w:pPr>
        <w:pStyle w:val="FigureWithCaption"/>
      </w:pPr>
      <w:r>
        <w:drawing>
          <wp:inline>
            <wp:extent cx="5334000" cy="5334000"/>
            <wp:effectExtent b="0" l="0" r="0" t="0"/>
            <wp:docPr descr="Figure 3.1: Epi Curve." id="1" name="Picture"/>
            <a:graphic>
              <a:graphicData uri="http://schemas.openxmlformats.org/drawingml/2006/picture">
                <pic:pic>
                  <pic:nvPicPr>
                    <pic:cNvPr descr="../../results/epicurve.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Epi Curve.</w:t>
      </w:r>
    </w:p>
    <w:p>
      <w:pPr>
        <w:pStyle w:val="Heading2"/>
      </w:pPr>
      <w:bookmarkStart w:id="31" w:name="full-analysis"/>
      <w:bookmarkEnd w:id="31"/>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2" w:name="discussion"/>
      <w:bookmarkEnd w:id="32"/>
      <w:r>
        <w:t xml:space="preserve">Discussion</w:t>
      </w:r>
    </w:p>
    <w:p>
      <w:pPr>
        <w:pStyle w:val="Heading2"/>
      </w:pPr>
      <w:bookmarkStart w:id="33" w:name="summary-and-interpretation"/>
      <w:bookmarkEnd w:id="33"/>
      <w:r>
        <w:t xml:space="preserve">Summary and Interpretation</w:t>
      </w:r>
    </w:p>
    <w:p>
      <w:pPr>
        <w:pStyle w:val="FirstParagraph"/>
      </w:pPr>
      <w:r>
        <w:rPr>
          <w:i/>
        </w:rPr>
        <w:t xml:space="preserve">Summarize what you did, what you found and what it means.</w:t>
      </w:r>
    </w:p>
    <w:p>
      <w:pPr>
        <w:pStyle w:val="Heading2"/>
      </w:pPr>
      <w:bookmarkStart w:id="34" w:name="strengths-and-limitations"/>
      <w:bookmarkEnd w:id="34"/>
      <w:r>
        <w:t xml:space="preserve">Strengths and Limitations</w:t>
      </w:r>
    </w:p>
    <w:p>
      <w:pPr>
        <w:pStyle w:val="FirstParagraph"/>
      </w:pPr>
      <w:r>
        <w:rPr>
          <w:i/>
        </w:rPr>
        <w:t xml:space="preserve">Discuss what you perceive as strengths and limitations of your analysis.</w:t>
      </w:r>
    </w:p>
    <w:p>
      <w:pPr>
        <w:pStyle w:val="Heading2"/>
      </w:pPr>
      <w:bookmarkStart w:id="35" w:name="conclusions"/>
      <w:bookmarkEnd w:id="35"/>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7" w:name="references"/>
      <w:bookmarkEnd w:id="37"/>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aa24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2021-10-08T19:08:09Z</dcterms:created>
  <dcterms:modified xsi:type="dcterms:W3CDTF">2021-10-08T19:08:09Z</dcterms:modified>
</cp:coreProperties>
</file>