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7353F0" w:rsidTr="00DE6A1B">
        <w:tc>
          <w:tcPr>
            <w:tcW w:w="2494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pStyle w:val="Kop3"/>
              <w:outlineLvl w:val="2"/>
            </w:pPr>
            <w:r w:rsidRPr="00C01795">
              <w:rPr>
                <w:color w:val="FFFFFF" w:themeColor="background1"/>
              </w:rPr>
              <w:t>Functionaliteit</w:t>
            </w:r>
          </w:p>
        </w:tc>
        <w:tc>
          <w:tcPr>
            <w:tcW w:w="6856" w:type="dxa"/>
            <w:tcMar>
              <w:top w:w="108" w:type="dxa"/>
              <w:bottom w:w="108" w:type="dxa"/>
            </w:tcMar>
          </w:tcPr>
          <w:p w:rsidR="007353F0" w:rsidRPr="00C01795" w:rsidRDefault="008A4525" w:rsidP="00DE6A1B">
            <w:pPr>
              <w:pStyle w:val="Kop3"/>
              <w:outlineLvl w:val="2"/>
            </w:pPr>
            <w:r>
              <w:t>[</w:t>
            </w:r>
            <w:proofErr w:type="spellStart"/>
            <w:r>
              <w:t>opleiding</w:t>
            </w:r>
            <w:proofErr w:type="spellEnd"/>
            <w:r w:rsidR="007353F0">
              <w:t>]</w:t>
            </w:r>
          </w:p>
        </w:tc>
      </w:tr>
    </w:tbl>
    <w:p w:rsidR="007353F0" w:rsidRDefault="007353F0" w:rsidP="007353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7"/>
        <w:gridCol w:w="988"/>
        <w:gridCol w:w="906"/>
        <w:gridCol w:w="1777"/>
        <w:gridCol w:w="989"/>
        <w:gridCol w:w="988"/>
        <w:gridCol w:w="1465"/>
      </w:tblGrid>
      <w:tr w:rsidR="007353F0" w:rsidRPr="008A452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r w:rsidRPr="00105353">
              <w:rPr>
                <w:b/>
                <w:color w:val="8EAADB" w:themeColor="accent1" w:themeTint="99"/>
              </w:rPr>
              <w:t>Scenario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rPr>
                <w:lang w:val="nl-NL"/>
              </w:rPr>
            </w:pPr>
            <w:r w:rsidRPr="00C01795">
              <w:rPr>
                <w:b/>
                <w:i/>
                <w:color w:val="FF0000"/>
                <w:lang w:val="nl-NL"/>
              </w:rPr>
              <w:t>Fout</w:t>
            </w:r>
            <w:r>
              <w:rPr>
                <w:b/>
                <w:i/>
                <w:color w:val="FF0000"/>
                <w:lang w:val="nl-NL"/>
              </w:rPr>
              <w:t xml:space="preserve"> </w:t>
            </w:r>
            <w:r w:rsidRPr="007353F0">
              <w:rPr>
                <w:b/>
                <w:lang w:val="nl-NL"/>
              </w:rPr>
              <w:t>/</w:t>
            </w:r>
            <w:r>
              <w:rPr>
                <w:b/>
                <w:color w:val="FF0000"/>
                <w:lang w:val="nl-NL"/>
              </w:rPr>
              <w:t xml:space="preserve"> </w:t>
            </w:r>
            <w:r w:rsidRPr="007353F0">
              <w:rPr>
                <w:b/>
                <w:color w:val="00B050"/>
                <w:lang w:val="nl-NL"/>
              </w:rPr>
              <w:t>Goed</w:t>
            </w:r>
            <w:r w:rsidRPr="00C01795">
              <w:rPr>
                <w:i/>
                <w:lang w:val="nl-NL"/>
              </w:rPr>
              <w:br/>
            </w:r>
            <w:r w:rsidR="008A4525">
              <w:rPr>
                <w:i/>
                <w:color w:val="B4C6E7" w:themeColor="accent1" w:themeTint="66"/>
                <w:lang w:val="nl-NL"/>
              </w:rPr>
              <w:t>bij de opleiding heb je 2 cards met informatie.</w:t>
            </w:r>
            <w:bookmarkStart w:id="0" w:name="_GoBack"/>
            <w:bookmarkEnd w:id="0"/>
          </w:p>
        </w:tc>
      </w:tr>
      <w:tr w:rsidR="007353F0" w:rsidRPr="008A452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Actie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7353F0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>Noteer de stappen die de tester moet volgen. Vergeet hierbij niet de belangrijke informatie zoals e-mail en wachtwoord. Zo kan de test gemakkelijk opnieuw worden uitgevoerd op dezelfde wijze.</w:t>
            </w:r>
          </w:p>
        </w:tc>
      </w:tr>
      <w:tr w:rsidR="007353F0" w:rsidRPr="00105353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Verwacht</w:t>
            </w:r>
            <w:proofErr w:type="spellEnd"/>
            <w:r w:rsidRPr="00105353">
              <w:rPr>
                <w:b/>
                <w:color w:val="8EAADB" w:themeColor="accent1" w:themeTint="99"/>
              </w:rPr>
              <w:t xml:space="preserve"> </w:t>
            </w:r>
            <w:proofErr w:type="spellStart"/>
            <w:r w:rsidRPr="00105353">
              <w:rPr>
                <w:b/>
                <w:color w:val="8EAADB" w:themeColor="accent1" w:themeTint="99"/>
              </w:rPr>
              <w:t>resultaat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wat het verwachte resultaat moet zijn. Hoe zou de functionaliteit MOETEN werken. Niet hoe de functionaliteit nu werkt.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i/>
                <w:color w:val="FFFFFF" w:themeColor="background1"/>
              </w:rPr>
            </w:pPr>
            <w:r w:rsidRPr="00105353">
              <w:rPr>
                <w:b/>
                <w:i/>
                <w:color w:val="FFFFFF" w:themeColor="background1"/>
              </w:rPr>
              <w:t>Werkelijk resultaat</w:t>
            </w:r>
            <w:r>
              <w:rPr>
                <w:b/>
                <w:i/>
                <w:color w:val="FFFFFF" w:themeColor="background1"/>
              </w:rPr>
              <w:t>*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7353F0" w:rsidP="00DE6A1B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353F0" w:rsidRPr="008A452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Aanpassingen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de aanpassingen die de developers moeten doen.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7353F0">
              <w:rPr>
                <w:b/>
                <w:color w:val="B4C6E7" w:themeColor="accent1" w:themeTint="66"/>
              </w:rPr>
              <w:t>Uitvoering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Uren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 xml:space="preserve">1 </w:t>
            </w:r>
            <w:proofErr w:type="spellStart"/>
            <w:r w:rsidRPr="007353F0">
              <w:rPr>
                <w:i/>
                <w:color w:val="B4C6E7" w:themeColor="accent1" w:themeTint="66"/>
              </w:rPr>
              <w:t>uur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Prioriteit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Hoge</w:t>
            </w:r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Door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Malotaux</w:t>
            </w:r>
          </w:p>
        </w:tc>
      </w:tr>
    </w:tbl>
    <w:p w:rsidR="004A1CDC" w:rsidRDefault="004A1CDC"/>
    <w:sectPr w:rsidR="004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Libre Baskerville">
    <w:altName w:val="Times New Roman"/>
    <w:charset w:val="00"/>
    <w:family w:val="auto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5C"/>
    <w:multiLevelType w:val="hybridMultilevel"/>
    <w:tmpl w:val="689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0"/>
    <w:rsid w:val="004A1CDC"/>
    <w:rsid w:val="007353F0"/>
    <w:rsid w:val="008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80544-92B6-400E-88B9-089A779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353F0"/>
    <w:pPr>
      <w:spacing w:after="120" w:line="264" w:lineRule="auto"/>
    </w:pPr>
    <w:rPr>
      <w:rFonts w:ascii="Montserrat Light" w:eastAsiaTheme="minorEastAsia" w:hAnsi="Montserrat Light"/>
      <w:sz w:val="26"/>
      <w:szCs w:val="26"/>
    </w:rPr>
  </w:style>
  <w:style w:type="paragraph" w:styleId="Kop1">
    <w:name w:val="heading 1"/>
    <w:basedOn w:val="Geenafstand"/>
    <w:next w:val="Standaard"/>
    <w:link w:val="Kop1Char"/>
    <w:uiPriority w:val="9"/>
    <w:qFormat/>
    <w:rsid w:val="007353F0"/>
    <w:pPr>
      <w:outlineLvl w:val="0"/>
    </w:pPr>
    <w:rPr>
      <w:rFonts w:ascii="Libre Baskerville" w:hAnsi="Libre Baskerville"/>
      <w:b/>
      <w:color w:val="4472C4" w:themeColor="accent1"/>
      <w:sz w:val="56"/>
      <w:szCs w:val="5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53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3F0"/>
    <w:rPr>
      <w:rFonts w:ascii="Libre Baskerville" w:eastAsiaTheme="minorEastAsia" w:hAnsi="Libre Baskerville"/>
      <w:b/>
      <w:color w:val="4472C4" w:themeColor="accent1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7353F0"/>
    <w:rPr>
      <w:rFonts w:ascii="Montserrat Light" w:eastAsiaTheme="majorEastAsia" w:hAnsi="Montserrat Light" w:cstheme="majorBidi"/>
      <w:b/>
      <w:color w:val="1F3763" w:themeColor="accent1" w:themeShade="7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353F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53F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53F0"/>
    <w:pPr>
      <w:ind w:left="720"/>
      <w:contextualSpacing/>
    </w:pPr>
  </w:style>
  <w:style w:type="paragraph" w:styleId="Geenafstand">
    <w:name w:val="No Spacing"/>
    <w:uiPriority w:val="1"/>
    <w:qFormat/>
    <w:rsid w:val="007353F0"/>
    <w:pPr>
      <w:spacing w:after="0" w:line="240" w:lineRule="auto"/>
    </w:pPr>
    <w:rPr>
      <w:rFonts w:ascii="Montserrat Light" w:eastAsiaTheme="minorEastAsia" w:hAnsi="Montserrat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MBO Utrecht</cp:lastModifiedBy>
  <cp:revision>2</cp:revision>
  <dcterms:created xsi:type="dcterms:W3CDTF">2019-12-12T19:41:00Z</dcterms:created>
  <dcterms:modified xsi:type="dcterms:W3CDTF">2019-12-12T19:41:00Z</dcterms:modified>
</cp:coreProperties>
</file>