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9AF5B" w14:textId="77777777" w:rsidR="00BE7614" w:rsidRDefault="00BE7614" w:rsidP="00BE7614"/>
    <w:p w14:paraId="77B1BA27" w14:textId="3BEAAFEF" w:rsidR="00BE7614" w:rsidRPr="00BE7614" w:rsidRDefault="00BE7614" w:rsidP="00BE7614">
      <w:pPr>
        <w:jc w:val="center"/>
        <w:rPr>
          <w:b/>
          <w:bCs/>
          <w:sz w:val="28"/>
          <w:szCs w:val="28"/>
          <w:u w:val="single"/>
        </w:rPr>
      </w:pPr>
      <w:r w:rsidRPr="00BE7614">
        <w:rPr>
          <w:b/>
          <w:bCs/>
          <w:sz w:val="28"/>
          <w:szCs w:val="28"/>
          <w:u w:val="single"/>
        </w:rPr>
        <w:t>GROUP DELAY METRIC</w:t>
      </w:r>
      <w:r>
        <w:rPr>
          <w:b/>
          <w:bCs/>
          <w:sz w:val="28"/>
          <w:szCs w:val="28"/>
          <w:u w:val="single"/>
        </w:rPr>
        <w:t>: Research and definition</w:t>
      </w:r>
    </w:p>
    <w:p w14:paraId="356D3E6A" w14:textId="77777777" w:rsidR="00BE7614" w:rsidRDefault="00BE7614" w:rsidP="00BE7614">
      <w:pPr>
        <w:rPr>
          <w:b/>
          <w:bCs/>
        </w:rPr>
      </w:pPr>
    </w:p>
    <w:p w14:paraId="64573C96" w14:textId="6EB13EFE" w:rsidR="007D1396" w:rsidRDefault="007D1396" w:rsidP="00BE7614">
      <w:pPr>
        <w:rPr>
          <w:b/>
          <w:bCs/>
        </w:rPr>
      </w:pPr>
      <w:r>
        <w:rPr>
          <w:b/>
          <w:bCs/>
        </w:rPr>
        <w:t>The importance of group delay (GD)</w:t>
      </w:r>
    </w:p>
    <w:p w14:paraId="52AD23AD" w14:textId="6CDA327B" w:rsidR="00E6460B" w:rsidRPr="00EA0A6E" w:rsidRDefault="007D1396" w:rsidP="00E6460B">
      <w:pPr>
        <w:rPr>
          <w:rFonts w:ascii="Times New Roman" w:hAnsi="Times New Roman" w:cs="Times New Roman"/>
        </w:rPr>
      </w:pPr>
      <w:r>
        <w:t xml:space="preserve">GD can affect the subjective perception of a signal. It can cause </w:t>
      </w:r>
      <w:r w:rsidRPr="007D1396">
        <w:t>“coloration” of the signal for high group delays, poorer active noise cancellation, inaccurate localization of sound.</w:t>
      </w:r>
    </w:p>
    <w:p w14:paraId="11CFE1DA" w14:textId="112A8C15" w:rsidR="007D1396" w:rsidRDefault="00E6460B" w:rsidP="00BE7614">
      <w:r w:rsidRPr="00E6460B">
        <w:t xml:space="preserve">To avoid </w:t>
      </w:r>
      <w:r>
        <w:t>these unwanted effects</w:t>
      </w:r>
      <w:r w:rsidRPr="00E6460B">
        <w:t>,</w:t>
      </w:r>
      <w:r>
        <w:t xml:space="preserve"> requirements for</w:t>
      </w:r>
      <w:r w:rsidRPr="00E6460B">
        <w:t xml:space="preserve"> the measured group delay curve </w:t>
      </w:r>
      <w:r>
        <w:t>are to</w:t>
      </w:r>
      <w:r w:rsidRPr="00E6460B">
        <w:t xml:space="preserve"> be flat so that there is equal latency for all frequencie</w:t>
      </w:r>
      <w:r>
        <w:t>s, and to be below certain tolerance limits</w:t>
      </w:r>
      <w:r w:rsidRPr="00E6460B">
        <w:t>.</w:t>
      </w:r>
    </w:p>
    <w:p w14:paraId="284CAFB6" w14:textId="77777777" w:rsidR="00E27C37" w:rsidRPr="007D1396" w:rsidRDefault="00E27C37" w:rsidP="00BE7614"/>
    <w:p w14:paraId="587D3D35" w14:textId="4AABF3BD" w:rsidR="00BE7614" w:rsidRPr="00BE7614" w:rsidRDefault="00BE7614" w:rsidP="00BE7614">
      <w:pPr>
        <w:rPr>
          <w:b/>
          <w:bCs/>
        </w:rPr>
      </w:pPr>
      <w:r w:rsidRPr="00BE7614">
        <w:rPr>
          <w:b/>
          <w:bCs/>
        </w:rPr>
        <w:t xml:space="preserve">Initializing </w:t>
      </w:r>
      <w:r>
        <w:rPr>
          <w:b/>
          <w:bCs/>
        </w:rPr>
        <w:t xml:space="preserve">the </w:t>
      </w:r>
      <w:r w:rsidRPr="00BE7614">
        <w:rPr>
          <w:b/>
          <w:bCs/>
        </w:rPr>
        <w:t>upper/lower tolerances and ideal amount of group delay</w:t>
      </w:r>
      <w:r w:rsidR="00E6460B">
        <w:rPr>
          <w:b/>
          <w:bCs/>
        </w:rPr>
        <w:t xml:space="preserve"> (Figure 1)</w:t>
      </w:r>
    </w:p>
    <w:p w14:paraId="7F5F7D5F" w14:textId="204D4AF4" w:rsidR="00BE7614" w:rsidRDefault="00BE7614" w:rsidP="00BE7614">
      <w:r>
        <w:t>80ms is the upper tolerance limit. As found by [1], audio-visual intelligibility suffers when group-delay is equal to or bigger than 80 msec.</w:t>
      </w:r>
    </w:p>
    <w:p w14:paraId="44CC7CEB" w14:textId="2BC0F275" w:rsidR="00BE7614" w:rsidRDefault="00BE7614" w:rsidP="00BE7614">
      <w:r>
        <w:t>Ideally, there is no group delay, so the ideal curve is at 0 msec.</w:t>
      </w:r>
      <w:r w:rsidR="009E6592" w:rsidRPr="009E6592">
        <w:t xml:space="preserve"> </w:t>
      </w:r>
      <w:r w:rsidR="009E6592">
        <w:t>This is the lower limit. Additionally,</w:t>
      </w:r>
      <w:r>
        <w:t xml:space="preserve"> [2]'s findings show that a </w:t>
      </w:r>
      <w:r w:rsidR="009E6592">
        <w:t xml:space="preserve">variation </w:t>
      </w:r>
      <w:r>
        <w:t xml:space="preserve">group delay of 1 msec in the frequency range from 300 Hz to 1 kHz is inaudible. </w:t>
      </w:r>
    </w:p>
    <w:p w14:paraId="1FF46A43" w14:textId="30E4945E" w:rsidR="00BE7614" w:rsidRDefault="00BE7614" w:rsidP="00710EA6">
      <w:r>
        <w:t>Intermediate acceptable group delay values were found by [3]. They are the minimum perceptible group delays following human thresholds of audibility.</w:t>
      </w:r>
      <w:r w:rsidR="00E6460B">
        <w:t xml:space="preserve"> </w:t>
      </w:r>
      <w:r w:rsidR="00EA1D77" w:rsidRPr="00EA1D77">
        <w:t>Values below 500Hz and above 8kHz have been extrapolated</w:t>
      </w:r>
      <w:r w:rsidR="00EA1D77">
        <w:t xml:space="preserve"> to extend to the human hearing range.</w:t>
      </w:r>
      <w:r w:rsidR="00710EA6">
        <w:t xml:space="preserve"> Figure 1 shows that at lower or higher frequencies more delay can be tolerated before its perception.</w:t>
      </w:r>
    </w:p>
    <w:p w14:paraId="70DA08CF" w14:textId="77777777" w:rsidR="00EA1D77" w:rsidRDefault="00EA1D77" w:rsidP="00BE7614"/>
    <w:p w14:paraId="08C47D1B" w14:textId="41B285EF" w:rsidR="00BE7614" w:rsidRPr="00BE7614" w:rsidRDefault="00BE7614" w:rsidP="00BE7614">
      <w:pPr>
        <w:rPr>
          <w:b/>
          <w:bCs/>
        </w:rPr>
      </w:pPr>
      <w:r w:rsidRPr="00BE7614">
        <w:rPr>
          <w:b/>
          <w:bCs/>
        </w:rPr>
        <w:t>Relating group delay values to ratings</w:t>
      </w:r>
    </w:p>
    <w:p w14:paraId="21DCCCC8" w14:textId="76579089" w:rsidR="00BE7614" w:rsidRDefault="00BE7614" w:rsidP="00BE7614">
      <w:r>
        <w:t>Tests conducted by [4] show subjective disturbance vs increasing group delay for hearing impaired subjects. Ratings were given in a 1-7 Likert scale, 1 being 'not at all annoying', and 7 'very annoying'.</w:t>
      </w:r>
    </w:p>
    <w:p w14:paraId="1CE188B7" w14:textId="5D759E83" w:rsidR="00BE7614" w:rsidRDefault="00BE7614" w:rsidP="00BE7614">
      <w:r>
        <w:t>Their next test [5] evaluates subjective disturbance vs increasing group delay for normal-hearing participants. Results show that most participants required a delay exceeding 20 msec to give the intermediate rating of 'disturbing'. 20 msec corresponds to a rating of 3 in the 1-7 Likert scale.</w:t>
      </w:r>
    </w:p>
    <w:p w14:paraId="0540C974" w14:textId="6566EC4B" w:rsidR="00BE7614" w:rsidRDefault="00BE7614" w:rsidP="00BE7614">
      <w:r>
        <w:t>Both tests found a linear relationship between subjective disturbance and increasing group delay</w:t>
      </w:r>
      <w:r w:rsidR="009E6592">
        <w:t xml:space="preserve"> at all frequencies</w:t>
      </w:r>
      <w:r>
        <w:t>.</w:t>
      </w:r>
    </w:p>
    <w:p w14:paraId="10A50771" w14:textId="77777777" w:rsidR="00BE7614" w:rsidRDefault="00BE7614" w:rsidP="00BE7614"/>
    <w:p w14:paraId="134691B3" w14:textId="013AE4BA" w:rsidR="00BE7614" w:rsidRPr="00BE7614" w:rsidRDefault="00BE7614" w:rsidP="00BE7614">
      <w:pPr>
        <w:rPr>
          <w:b/>
          <w:bCs/>
        </w:rPr>
      </w:pPr>
      <w:r w:rsidRPr="00BE7614">
        <w:rPr>
          <w:b/>
          <w:bCs/>
        </w:rPr>
        <w:t>A</w:t>
      </w:r>
      <w:r>
        <w:rPr>
          <w:b/>
          <w:bCs/>
        </w:rPr>
        <w:t xml:space="preserve">coustic Suite </w:t>
      </w:r>
      <w:r w:rsidRPr="00BE7614">
        <w:rPr>
          <w:b/>
          <w:bCs/>
        </w:rPr>
        <w:t>G</w:t>
      </w:r>
      <w:r>
        <w:rPr>
          <w:b/>
          <w:bCs/>
        </w:rPr>
        <w:t xml:space="preserve">roup </w:t>
      </w:r>
      <w:r w:rsidRPr="00BE7614">
        <w:rPr>
          <w:b/>
          <w:bCs/>
        </w:rPr>
        <w:t>D</w:t>
      </w:r>
      <w:r>
        <w:rPr>
          <w:b/>
          <w:bCs/>
        </w:rPr>
        <w:t>elay</w:t>
      </w:r>
      <w:r w:rsidRPr="00BE7614">
        <w:rPr>
          <w:b/>
          <w:bCs/>
        </w:rPr>
        <w:t xml:space="preserve"> metric</w:t>
      </w:r>
    </w:p>
    <w:p w14:paraId="4321F306" w14:textId="7469FB27" w:rsidR="00710EA6" w:rsidRDefault="00BE7614" w:rsidP="00BE7614">
      <w:r>
        <w:t>The measured raw group delay is bark-smoothed to match realistic human ear sensitivity. The smoothed group delay curve is shifted to 0: its minimum value corresponds to propagation delay which has no effect on human perception as all values delayed by a constant.</w:t>
      </w:r>
    </w:p>
    <w:p w14:paraId="20D4FA69" w14:textId="77777777" w:rsidR="00710EA6" w:rsidRDefault="00710EA6">
      <w:r>
        <w:br w:type="page"/>
      </w:r>
    </w:p>
    <w:p w14:paraId="2C9893C7" w14:textId="77777777" w:rsidR="00BE7614" w:rsidRDefault="00BE7614" w:rsidP="00BE7614"/>
    <w:p w14:paraId="62F3B8A8" w14:textId="6066DF81" w:rsidR="00BE7614" w:rsidRDefault="00BE7614" w:rsidP="00BE7614">
      <w:r>
        <w:t xml:space="preserve">The research's Likert scale and rating meaning are used for </w:t>
      </w:r>
      <w:r w:rsidR="00BE0347">
        <w:t>defining</w:t>
      </w:r>
      <w:r>
        <w:t xml:space="preserve"> the metric.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1950"/>
        <w:gridCol w:w="2391"/>
      </w:tblGrid>
      <w:tr w:rsidR="00EA4685" w14:paraId="7399DE5F" w14:textId="77777777" w:rsidTr="00044DD3">
        <w:tc>
          <w:tcPr>
            <w:tcW w:w="2170" w:type="dxa"/>
          </w:tcPr>
          <w:p w14:paraId="3E03CA4B" w14:textId="1B3BCCE8" w:rsidR="00EA4685" w:rsidRPr="00BE7614" w:rsidRDefault="00EA4685" w:rsidP="00BE7614">
            <w:pPr>
              <w:jc w:val="center"/>
              <w:rPr>
                <w:b/>
                <w:bCs/>
              </w:rPr>
            </w:pPr>
            <w:r w:rsidRPr="00BE7614">
              <w:rPr>
                <w:b/>
                <w:bCs/>
              </w:rPr>
              <w:t>Rating</w:t>
            </w:r>
          </w:p>
        </w:tc>
        <w:tc>
          <w:tcPr>
            <w:tcW w:w="1950" w:type="dxa"/>
          </w:tcPr>
          <w:p w14:paraId="35EE02A3" w14:textId="7B2FFD3E" w:rsidR="00EA4685" w:rsidRPr="00BE7614" w:rsidRDefault="00EA4685" w:rsidP="00BE76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GD (msec)</w:t>
            </w:r>
          </w:p>
        </w:tc>
        <w:tc>
          <w:tcPr>
            <w:tcW w:w="2391" w:type="dxa"/>
          </w:tcPr>
          <w:p w14:paraId="3274666E" w14:textId="1336BC99" w:rsidR="00EA4685" w:rsidRPr="00BE7614" w:rsidRDefault="00EA4685" w:rsidP="00BE7614">
            <w:pPr>
              <w:jc w:val="center"/>
              <w:rPr>
                <w:b/>
                <w:bCs/>
              </w:rPr>
            </w:pPr>
            <w:r w:rsidRPr="00BE7614">
              <w:rPr>
                <w:b/>
                <w:bCs/>
              </w:rPr>
              <w:t>Subjective Perception</w:t>
            </w:r>
          </w:p>
        </w:tc>
      </w:tr>
      <w:tr w:rsidR="00EA4685" w14:paraId="631D1EC5" w14:textId="77777777" w:rsidTr="00044DD3">
        <w:tc>
          <w:tcPr>
            <w:tcW w:w="2170" w:type="dxa"/>
          </w:tcPr>
          <w:p w14:paraId="70F4C68A" w14:textId="2368DF34" w:rsidR="00EA4685" w:rsidRDefault="00EA4685" w:rsidP="00BE7614">
            <w:pPr>
              <w:jc w:val="center"/>
            </w:pPr>
            <w:r>
              <w:t>1</w:t>
            </w:r>
          </w:p>
        </w:tc>
        <w:tc>
          <w:tcPr>
            <w:tcW w:w="1950" w:type="dxa"/>
          </w:tcPr>
          <w:p w14:paraId="0E0FE12A" w14:textId="2348B6A1" w:rsidR="00EA4685" w:rsidRDefault="00EA4685" w:rsidP="00BE7614">
            <w:pPr>
              <w:jc w:val="center"/>
            </w:pPr>
            <w:r>
              <w:t>0-1 msec</w:t>
            </w:r>
          </w:p>
        </w:tc>
        <w:tc>
          <w:tcPr>
            <w:tcW w:w="2391" w:type="dxa"/>
          </w:tcPr>
          <w:p w14:paraId="797188DA" w14:textId="06E804E1" w:rsidR="00EA4685" w:rsidRDefault="00EA4685" w:rsidP="00BE7614">
            <w:pPr>
              <w:jc w:val="center"/>
            </w:pPr>
            <w:r>
              <w:t>No annoyance</w:t>
            </w:r>
          </w:p>
        </w:tc>
      </w:tr>
      <w:tr w:rsidR="00EA4685" w14:paraId="6595FEB4" w14:textId="77777777" w:rsidTr="00044DD3">
        <w:tc>
          <w:tcPr>
            <w:tcW w:w="2170" w:type="dxa"/>
          </w:tcPr>
          <w:p w14:paraId="6F324E52" w14:textId="094796E0" w:rsidR="00EA4685" w:rsidRDefault="00EA4685" w:rsidP="00BE7614">
            <w:pPr>
              <w:jc w:val="center"/>
            </w:pPr>
            <w:r>
              <w:t>3</w:t>
            </w:r>
          </w:p>
        </w:tc>
        <w:tc>
          <w:tcPr>
            <w:tcW w:w="1950" w:type="dxa"/>
          </w:tcPr>
          <w:p w14:paraId="031DC63E" w14:textId="77777777" w:rsidR="00EA4685" w:rsidRDefault="00EA4685" w:rsidP="00BE7614">
            <w:pPr>
              <w:jc w:val="center"/>
            </w:pPr>
            <w:r>
              <w:t>1-10 msec</w:t>
            </w:r>
          </w:p>
          <w:p w14:paraId="68462B36" w14:textId="4F441D1D" w:rsidR="00EA4685" w:rsidRDefault="00EA4685" w:rsidP="00BE7614">
            <w:pPr>
              <w:jc w:val="center"/>
            </w:pPr>
            <w:r>
              <w:t>Blauert curve</w:t>
            </w:r>
          </w:p>
        </w:tc>
        <w:tc>
          <w:tcPr>
            <w:tcW w:w="2391" w:type="dxa"/>
          </w:tcPr>
          <w:p w14:paraId="77F3890F" w14:textId="123DCF4B" w:rsidR="00EA4685" w:rsidRDefault="00EA4685" w:rsidP="00BE7614">
            <w:pPr>
              <w:jc w:val="center"/>
            </w:pPr>
            <w:r>
              <w:t>Intermediate annoyance</w:t>
            </w:r>
          </w:p>
        </w:tc>
      </w:tr>
      <w:tr w:rsidR="00EA4685" w14:paraId="0BCB7311" w14:textId="77777777" w:rsidTr="00044DD3">
        <w:tc>
          <w:tcPr>
            <w:tcW w:w="2170" w:type="dxa"/>
          </w:tcPr>
          <w:p w14:paraId="46593747" w14:textId="1A73BFB5" w:rsidR="00EA4685" w:rsidRDefault="00EA4685" w:rsidP="00BE7614">
            <w:pPr>
              <w:jc w:val="center"/>
            </w:pPr>
            <w:r>
              <w:t>7</w:t>
            </w:r>
          </w:p>
        </w:tc>
        <w:tc>
          <w:tcPr>
            <w:tcW w:w="1950" w:type="dxa"/>
          </w:tcPr>
          <w:p w14:paraId="54CE8B31" w14:textId="3D3CE54E" w:rsidR="00EA4685" w:rsidRDefault="00EA4685" w:rsidP="00BE7614">
            <w:pPr>
              <w:jc w:val="center"/>
            </w:pPr>
            <w:r>
              <w:t>80 msec</w:t>
            </w:r>
          </w:p>
        </w:tc>
        <w:tc>
          <w:tcPr>
            <w:tcW w:w="2391" w:type="dxa"/>
          </w:tcPr>
          <w:p w14:paraId="67AA6A3E" w14:textId="66F4B4F2" w:rsidR="00EA4685" w:rsidRDefault="00EA4685" w:rsidP="00BE7614">
            <w:pPr>
              <w:jc w:val="center"/>
            </w:pPr>
            <w:r>
              <w:t>Disturbing</w:t>
            </w:r>
          </w:p>
        </w:tc>
      </w:tr>
    </w:tbl>
    <w:p w14:paraId="0EC90E81" w14:textId="77777777" w:rsidR="009D736A" w:rsidRDefault="009D736A" w:rsidP="00710EA6"/>
    <w:p w14:paraId="02A15DBD" w14:textId="204EDCE6" w:rsidR="00710EA6" w:rsidRDefault="009E6592" w:rsidP="00710EA6">
      <w:r>
        <w:t>L</w:t>
      </w:r>
      <w:r w:rsidR="00BE0347">
        <w:t xml:space="preserve">inear regression </w:t>
      </w:r>
      <w:r>
        <w:t xml:space="preserve">and linear least squares </w:t>
      </w:r>
      <w:r w:rsidR="00B65F54">
        <w:t>are</w:t>
      </w:r>
      <w:r w:rsidR="00BE0347">
        <w:t xml:space="preserve"> applied using the reference </w:t>
      </w:r>
      <w:r>
        <w:t>GDs and corresponding AQM cot</w:t>
      </w:r>
      <w:r w:rsidR="00BE0347">
        <w:t xml:space="preserve"> as predictor variables</w:t>
      </w:r>
      <w:r>
        <w:t xml:space="preserve"> (Figure 2)</w:t>
      </w:r>
      <w:r w:rsidR="00BE0347">
        <w:t xml:space="preserve">. </w:t>
      </w:r>
      <w:r w:rsidR="00BE7614">
        <w:t xml:space="preserve">Then, rating scales are converted to a rating </w:t>
      </w:r>
      <w:r w:rsidR="00710EA6">
        <w:t>0</w:t>
      </w:r>
      <w:r w:rsidR="00BE7614">
        <w:t xml:space="preserve">-10, and reversed so an increasing rating means less group delay and better quality. So, </w:t>
      </w:r>
      <w:r>
        <w:t>0</w:t>
      </w:r>
      <w:r w:rsidR="00BE7614">
        <w:t xml:space="preserve"> is </w:t>
      </w:r>
      <w:r w:rsidR="00BE0347">
        <w:t>disturbing</w:t>
      </w:r>
      <w:r w:rsidR="00BE7614">
        <w:t xml:space="preserve"> perceptual annoyance, </w:t>
      </w:r>
      <w:r w:rsidR="00F815CD">
        <w:t>4</w:t>
      </w:r>
      <w:r w:rsidR="00BE7614">
        <w:t xml:space="preserve"> is intermediate/tolerable annoyance, and 10 is no perceivable annoyance. This also serves refactoring as the amplitude metric is </w:t>
      </w:r>
      <w:r w:rsidR="00710EA6">
        <w:t>0-</w:t>
      </w:r>
      <w:r w:rsidR="00BE7614">
        <w:t>10, too.</w:t>
      </w:r>
    </w:p>
    <w:p w14:paraId="1CA4B200" w14:textId="6BC1BDF5" w:rsidR="00E6460B" w:rsidRDefault="00E6460B" w:rsidP="00710EA6">
      <w:r>
        <w:rPr>
          <w:noProof/>
        </w:rPr>
        <w:drawing>
          <wp:inline distT="0" distB="0" distL="0" distR="0" wp14:anchorId="3D9FF748" wp14:editId="1648EE5F">
            <wp:extent cx="4257675" cy="255046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887" t="31170" r="42915" b="19630"/>
                    <a:stretch/>
                  </pic:blipFill>
                  <pic:spPr bwMode="auto">
                    <a:xfrm>
                      <a:off x="0" y="0"/>
                      <a:ext cx="4327565" cy="2592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6ABC1" w14:textId="38D3942B" w:rsidR="00E6460B" w:rsidRPr="00E6460B" w:rsidRDefault="00E6460B" w:rsidP="00E27C37">
      <w:pPr>
        <w:pStyle w:val="Caption"/>
      </w:pPr>
      <w:r>
        <w:t xml:space="preserve">Figure </w:t>
      </w:r>
      <w:fldSimple w:instr=" SEQ Figure \* ARABIC ">
        <w:r w:rsidR="00A057FF">
          <w:rPr>
            <w:noProof/>
          </w:rPr>
          <w:t>1</w:t>
        </w:r>
      </w:fldSimple>
    </w:p>
    <w:p w14:paraId="2B6CF4D1" w14:textId="0DA72DC6" w:rsidR="00E6460B" w:rsidRDefault="009E6592" w:rsidP="00E6460B">
      <w:pPr>
        <w:keepNext/>
      </w:pPr>
      <w:r>
        <w:rPr>
          <w:noProof/>
        </w:rPr>
        <w:drawing>
          <wp:inline distT="0" distB="0" distL="0" distR="0" wp14:anchorId="5D6D91D1" wp14:editId="7477A084">
            <wp:extent cx="4795641" cy="2372043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608" cy="237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CDD2" w14:textId="1A15ACE6" w:rsidR="00A057FF" w:rsidRDefault="00E6460B" w:rsidP="00E6460B">
      <w:pPr>
        <w:pStyle w:val="Caption"/>
      </w:pPr>
      <w:r>
        <w:t xml:space="preserve">Figure </w:t>
      </w:r>
      <w:fldSimple w:instr=" SEQ Figure \* ARABIC ">
        <w:r w:rsidR="00A057FF">
          <w:rPr>
            <w:noProof/>
          </w:rPr>
          <w:t>2</w:t>
        </w:r>
      </w:fldSimple>
    </w:p>
    <w:p w14:paraId="4C96AE39" w14:textId="77777777" w:rsidR="00A057FF" w:rsidRDefault="00A057FF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638901C4" w14:textId="77777777" w:rsidR="00E6460B" w:rsidRDefault="00E6460B" w:rsidP="00E6460B">
      <w:pPr>
        <w:pStyle w:val="Caption"/>
      </w:pPr>
    </w:p>
    <w:p w14:paraId="0DE1C19A" w14:textId="4D02EF42" w:rsidR="00BE7614" w:rsidRDefault="00E27C37" w:rsidP="00BE7614">
      <w:r>
        <w:t>[</w:t>
      </w:r>
      <w:r w:rsidR="00BE7614">
        <w:t>1] Quentin Summerfield, Vicki Bruce, Alan Cowey, Andrew W. Ellis and D. I. Perrett 1997Lipreading and audio-visual speech perceptionPhil. Trans. R. Soc. Lond. B33571–78</w:t>
      </w:r>
    </w:p>
    <w:p w14:paraId="28CCF355" w14:textId="77777777" w:rsidR="00BE7614" w:rsidRDefault="00BE7614" w:rsidP="00BE7614">
      <w:r>
        <w:t>http://doi.org/10.1098/rstb.1992.0009</w:t>
      </w:r>
    </w:p>
    <w:p w14:paraId="599FDB2B" w14:textId="77777777" w:rsidR="00BE7614" w:rsidRDefault="00BE7614" w:rsidP="00BE7614"/>
    <w:p w14:paraId="64A7F1E9" w14:textId="77777777" w:rsidR="00BE7614" w:rsidRDefault="00BE7614" w:rsidP="00BE7614">
      <w:r>
        <w:t>[2] Liski, Mäkivirta, and Professor Välimäki, 2018, Audibility of loudspeaker group-delay characteristics https://research.aalto.fi/en/publications/audibility-of-loudspeaker-groupdelay-characteristics(d896fdd8-780a-4ada-b9e5-41455829fd38).html</w:t>
      </w:r>
    </w:p>
    <w:p w14:paraId="19F86A10" w14:textId="77777777" w:rsidR="00BE7614" w:rsidRDefault="00BE7614" w:rsidP="00BE7614"/>
    <w:p w14:paraId="6A09A94C" w14:textId="77777777" w:rsidR="00BE7614" w:rsidRDefault="00BE7614" w:rsidP="00BE7614">
      <w:r>
        <w:t xml:space="preserve">[3] Blauert &amp; Law, 1978, Group delay distortions in electroacoustical systems http://shabad.ru/forumaml/attachment.php?attachmentid=1167&amp;d=1258235560 </w:t>
      </w:r>
    </w:p>
    <w:p w14:paraId="0FB0BF60" w14:textId="77777777" w:rsidR="00BE7614" w:rsidRDefault="00BE7614" w:rsidP="00BE7614"/>
    <w:p w14:paraId="0AAA7588" w14:textId="77777777" w:rsidR="00BE7614" w:rsidRDefault="00BE7614" w:rsidP="00BE7614">
      <w:r>
        <w:t>[4] Goehring, Tobias, Josie L Chapman, Stefan Bleeck, and Jessica J. M Monaghan. "Tolerable Delay for Speech Production and Perception: Effects of Hearing Ability and Experience with Hearing Aids." International Journal of Audiology 57.1 (2018): 61-68. Web.</w:t>
      </w:r>
    </w:p>
    <w:p w14:paraId="486BA9F6" w14:textId="77777777" w:rsidR="00BE7614" w:rsidRDefault="00BE7614" w:rsidP="00BE7614"/>
    <w:p w14:paraId="7BDF3A60" w14:textId="209B9F4E" w:rsidR="00AE4B21" w:rsidRDefault="00BE7614" w:rsidP="00BE7614">
      <w:r>
        <w:t>[5] Stone, Michael A., and Brian C. J. Moore. "Tolerable Hearing Aid Delays. II. Estimation of Limits Imposed During Speech Production." Ear and Hearing 23.4 (2002): 325-38. Web.</w:t>
      </w:r>
    </w:p>
    <w:p w14:paraId="0D3B308E" w14:textId="32C27A6C" w:rsidR="00BE7614" w:rsidRDefault="00BE7614" w:rsidP="00BE7614"/>
    <w:p w14:paraId="5C09D179" w14:textId="34269652" w:rsidR="00BE7614" w:rsidRDefault="00BE7614" w:rsidP="00BE7614">
      <w:r>
        <w:t>Marcella Iswanto,</w:t>
      </w:r>
      <w:r w:rsidR="00A057FF">
        <w:t xml:space="preserve"> </w:t>
      </w:r>
      <w:r>
        <w:t>2020 June 0</w:t>
      </w:r>
      <w:r w:rsidR="00A057FF">
        <w:t>8</w:t>
      </w:r>
      <w:r w:rsidRPr="00BE7614">
        <w:rPr>
          <w:vertAlign w:val="superscript"/>
        </w:rPr>
        <w:t>th</w:t>
      </w:r>
    </w:p>
    <w:sectPr w:rsidR="00BE7614" w:rsidSect="00BE761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D521E"/>
    <w:multiLevelType w:val="hybridMultilevel"/>
    <w:tmpl w:val="2F844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36D3B"/>
    <w:multiLevelType w:val="hybridMultilevel"/>
    <w:tmpl w:val="2BBACCA4"/>
    <w:lvl w:ilvl="0" w:tplc="75B4F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14"/>
    <w:rsid w:val="00044DD3"/>
    <w:rsid w:val="00710EA6"/>
    <w:rsid w:val="007D1396"/>
    <w:rsid w:val="009D736A"/>
    <w:rsid w:val="009E6592"/>
    <w:rsid w:val="00A057FF"/>
    <w:rsid w:val="00AE4B21"/>
    <w:rsid w:val="00B65F54"/>
    <w:rsid w:val="00BE0347"/>
    <w:rsid w:val="00BE7614"/>
    <w:rsid w:val="00E27C37"/>
    <w:rsid w:val="00E6460B"/>
    <w:rsid w:val="00EA1D77"/>
    <w:rsid w:val="00EA4685"/>
    <w:rsid w:val="00F8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5838"/>
  <w15:chartTrackingRefBased/>
  <w15:docId w15:val="{B03CDE66-8DBB-4879-A8A4-D01A845E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14"/>
    <w:pPr>
      <w:ind w:left="720"/>
      <w:contextualSpacing/>
    </w:pPr>
  </w:style>
  <w:style w:type="table" w:styleId="TableGrid">
    <w:name w:val="Table Grid"/>
    <w:basedOn w:val="TableNormal"/>
    <w:uiPriority w:val="39"/>
    <w:rsid w:val="00BE7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646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phresia m.</dc:creator>
  <cp:keywords/>
  <dc:description/>
  <cp:lastModifiedBy>phresia m.</cp:lastModifiedBy>
  <cp:revision>6</cp:revision>
  <cp:lastPrinted>2020-06-05T16:32:00Z</cp:lastPrinted>
  <dcterms:created xsi:type="dcterms:W3CDTF">2020-06-17T12:14:00Z</dcterms:created>
  <dcterms:modified xsi:type="dcterms:W3CDTF">2020-06-18T14:36:00Z</dcterms:modified>
</cp:coreProperties>
</file>