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odttf" ContentType="application/vnd.openxmlformats-officedocument.obfuscatedFont"/>
  <Default Extension="jpg" ContentType="image/jpeg"/>
  <Default Extension="jpeg" ContentType="image/jpe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pStyle w:val="TextoAMNT"/>
        <w:ind w:firstLine="0"/>
        <w:rPr/>
      </w:pPr>
    </w:p>
    <w:p w14:paraId="00000002">
      <w:pPr>
        <w:pStyle w:val="TOCHeading"/>
        <w:rPr/>
      </w:pPr>
      <w:r>
        <w:t>Sumário</w:t>
      </w:r>
    </w:p>
    <w:p w14:paraId="00000003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\u </w:instrText>
      </w:r>
      <w:r>
        <w:rPr>
          <w:rStyle w:val="Hyperlink"/>
        </w:rPr>
        <w:fldChar w:fldCharType="separate"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"_Toc232425032" </w:instrText>
      </w:r>
      <w:r>
        <w:rPr>
          <w:rStyle w:val="Hyperlink"/>
        </w:rPr>
        <w:fldChar w:fldCharType="separate"/>
      </w:r>
      <w:r>
        <w:rPr>
          <w:rStyle w:val="Hyperlink"/>
        </w:rPr>
        <w:t>1 INTRODUÇÃO</w:t>
      </w:r>
      <w:r>
        <w:tab/>
      </w:r>
      <w:r>
        <w:fldChar w:fldCharType="begin"/>
      </w:r>
      <w:r>
        <w:instrText xml:space="preserve"> PAGEREF _Toc232425032 \h </w:instrText>
      </w:r>
      <w:r>
        <w:fldChar w:fldCharType="separate"/>
      </w:r>
      <w:r>
        <w:t>2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4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"_Toc232425033" </w:instrText>
      </w:r>
      <w:r>
        <w:rPr>
          <w:rStyle w:val="Hyperlink"/>
        </w:rPr>
        <w:fldChar w:fldCharType="separate"/>
      </w:r>
      <w:r>
        <w:rPr>
          <w:rStyle w:val="Hyperlink"/>
        </w:rPr>
        <w:t>2 OBJETIVOS E QUESTÃO DE PESQUISA</w:t>
      </w:r>
      <w:r>
        <w:tab/>
      </w:r>
      <w:r>
        <w:fldChar w:fldCharType="begin"/>
      </w:r>
      <w:r>
        <w:instrText xml:space="preserve"> PAGEREF _Toc232425033 \h </w:instrText>
      </w:r>
      <w:r>
        <w:fldChar w:fldCharType="separate"/>
      </w:r>
      <w:r>
        <w:t>2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5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"_Toc232425034" </w:instrText>
      </w:r>
      <w:r>
        <w:rPr>
          <w:rStyle w:val="Hyperlink"/>
        </w:rPr>
        <w:fldChar w:fldCharType="separate"/>
      </w:r>
      <w:r>
        <w:rPr>
          <w:rStyle w:val="Hyperlink"/>
        </w:rPr>
        <w:t>2.1 Objetivo Geral</w:t>
      </w:r>
      <w:r>
        <w:tab/>
      </w:r>
      <w:r>
        <w:fldChar w:fldCharType="begin"/>
      </w:r>
      <w:r>
        <w:instrText xml:space="preserve"> PAGEREF _Toc232425034 \h </w:instrText>
      </w:r>
      <w:r>
        <w:fldChar w:fldCharType="separate"/>
      </w:r>
      <w:r>
        <w:t>2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6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"_Toc232425035" </w:instrText>
      </w:r>
      <w:r>
        <w:rPr>
          <w:rStyle w:val="Hyperlink"/>
        </w:rPr>
        <w:fldChar w:fldCharType="separate"/>
      </w:r>
      <w:r>
        <w:rPr>
          <w:rStyle w:val="Hyperlink"/>
        </w:rPr>
        <w:t>2.2 Objetivos Específicos</w:t>
      </w:r>
      <w:r>
        <w:tab/>
      </w:r>
      <w:r>
        <w:fldChar w:fldCharType="begin"/>
      </w:r>
      <w:r>
        <w:instrText xml:space="preserve"> PAGEREF _Toc232425035 \h </w:instrText>
      </w:r>
      <w:r>
        <w:fldChar w:fldCharType="separate"/>
      </w:r>
      <w:r>
        <w:t>2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7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"_Toc232425036" </w:instrText>
      </w:r>
      <w:r>
        <w:rPr>
          <w:rStyle w:val="Hyperlink"/>
        </w:rPr>
        <w:fldChar w:fldCharType="separate"/>
      </w:r>
      <w:r>
        <w:rPr>
          <w:rStyle w:val="Hyperlink"/>
        </w:rPr>
        <w:t>3 FUNDAMENTAÇÃO TEÓRICA</w:t>
      </w:r>
      <w:r>
        <w:tab/>
      </w:r>
      <w:r>
        <w:fldChar w:fldCharType="begin"/>
      </w:r>
      <w:r>
        <w:instrText xml:space="preserve"> PAGEREF _Toc232425036 \h </w:instrText>
      </w:r>
      <w:r>
        <w:fldChar w:fldCharType="separate"/>
      </w:r>
      <w:r>
        <w:t>3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8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Fonts w:asciiTheme="minorHAnsi" w:cstheme="minorBidi" w:eastAsiaTheme="minorEastAsia" w:hAnsiTheme="minorHAnsi"/>
        </w:rPr>
        <w:t>+</w:t>
      </w:r>
    </w:p>
    <w:p w14:paraId="00000009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"_Toc232425038" </w:instrText>
      </w:r>
      <w:r>
        <w:rPr>
          <w:rStyle w:val="Hyperlink"/>
        </w:rPr>
        <w:fldChar w:fldCharType="separate"/>
      </w:r>
      <w:r>
        <w:rPr>
          <w:rStyle w:val="Hyperlink"/>
        </w:rPr>
        <w:t>3.2 O Paradigma da Educação Inclusiva e o Contexto Brasileiro</w:t>
      </w:r>
      <w:r>
        <w:tab/>
      </w:r>
      <w:r>
        <w:fldChar w:fldCharType="begin"/>
      </w:r>
      <w:r>
        <w:instrText xml:space="preserve"> PAGEREF _Toc232425038 \h </w:instrText>
      </w:r>
      <w:r>
        <w:fldChar w:fldCharType="separate"/>
      </w:r>
      <w:r>
        <w:t>3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A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"_Toc232425039" </w:instrText>
      </w:r>
      <w:r>
        <w:rPr>
          <w:rStyle w:val="Hyperlink"/>
        </w:rPr>
        <w:fldChar w:fldCharType="separate"/>
      </w:r>
      <w:r>
        <w:rPr>
          <w:rStyle w:val="Hyperlink"/>
        </w:rPr>
        <w:t>3.3 Processos de Aprendizagem e Mediação Pedagógica</w:t>
      </w:r>
      <w:r>
        <w:tab/>
      </w:r>
      <w:r>
        <w:fldChar w:fldCharType="begin"/>
      </w:r>
      <w:r>
        <w:instrText xml:space="preserve"> PAGEREF _Toc232425039 \h </w:instrText>
      </w:r>
      <w:r>
        <w:fldChar w:fldCharType="separate"/>
      </w:r>
      <w:r>
        <w:t>4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B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"_Toc232425040" </w:instrText>
      </w:r>
      <w:r>
        <w:rPr>
          <w:rStyle w:val="Hyperlink"/>
        </w:rPr>
        <w:fldChar w:fldCharType="separate"/>
      </w:r>
      <w:r>
        <w:rPr>
          <w:rStyle w:val="Hyperlink"/>
        </w:rPr>
        <w:t>3.4 Tecnologia Assistiva e Lógica de Suporte à Inclusão</w:t>
      </w:r>
      <w:r>
        <w:tab/>
      </w:r>
      <w:r>
        <w:fldChar w:fldCharType="begin"/>
      </w:r>
      <w:r>
        <w:instrText xml:space="preserve"> PAGEREF _Toc232425040 \h </w:instrText>
      </w:r>
      <w:r>
        <w:fldChar w:fldCharType="separate"/>
      </w:r>
      <w:r>
        <w:t>4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C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"_Toc232425041" </w:instrText>
      </w:r>
      <w:r>
        <w:rPr>
          <w:rStyle w:val="Hyperlink"/>
        </w:rPr>
        <w:fldChar w:fldCharType="separate"/>
      </w:r>
      <w:r>
        <w:rPr>
          <w:rStyle w:val="Hyperlink"/>
        </w:rPr>
        <w:t>3.5 Robótica Educacional como Elemento de Mediação Pedagógica</w:t>
      </w:r>
      <w:r>
        <w:tab/>
      </w:r>
      <w:r>
        <w:fldChar w:fldCharType="begin"/>
      </w:r>
      <w:r>
        <w:instrText xml:space="preserve"> PAGEREF _Toc232425041 \h </w:instrText>
      </w:r>
      <w:r>
        <w:fldChar w:fldCharType="separate"/>
      </w:r>
      <w:r>
        <w:t>5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D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"_Toc232425042" </w:instrText>
      </w:r>
      <w:r>
        <w:rPr>
          <w:rStyle w:val="Hyperlink"/>
        </w:rPr>
        <w:fldChar w:fldCharType="separate"/>
      </w:r>
      <w:r>
        <w:rPr>
          <w:rStyle w:val="Hyperlink"/>
        </w:rPr>
        <w:t>4 METODOLOGIA E PROCEDIMENTOS TÉCNICOS</w:t>
      </w:r>
      <w:r>
        <w:tab/>
      </w:r>
      <w:r>
        <w:fldChar w:fldCharType="begin"/>
      </w:r>
      <w:r>
        <w:instrText xml:space="preserve"> PAGEREF _Toc232425042 \h </w:instrText>
      </w:r>
      <w:r>
        <w:fldChar w:fldCharType="separate"/>
      </w:r>
      <w:r>
        <w:t>5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E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"_Toc232425043" </w:instrText>
      </w:r>
      <w:r>
        <w:rPr>
          <w:rStyle w:val="Hyperlink"/>
        </w:rPr>
        <w:fldChar w:fldCharType="separate"/>
      </w:r>
      <w:r>
        <w:rPr>
          <w:rStyle w:val="Hyperlink"/>
        </w:rPr>
        <w:t>4.1. Prototipagem de Baixa Fidelidade</w:t>
      </w:r>
      <w:r>
        <w:tab/>
      </w:r>
      <w:r>
        <w:fldChar w:fldCharType="begin"/>
      </w:r>
      <w:r>
        <w:instrText xml:space="preserve"> PAGEREF _Toc232425043 \h </w:instrText>
      </w:r>
      <w:r>
        <w:fldChar w:fldCharType="separate"/>
      </w:r>
      <w:r>
        <w:t>5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0F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"_Toc232425044" </w:instrText>
      </w:r>
      <w:r>
        <w:rPr>
          <w:rStyle w:val="Hyperlink"/>
        </w:rPr>
        <w:fldChar w:fldCharType="separate"/>
      </w:r>
      <w:r>
        <w:rPr>
          <w:rStyle w:val="Hyperlink"/>
        </w:rPr>
        <w:t>4.2. Modelagem e Projeto 3D (CAD)</w:t>
      </w:r>
      <w:r>
        <w:tab/>
      </w:r>
      <w:r>
        <w:fldChar w:fldCharType="begin"/>
      </w:r>
      <w:r>
        <w:instrText xml:space="preserve"> PAGEREF _Toc232425044 \h </w:instrText>
      </w:r>
      <w:r>
        <w:fldChar w:fldCharType="separate"/>
      </w:r>
      <w:r>
        <w:t>6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10">
      <w:pPr>
        <w:pStyle w:val="Toc2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"_Toc232425045" </w:instrText>
      </w:r>
      <w:r>
        <w:rPr>
          <w:rStyle w:val="Hyperlink"/>
        </w:rPr>
        <w:fldChar w:fldCharType="separate"/>
      </w:r>
      <w:r>
        <w:rPr>
          <w:rStyle w:val="Hyperlink"/>
        </w:rPr>
        <w:t>4.3. Desenvolvimento Lógico, Sequenciamento e Comunicação Sem Fio</w:t>
      </w:r>
      <w:r>
        <w:tab/>
      </w:r>
      <w:r>
        <w:fldChar w:fldCharType="begin"/>
      </w:r>
      <w:r>
        <w:instrText xml:space="preserve"> PAGEREF _Toc232425045 \h </w:instrText>
      </w:r>
      <w:r>
        <w:fldChar w:fldCharType="separate"/>
      </w:r>
      <w:r>
        <w:t>6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11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"_Toc232425046" </w:instrText>
      </w:r>
      <w:r>
        <w:rPr>
          <w:rStyle w:val="Hyperlink"/>
        </w:rPr>
        <w:fldChar w:fldCharType="separate"/>
      </w:r>
      <w:r>
        <w:rPr>
          <w:rStyle w:val="Hyperlink"/>
        </w:rPr>
        <w:t>5 CONCLUSÕES</w:t>
      </w:r>
      <w:r>
        <w:tab/>
      </w:r>
      <w:r>
        <w:fldChar w:fldCharType="begin"/>
      </w:r>
      <w:r>
        <w:instrText xml:space="preserve"> PAGEREF _Toc232425046 \h </w:instrText>
      </w:r>
      <w:r>
        <w:fldChar w:fldCharType="separate"/>
      </w:r>
      <w:r>
        <w:t>7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12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"_Toc232425047" </w:instrText>
      </w:r>
      <w:r>
        <w:rPr>
          <w:rStyle w:val="Hyperlink"/>
        </w:rPr>
        <w:fldChar w:fldCharType="separate"/>
      </w:r>
      <w:r>
        <w:rPr>
          <w:rStyle w:val="Hyperlink"/>
        </w:rPr>
        <w:t>RESUMO</w:t>
      </w:r>
      <w:r>
        <w:tab/>
      </w:r>
      <w:r>
        <w:fldChar w:fldCharType="begin"/>
      </w:r>
      <w:r>
        <w:instrText xml:space="preserve"> PAGEREF _Toc232425047 \h </w:instrText>
      </w:r>
      <w:r>
        <w:fldChar w:fldCharType="separate"/>
      </w:r>
      <w:r>
        <w:t>8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13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"_Toc232425048" </w:instrText>
      </w:r>
      <w:r>
        <w:rPr>
          <w:rStyle w:val="Hyperlink"/>
        </w:rPr>
        <w:fldChar w:fldCharType="separate"/>
      </w:r>
      <w:r>
        <w:rPr>
          <w:rStyle w:val="Hyperlink"/>
        </w:rPr>
        <w:t>ABSTRK</w:t>
      </w:r>
      <w:r>
        <w:tab/>
      </w:r>
      <w:r>
        <w:fldChar w:fldCharType="begin"/>
      </w:r>
      <w:r>
        <w:instrText xml:space="preserve"> PAGEREF _Toc232425048 \h </w:instrText>
      </w:r>
      <w:r>
        <w:fldChar w:fldCharType="separate"/>
      </w:r>
      <w:r>
        <w:t>8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14">
      <w:pPr>
        <w:pStyle w:val="Toc1"/>
        <w:tabs>
          <w:tab w:val="right" w:leader="dot" w:pos="9395"/>
        </w:tabs>
        <w:rPr>
          <w:rFonts w:asciiTheme="minorHAnsi" w:cstheme="minorBidi" w:eastAsiaTheme="minorEastAsia" w:hAnsiTheme="minorHAns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"_Toc232425049" </w:instrText>
      </w:r>
      <w:r>
        <w:rPr>
          <w:rStyle w:val="Hyperlink"/>
        </w:rPr>
        <w:fldChar w:fldCharType="separate"/>
      </w:r>
      <w:r>
        <w:rPr>
          <w:rStyle w:val="Hyperlink"/>
        </w:rPr>
        <w:t>REFERÊNCIAS</w:t>
      </w:r>
      <w:r>
        <w:tab/>
      </w:r>
      <w:r>
        <w:fldChar w:fldCharType="begin"/>
      </w:r>
      <w:r>
        <w:instrText xml:space="preserve"> PAGEREF _Toc232425049 \h </w:instrText>
      </w:r>
      <w:r>
        <w:fldChar w:fldCharType="separate"/>
      </w:r>
      <w:r>
        <w:t>9</w:t>
      </w:r>
      <w:r>
        <w:rPr>
          <w:rFonts w:asciiTheme="minorHAnsi" w:cstheme="minorBidi" w:eastAsiaTheme="minorEastAsia" w:hAnsiTheme="minorHAnsi"/>
        </w:rPr>
        <w:fldChar w:fldCharType="end"/>
      </w:r>
      <w:r>
        <w:rPr>
          <w:rFonts w:asciiTheme="minorHAnsi" w:cstheme="minorBidi" w:eastAsiaTheme="minorEastAsia" w:hAnsiTheme="minorHAnsi"/>
        </w:rPr>
        <w:fldChar w:fldCharType="end"/>
      </w:r>
    </w:p>
    <w:p w14:paraId="00000015">
      <w:r>
        <w:fldChar w:fldCharType="end"/>
      </w:r>
    </w:p>
    <w:p w14:paraId="00000016">
      <w:pPr>
        <w:pStyle w:val="TextoAMNT"/>
        <w:rPr/>
      </w:pPr>
    </w:p>
    <w:p w14:paraId="00000017">
      <w:pPr>
        <w:pStyle w:val="TextoAMNT"/>
        <w:rPr/>
      </w:pPr>
    </w:p>
    <w:p w14:paraId="00000018">
      <w:pPr>
        <w:pStyle w:val="TextoAMNT"/>
        <w:rPr/>
      </w:pPr>
    </w:p>
    <w:p w14:paraId="00000019">
      <w:pPr>
        <w:pStyle w:val="TextoAMNT"/>
        <w:rPr/>
      </w:pPr>
    </w:p>
    <w:p w14:paraId="0000001A">
      <w:pPr>
        <w:pStyle w:val="TextoAMNT"/>
        <w:rPr/>
      </w:pPr>
    </w:p>
    <w:p w14:paraId="0000001B">
      <w:pPr>
        <w:pStyle w:val="TextoAMNT"/>
        <w:rPr/>
      </w:pPr>
    </w:p>
    <w:p w14:paraId="0000001C">
      <w:pPr>
        <w:pStyle w:val="TextoAMNT"/>
        <w:rPr/>
      </w:pPr>
    </w:p>
    <w:p w14:paraId="0000001D">
      <w:pPr>
        <w:pStyle w:val="TextoAMNT"/>
        <w:rPr/>
      </w:pPr>
    </w:p>
    <w:p w14:paraId="0000001E">
      <w:pPr>
        <w:pStyle w:val="TextoAMNT"/>
        <w:rPr/>
      </w:pPr>
    </w:p>
    <w:p w14:paraId="0000001F">
      <w:pPr>
        <w:pStyle w:val="TextoAMNT"/>
        <w:rPr/>
      </w:pPr>
    </w:p>
    <w:p w14:paraId="00000020">
      <w:pPr>
        <w:pStyle w:val="TextoAMNT"/>
        <w:ind w:firstLine="0"/>
        <w:rPr/>
      </w:pPr>
    </w:p>
    <w:p w14:paraId="00000021">
      <w:pPr>
        <w:pStyle w:val="TextoAMNT"/>
        <w:ind w:firstLine="0"/>
        <w:rPr/>
      </w:pPr>
    </w:p>
    <w:p w14:paraId="00000022">
      <w:pPr>
        <w:pStyle w:val="TextoAMNT"/>
        <w:ind w:firstLine="0"/>
        <w:rPr/>
      </w:pPr>
    </w:p>
    <w:p w14:paraId="00000023">
      <w:pPr>
        <w:pStyle w:val="TITULOTCC"/>
        <w:rPr/>
      </w:pPr>
      <w:bookmarkStart w:id="0" w:name="_Toc232425032"/>
      <w:r>
        <w:t>1 INTRODUÇÃO</w:t>
      </w:r>
      <w:bookmarkEnd w:id="0"/>
    </w:p>
    <w:p w14:paraId="00000024">
      <w:pPr>
        <w:pStyle w:val="SUBTITULOTCC"/>
        <w:jc w:val="both"/>
        <w:rPr>
          <w:b w:val="off"/>
        </w:rPr>
      </w:pPr>
      <w:r>
        <w:rPr>
          <w:b w:val="off"/>
        </w:rPr>
        <w:t xml:space="preserve">A educação é um processo essencial ao desenvolvimento humano que, sob a ótica da aprendizagem significativa de David </w:t>
      </w:r>
      <w:r>
        <w:rPr>
          <w:b w:val="off"/>
        </w:rPr>
        <w:t>Ausubel</w:t>
      </w:r>
      <w:r>
        <w:rPr>
          <w:b w:val="off"/>
        </w:rPr>
        <w:t>, ocorre quando novos conhecimentos se ancoram na estrutura cognitiva preexistente do estudante. No entanto, o modelo educacional vigente no Brasil negligencia a maioria das pessoas com deficiência (</w:t>
      </w:r>
      <w:r>
        <w:rPr>
          <w:b w:val="off"/>
        </w:rPr>
        <w:t>PCDS</w:t>
      </w:r>
      <w:r>
        <w:rPr>
          <w:b w:val="off"/>
        </w:rPr>
        <w:t xml:space="preserve">), restringindo a inclusão a espaços segregados e a uma perspectiva puramente </w:t>
      </w:r>
      <w:r>
        <w:rPr>
          <w:b w:val="off"/>
        </w:rPr>
        <w:t>reabilitacional</w:t>
      </w:r>
      <w:r>
        <w:rPr>
          <w:b w:val="off"/>
        </w:rPr>
        <w:t xml:space="preserve">, em detrimento de sua autonomia plena. Sob a ótica </w:t>
      </w:r>
      <w:r>
        <w:rPr>
          <w:b w:val="off"/>
        </w:rPr>
        <w:t>foucaultiana</w:t>
      </w:r>
      <w:r>
        <w:rPr>
          <w:b w:val="off"/>
        </w:rPr>
        <w:t xml:space="preserve">, essa exclusão materializa o conceito de </w:t>
      </w:r>
      <w:r>
        <w:rPr>
          <w:b w:val="off"/>
        </w:rPr>
        <w:t>biopoder</w:t>
      </w:r>
      <w:r>
        <w:rPr>
          <w:b w:val="off"/>
        </w:rPr>
        <w:t>, operando uma seleção socioeconômica que afeta o direito à cidadania, cenário agravado nas periferias pela insuficiência de políticas de assistência como o BPC (LOAS).</w:t>
      </w:r>
    </w:p>
    <w:p w14:paraId="00000025">
      <w:pPr>
        <w:pStyle w:val="SUBTITULOTCC"/>
        <w:jc w:val="both"/>
        <w:rPr>
          <w:b w:val="off"/>
        </w:rPr>
      </w:pPr>
      <w:r>
        <w:rPr>
          <w:b w:val="off"/>
        </w:rPr>
        <w:t>Frente a esse panorama, a convergência entre a educação inclusiva e o Pensamento Computacional surge como uma abordagem metodológica potente para democratizar o acesso a conteúdos lógico-científicos. Contudo, a aplicação prática dessa estratégia esbarra na precariedade da infraestrutura escolar pública e na lacuna de formação continuada de professores. Para romper com esse ciclo estrutural de exclusão e efetivar as diretrizes da Lei de Diretrizes e Bases da Educação Nacional (LDB nº 9.394/1996), faz-se imperativo o desenvolvimento de ferramentas pedagógicas acessíveis que promovam a emancipação digital.</w:t>
      </w:r>
    </w:p>
    <w:p w14:paraId="00000026">
      <w:pPr>
        <w:pStyle w:val="SUBTITULOTCC"/>
        <w:jc w:val="both"/>
        <w:rPr>
          <w:b w:val="off"/>
        </w:rPr>
      </w:pPr>
      <w:r>
        <w:rPr>
          <w:b w:val="off"/>
        </w:rPr>
        <w:t xml:space="preserve">Diante disso, este trabalho fundamenta-se em um arcabouço teórico integrado a uma pesquisa de campo experimental com o público-alvo para propor uma solução no horizonte da tecnologia </w:t>
      </w:r>
      <w:r>
        <w:rPr>
          <w:b w:val="off"/>
        </w:rPr>
        <w:t>assistiva</w:t>
      </w:r>
      <w:r>
        <w:rPr>
          <w:b w:val="off"/>
        </w:rPr>
        <w:t xml:space="preserve"> e do design inclusivo. O objetivo central é apresentar o </w:t>
      </w:r>
      <w:r>
        <w:rPr>
          <w:b w:val="off"/>
        </w:rPr>
        <w:t>Snack</w:t>
      </w:r>
      <w:r>
        <w:rPr>
          <w:b w:val="off"/>
        </w:rPr>
        <w:t xml:space="preserve"> Bit: Robô Inclusivo para Aprender Lógica de Programação, uma interface tangível e tátil-auditiva desenvolvida para aliar engenharia acessível à simplicidade material, visando o fortalecimento cognitivo e a autonomia de estudantes </w:t>
      </w:r>
      <w:r>
        <w:rPr>
          <w:b w:val="off"/>
        </w:rPr>
        <w:t>PcDs</w:t>
      </w:r>
      <w:r>
        <w:rPr>
          <w:b w:val="off"/>
        </w:rPr>
        <w:t xml:space="preserve"> no Brasil.</w:t>
      </w:r>
    </w:p>
    <w:p w14:paraId="00000027">
      <w:pPr>
        <w:pStyle w:val="TextoAMNT"/>
        <w:rPr/>
      </w:pPr>
    </w:p>
    <w:p w14:paraId="00000028">
      <w:pPr>
        <w:pStyle w:val="TITULOTCC"/>
        <w:rPr/>
      </w:pPr>
      <w:bookmarkStart w:id="1" w:name="_Toc232425033"/>
      <w:r>
        <w:t>2 OBJETIVOS E QUESTÃO DE PESQUISA</w:t>
      </w:r>
      <w:bookmarkEnd w:id="1"/>
    </w:p>
    <w:p w14:paraId="00000029">
      <w:pPr>
        <w:pStyle w:val="TITULOTCC"/>
        <w:rPr/>
      </w:pPr>
    </w:p>
    <w:p w14:paraId="0000002A">
      <w:pPr>
        <w:pStyle w:val="SUBTITULOTCC"/>
        <w:rPr/>
      </w:pPr>
      <w:bookmarkStart w:id="2" w:name="_Toc232425034"/>
      <w:r>
        <w:t>2.1 Objetivo Geral</w:t>
      </w:r>
      <w:bookmarkEnd w:id="2"/>
    </w:p>
    <w:p w14:paraId="0000002B">
      <w:pPr>
        <w:pStyle w:val="TextoAMNT"/>
        <w:rPr/>
      </w:pPr>
      <w:r>
        <w:t>Promover o ensino de lógica de programação para pessoas com deficiência de forma lúdica, tangível e acessível, por meio de uma mesa de controle operada por blocos físicos inteligentes integrada a um sistema de feedback tátil-auditivo.</w:t>
      </w:r>
    </w:p>
    <w:p w14:paraId="0000002C">
      <w:pPr>
        <w:pStyle w:val="TextoAMNT"/>
        <w:ind w:firstLine="0"/>
        <w:rPr/>
      </w:pPr>
    </w:p>
    <w:p w14:paraId="0000002D">
      <w:pPr>
        <w:pStyle w:val="SUBTITULOTCC"/>
        <w:rPr/>
      </w:pPr>
      <w:bookmarkStart w:id="3" w:name="_Toc232425035"/>
      <w:r>
        <w:t>2.2 Objetivos Específicos</w:t>
      </w:r>
      <w:bookmarkEnd w:id="3"/>
    </w:p>
    <w:p w14:paraId="0000002E">
      <w:pPr>
        <w:pStyle w:val="TextoAMNT"/>
        <w:numPr>
          <w:ilvl w:val="0"/>
          <w:numId w:val="3"/>
        </w:numPr>
        <w:rPr/>
      </w:pPr>
      <w:r>
        <w:t>Desenvolver um conjunto de blocos físicos tridimensionais dotados de restrições geométricas (</w:t>
      </w:r>
      <w:r>
        <w:t>poka-yoke</w:t>
      </w:r>
      <w:r>
        <w:t>) para codificar comandos básicos de movimentação, direção e controle de fluxo;</w:t>
      </w:r>
    </w:p>
    <w:p w14:paraId="0000002F">
      <w:pPr>
        <w:pStyle w:val="TextoAMNT"/>
        <w:numPr>
          <w:ilvl w:val="0"/>
          <w:numId w:val="3"/>
        </w:numPr>
        <w:rPr/>
      </w:pPr>
      <w:r>
        <w:t>Projetar e construir um veículo robótico educacional simples responsável por executar as instruções geradas pelos blocos;</w:t>
      </w:r>
    </w:p>
    <w:p w14:paraId="00000030">
      <w:pPr>
        <w:pStyle w:val="TextoAMNT"/>
        <w:numPr>
          <w:ilvl w:val="0"/>
          <w:numId w:val="3"/>
        </w:numPr>
        <w:rPr/>
      </w:pPr>
      <w:r>
        <w:t>Desenvolver uma mesa controladora dotada de leitores de identificação por radiofrequência (RFID) capaz de processar o sequenciamento algorítmico montado pelo usuário;</w:t>
      </w:r>
    </w:p>
    <w:p w14:paraId="00000031">
      <w:pPr>
        <w:pStyle w:val="TextoAMNT"/>
        <w:numPr>
          <w:ilvl w:val="0"/>
          <w:numId w:val="3"/>
        </w:numPr>
        <w:rPr/>
      </w:pPr>
      <w:r>
        <w:t xml:space="preserve">Prover estímulos multissensoriais (sonoros e táteis) adequados para estudantes com deficiências visuais, intelectuais, motoras ou </w:t>
      </w:r>
      <w:r>
        <w:t>neurodivergências</w:t>
      </w:r>
      <w:r>
        <w:t>;</w:t>
      </w:r>
    </w:p>
    <w:p w14:paraId="00000032">
      <w:pPr>
        <w:pStyle w:val="TextoAMNT"/>
        <w:numPr>
          <w:ilvl w:val="0"/>
          <w:numId w:val="3"/>
        </w:numPr>
        <w:rPr/>
      </w:pPr>
      <w:r>
        <w:t>Validar a usabilidade, acessibilidade e eficácia pedagógica da abordagem em ambientes reais de educação inclusiva</w:t>
      </w:r>
    </w:p>
    <w:p w14:paraId="00000033">
      <w:pPr>
        <w:pStyle w:val="TextoAMNT"/>
        <w:ind w:left="1440" w:firstLine="0"/>
        <w:rPr/>
      </w:pPr>
    </w:p>
    <w:p w14:paraId="00000034">
      <w:pPr>
        <w:pStyle w:val="TITULOTCC"/>
        <w:rPr/>
      </w:pPr>
      <w:bookmarkStart w:id="4" w:name="_Toc232425036"/>
      <w:r>
        <w:t>3 FUNDAMENTAÇÃO TEÓRICA</w:t>
      </w:r>
      <w:bookmarkEnd w:id="4"/>
    </w:p>
    <w:p w14:paraId="00000035">
      <w:pPr>
        <w:pStyle w:val="TITULOTCC"/>
        <w:rPr/>
      </w:pPr>
    </w:p>
    <w:p w14:paraId="00000036">
      <w:pPr>
        <w:pStyle w:val="SUBTITULOTCC"/>
        <w:rPr/>
      </w:pPr>
      <w:bookmarkStart w:id="5" w:name="_Toc232425037"/>
      <w:r>
        <w:t xml:space="preserve">3.1 Perspectivas Biopolíticas e a Construção Social da </w:t>
      </w:r>
      <w:r>
        <w:t>Deficiência</w:t>
      </w:r>
      <w:bookmarkEnd w:id="5"/>
    </w:p>
    <w:p w14:paraId="00000037">
      <w:pPr>
        <w:pStyle w:val="TextoAMNT"/>
        <w:rPr/>
      </w:pPr>
      <w:r>
        <w:t>A compreensão da deficiência na contemporaneidade exige uma análise de como os corpos são percebidos e geridos pelas instâncias de poder. Foucault (2008) introduz o conceito de biopoder para descrever o conjunto de mecanismos que integram as características biológicas da espécie humana em estratégias políticas gerais. Sob essa ótica, a deficiência deixa de ser apenas uma condição clínica para se tornar um objeto de políticas de normalização e integração coercitiva.</w:t>
      </w:r>
    </w:p>
    <w:p w14:paraId="00000038">
      <w:pPr>
        <w:pStyle w:val="TextoAMNT"/>
        <w:rPr/>
      </w:pPr>
      <w:r>
        <w:t>Nesse contexto, a legislação brasileira, através da Lei Brasileira de Inclusão, redefine a pessoa com deficiência como aquela que possui impedimentos de longo prazo (físicos, mentais, intelectuais ou sensoriais) que, ao interagirem com barreiras impostas pela sociedade, têm sua participação plena e equitativa obstruída (BRASIL, 2015). Portanto, o foco epistemológico desloca-se do impedimento orgânico intrínseco ao sujeito para a responsabilidade social em eliminar as barreiras arquitetônicas, urbanísticas e pedagógicas.</w:t>
      </w:r>
    </w:p>
    <w:p w14:paraId="00000039">
      <w:pPr>
        <w:pStyle w:val="TextoAMNT"/>
        <w:rPr/>
      </w:pPr>
    </w:p>
    <w:p w14:paraId="0000003A">
      <w:pPr>
        <w:pStyle w:val="SUBTITULOTCC"/>
        <w:rPr/>
      </w:pPr>
      <w:bookmarkStart w:id="6" w:name="_Toc232425038"/>
      <w:r>
        <w:t>3.2 O Paradigma da Educação Inclusiva e o Contexto Brasileiro</w:t>
      </w:r>
      <w:bookmarkEnd w:id="6"/>
    </w:p>
    <w:p w14:paraId="0000003B">
      <w:pPr>
        <w:pStyle w:val="TextoAMNT"/>
        <w:rPr/>
      </w:pPr>
      <w:r>
        <w:t>A educação inclusiva no Brasil fundamenta-se na garantia do direito inalienável à escolarização em ambientes regulares para estudantes com deficiência, transtornos globais do desenvolvimento e altas habilidades ou superdotação (BORGES, 2016). Mais do que a simples garantia cartorial da matrícula, a escola inclusiva é balizada pela sua capacidade de reconhecer as especificidades e potencialidades singulares de cada aluno, respeitar a diversidade como valor pedagógico estruturante e promover a formação integral do sujeito, conforme preconizado pela Base Nacional Comum Curricular (BRASIL, 2018).</w:t>
      </w:r>
    </w:p>
    <w:p w14:paraId="0000003C">
      <w:pPr>
        <w:pStyle w:val="SUBTITULOTCC"/>
        <w:rPr/>
      </w:pPr>
    </w:p>
    <w:p w14:paraId="0000003D">
      <w:pPr>
        <w:pStyle w:val="SUBTITULOTCC"/>
        <w:rPr/>
      </w:pPr>
      <w:bookmarkStart w:id="7" w:name="_Toc232425039"/>
      <w:r>
        <w:t>3.3 Processos de Aprendizagem e Mediação Pedagógica</w:t>
      </w:r>
      <w:bookmarkEnd w:id="7"/>
    </w:p>
    <w:p w14:paraId="0000003E">
      <w:pPr>
        <w:pStyle w:val="TextoAMNT"/>
        <w:rPr/>
      </w:pPr>
      <w:r>
        <w:t xml:space="preserve">Para que a inclusão se concretize de forma efetiva no plano cognitivo, é essencial compreender os mecanismos de internalização do conhecimento. </w:t>
      </w:r>
      <w:r>
        <w:t>Galperin</w:t>
      </w:r>
      <w:r>
        <w:t xml:space="preserve"> (2009) propõe que a aprendizagem ocorre por meio da formação de ações mentais em etapas hierárquicas. Inicialmente, o estudante necessita da etapa material ou materializada, a qual requer a manipulação direta de objetos reais ou representações físicas concretas.</w:t>
      </w:r>
    </w:p>
    <w:p w14:paraId="0000003F">
      <w:pPr>
        <w:pStyle w:val="TextoAMNT"/>
        <w:rPr/>
      </w:pPr>
      <w:r>
        <w:t>Neste processo, a linguagem atua como o principal instrumento mediador: manifesta-se primei</w:t>
      </w:r>
      <w:r>
        <w:t>ramente como linguagem externa</w:t>
      </w:r>
      <w:r>
        <w:t xml:space="preserve"> voltada para a comunicação, socialização e desc</w:t>
      </w:r>
      <w:r>
        <w:t>rição das experiências vividas</w:t>
      </w:r>
      <w:r>
        <w:t>, para posteriormente converter-se em linguagem interna, momento no qual os conceitos são assimilados e as ações tornam-se puramente mentais, prescindindo definitivamente dos suportes físicos de apoio (GALPERIN, 2009).</w:t>
      </w:r>
    </w:p>
    <w:p w14:paraId="00000040">
      <w:pPr>
        <w:pStyle w:val="TextoAMNT"/>
        <w:rPr/>
      </w:pPr>
    </w:p>
    <w:p w14:paraId="00000041">
      <w:pPr>
        <w:pStyle w:val="TITULODEtcc"/>
        <w:rPr/>
      </w:pPr>
      <w:bookmarkStart w:id="8" w:name="_Toc232425040"/>
      <w:r>
        <w:t>3.4 Tecnologia Assistiva e Lógica de Suporte à Inclusão</w:t>
      </w:r>
      <w:bookmarkEnd w:id="8"/>
    </w:p>
    <w:p w14:paraId="00000042">
      <w:pPr>
        <w:pStyle w:val="TextoAMNT"/>
        <w:rPr/>
      </w:pPr>
      <w:r>
        <w:t>Como ferramenta viabilizadora desse processo, a Tecnologia Assistiva (TA) surge com o propósito de ampliar as habilidades funcionais de indivíduos com limitações, promovendo autonomia, equidade e vida independente (BERSCH, 2006). A integração planejada de recursos tecnológicos no ecossistema de ensino permite mitigar barreiras comunicacionais, motoras e cognitivas, transformando salas de aula tradicionais em espaços dinâmicos de aprendizagem ativa.</w:t>
      </w:r>
    </w:p>
    <w:p w14:paraId="00000043">
      <w:pPr>
        <w:pStyle w:val="TextoAMNT"/>
        <w:rPr/>
      </w:pPr>
      <w:r>
        <w:t>No desenvolvimento de ferramentas pedagógicas físicas, o pensamento computacional e a lógica de programação atuam como eixos es</w:t>
      </w:r>
      <w:r>
        <w:t>truturantes do raciocínio abstrato. A introdução de conceitos computacionais, como as estrut</w:t>
      </w:r>
      <w:r>
        <w:t>uras de repetição determinadas</w:t>
      </w:r>
      <w:r>
        <w:t xml:space="preserve"> a exemplo do Laço For, que executa blocos de instruções por uma quantidade de veze</w:t>
      </w:r>
      <w:r>
        <w:t>s predefinida pelo programador</w:t>
      </w:r>
      <w:r>
        <w:t>, ganha contornos palpáveis por meio da TA. Isso faculta a criação de ambientes interativos nos quais estudantes com deficiência visual manipulam fisicamente variáveis e fluxos de dados, testando hipóteses e recebendo feedbacks sensoriais contínuos até consolidar a compreensão do conteúdo proposto.</w:t>
      </w:r>
    </w:p>
    <w:p w14:paraId="00000044">
      <w:pPr>
        <w:pStyle w:val="SUBTITILOTCC"/>
        <w:rPr/>
      </w:pPr>
    </w:p>
    <w:p w14:paraId="00000045">
      <w:pPr>
        <w:pStyle w:val="SUBTITULOTCC"/>
        <w:rPr/>
      </w:pPr>
      <w:bookmarkStart w:id="9" w:name="_Toc232425041"/>
      <w:r>
        <w:t>3.5 Robótica Educacional como Elemento de Mediação Pedagógica</w:t>
      </w:r>
      <w:bookmarkEnd w:id="9"/>
    </w:p>
    <w:p w14:paraId="00000046">
      <w:pPr>
        <w:pStyle w:val="TextoAMNT"/>
        <w:rPr/>
      </w:pPr>
      <w:r>
        <w:t>A robótica constitui um campo interdisciplinar que integra engenharia mecânica, eletrônica e ciência da computação, articulando sistemas mecânicos controlados por lógica embarcada em microcontroladores. Distanciando-se das aplicações estritamente industriais voltadas à automação produtiva e redução de custos operacionais, a inserção desses dispositivos no ambiente escolar — sob a égide da Robótica Educacional — opera como um catalisador de mediação pedagógica (D'ABREU, 2014).</w:t>
      </w:r>
    </w:p>
    <w:p w14:paraId="00000047">
      <w:pPr>
        <w:pStyle w:val="TextoAMNT"/>
        <w:rPr/>
      </w:pPr>
      <w:r>
        <w:t xml:space="preserve">Ao atuar na programação de um artefato robótico, o educando assume o papel de sujeito ativo da construção do conhecimento. Para o estudante com deficiência visual, o dispositivo robótico corporifica a "etapa materializada" postulada por </w:t>
      </w:r>
      <w:r>
        <w:t>Galperin</w:t>
      </w:r>
      <w:r>
        <w:t xml:space="preserve"> (2009): os algoritmos estruturados fisicamente na mesa controladora traduzem-se em ações concretas no espaço físico tridimensional. O comportamento dinâmico do veículo educacional, impulsionado por sistemas de potência (pontes H) e coordenado por redes sem fio de radiofrequência, converte linhas de código invisíveis em deslocamentos espaciais, estímulos táteis e sinais sonoros, consolidando a transição da ação concreta para a abstração lógica.</w:t>
      </w:r>
    </w:p>
    <w:p w14:paraId="00000048">
      <w:pPr>
        <w:pStyle w:val="TextoAMNT"/>
        <w:rPr/>
      </w:pPr>
    </w:p>
    <w:p w14:paraId="00000049">
      <w:pPr>
        <w:pStyle w:val="TITULOTCC"/>
        <w:rPr/>
      </w:pPr>
      <w:bookmarkStart w:id="10" w:name="_Toc232425042"/>
      <w:r>
        <w:t>4 METODOLOGIA E PROCEDIMENTOS TÉCNICOS</w:t>
      </w:r>
      <w:bookmarkEnd w:id="10"/>
    </w:p>
    <w:p w14:paraId="0000004A">
      <w:pPr>
        <w:pStyle w:val="TextoAMNT"/>
        <w:rPr/>
      </w:pPr>
      <w:r>
        <w:t xml:space="preserve">Do ponto de vista dos procedimentos técnicos, esta pesquisa caracteriza-se como um estudo de caso de natureza aplicada e qualitativa. A abordagem envolveu o desenvolvimento de um protótipo tecnológico assistivo batizado de Snack Bit, o qual foi submetido a testes empíricos de usabilidade e potencialização pedagógica em cenários educacionais reais. O ecossistema tangível foi concebido a partir de três etapas de </w:t>
      </w:r>
      <w:r>
        <w:t>engenharia estruturadas e interdependentes:</w:t>
      </w:r>
    </w:p>
    <w:p w14:paraId="0000004B">
      <w:pPr>
        <w:pStyle w:val="TextoAMNT"/>
        <w:rPr/>
      </w:pPr>
    </w:p>
    <w:p w14:paraId="0000004C">
      <w:pPr>
        <w:pStyle w:val="TextoAMNT"/>
        <w:rPr>
          <w:b/>
        </w:rPr>
      </w:pPr>
      <w:r>
        <w:rPr>
          <w:b/>
        </w:rPr>
        <w:t xml:space="preserve">4.1 Montagem do robô estudantil </w:t>
      </w:r>
    </w:p>
    <w:p w14:paraId="0000004D">
      <w:pPr>
        <w:pStyle w:val="SUBTITULOTCC"/>
        <w:rPr>
          <w:b w:val="off"/>
          <w:lang w:val="pt-BR"/>
        </w:rPr>
      </w:pPr>
      <w:bookmarkStart w:id="11" w:name="_Toc232425043"/>
      <w:r>
        <w:rPr>
          <w:b w:val="off"/>
          <w:lang w:val="pt-BR"/>
        </w:rPr>
        <w:t>Inicialmente, montou-se o robô com base nos princípios da robótica, utilizando os seguintes componentes específicos</w:t>
      </w:r>
      <w:r>
        <w:rPr>
          <w:b w:val="off"/>
          <w:lang w:val="pt-BR"/>
        </w:rPr>
        <w:t>:</w:t>
      </w:r>
    </w:p>
    <w:p w14:paraId="0000004E">
      <w:pPr>
        <w:pStyle w:val="SUBTITULOTCC"/>
        <w:rPr>
          <w:b w:val="off"/>
          <w:lang w:val="pt-BR"/>
        </w:rPr>
      </w:pPr>
      <w:r>
        <w:rPr>
          <w:b w:val="off"/>
          <w:lang w:val="pt-BR"/>
        </w:rPr>
        <w:t xml:space="preserve"> </w:t>
      </w:r>
      <w:r>
        <w:rPr>
          <w:b w:val="off"/>
          <w:lang w:val="pt-BR"/>
        </w:rPr>
        <w:t>Chassi</w:t>
      </w:r>
      <w:r>
        <w:rPr>
          <w:b w:val="off"/>
          <w:lang w:val="pt-BR"/>
        </w:rPr>
        <w:t>;</w:t>
      </w:r>
    </w:p>
    <w:p w14:paraId="0000004F">
      <w:pPr>
        <w:pStyle w:val="SUBTITULOTCC"/>
        <w:rPr>
          <w:b w:val="off"/>
          <w:lang w:val="pt-BR"/>
        </w:rPr>
      </w:pPr>
      <w:r>
        <w:rPr>
          <w:b w:val="off"/>
          <w:lang w:val="pt-BR"/>
        </w:rPr>
        <w:t xml:space="preserve"> </w:t>
      </w:r>
      <w:r>
        <w:rPr>
          <w:b w:val="off"/>
          <w:lang w:val="pt-BR"/>
        </w:rPr>
        <w:t>Arduino</w:t>
      </w:r>
      <w:r>
        <w:rPr>
          <w:b w:val="off"/>
          <w:lang w:val="pt-BR"/>
        </w:rPr>
        <w:t>;</w:t>
      </w:r>
    </w:p>
    <w:p w14:paraId="00000050">
      <w:pPr>
        <w:pStyle w:val="SUBTITULOTCC"/>
        <w:rPr>
          <w:b w:val="off"/>
          <w:lang w:val="pt-BR"/>
        </w:rPr>
      </w:pPr>
      <w:r>
        <w:rPr>
          <w:b w:val="off"/>
          <w:lang w:val="pt-BR"/>
        </w:rPr>
        <w:t>Ponte H</w:t>
      </w:r>
      <w:r>
        <w:rPr>
          <w:b w:val="off"/>
          <w:lang w:val="pt-BR"/>
        </w:rPr>
        <w:t>;</w:t>
      </w:r>
    </w:p>
    <w:p w14:paraId="00000051">
      <w:pPr>
        <w:pStyle w:val="SUBTITULOTCC"/>
        <w:rPr>
          <w:b w:val="off"/>
          <w:lang w:val="pt-BR"/>
        </w:rPr>
      </w:pPr>
      <w:r>
        <w:rPr>
          <w:b w:val="off"/>
          <w:lang w:val="pt-BR"/>
        </w:rPr>
        <w:t xml:space="preserve"> </w:t>
      </w:r>
      <w:r>
        <w:rPr>
          <w:b w:val="off"/>
          <w:lang w:val="pt-BR"/>
        </w:rPr>
        <w:t>Motores DC</w:t>
      </w:r>
      <w:r>
        <w:rPr>
          <w:b w:val="off"/>
          <w:lang w:val="pt-BR"/>
        </w:rPr>
        <w:t>.</w:t>
      </w:r>
    </w:p>
    <w:p w14:paraId="00000052">
      <w:pPr>
        <w:pStyle w:val="SUBTITULOTCC"/>
        <w:rPr>
          <w:b w:val="off"/>
          <w:lang w:val="pt-BR"/>
        </w:rPr>
      </w:pPr>
      <w:r>
        <w:rPr>
          <w:b w:val="off"/>
          <w:lang w:val="pt-BR"/>
        </w:rPr>
        <w:t>Tais equipamentos foram integrados a fim de suprir a necessidade de movimentação do robô (Chico)</w:t>
      </w:r>
      <w:r>
        <w:rPr>
          <w:b w:val="off"/>
          <w:lang w:val="pt-BR"/>
        </w:rPr>
        <w:t>.</w:t>
      </w:r>
    </w:p>
    <w:p w14:paraId="00000053">
      <w:pPr>
        <w:pStyle w:val="TextoAMNT"/>
        <w:ind w:left="0" w:right="0" w:firstLine="0"/>
        <w:rPr>
          <w:b/>
          <w:bCs/>
          <w:lang w:val="pt-BR"/>
        </w:rPr>
      </w:pPr>
      <w:bookmarkEnd w:id="11"/>
    </w:p>
    <w:p w14:paraId="00000054">
      <w:pPr>
        <w:pStyle w:val="TextoAMNT"/>
        <w:ind w:left="0" w:right="0" w:firstLine="0"/>
        <w:rPr>
          <w:b/>
          <w:bCs/>
          <w:lang w:val="pt-BR"/>
        </w:rPr>
      </w:pPr>
      <w:r>
        <w:rPr>
          <w:b/>
          <w:bCs/>
          <w:lang w:val="pt-BR"/>
        </w:rPr>
        <w:t>4.2 Prototipagem de Baixa Fidelidade</w:t>
      </w:r>
    </w:p>
    <w:p w14:paraId="00000055">
      <w:pPr>
        <w:pStyle w:val="TextoAMNT"/>
        <w:ind w:left="0" w:firstLine="0"/>
        <w:rPr>
          <w:lang w:val="pt-BR"/>
        </w:rPr>
      </w:pPr>
      <w:r>
        <w:rPr>
          <w:lang w:val="pt-BR"/>
        </w:rPr>
        <w:t>Utilizou-se papelão para a montagem e disposição volumétrica preliminar da mesa controladora e de seus componentes</w:t>
      </w:r>
      <w:r>
        <w:rPr>
          <w:lang w:val="pt-BR"/>
        </w:rPr>
        <w:t xml:space="preserve">. </w:t>
      </w:r>
      <w:r>
        <w:rPr>
          <w:lang w:val="pt-BR"/>
        </w:rPr>
        <w:t>Esta etapa mostrou-se fundamental para validar, de forma rápida e de baixo custo, a ergonomia de uso, o dimensionamento do espaçamento tátil e o reconhecimento das formas espaciais pelo público-alvo, reduzindo falhas de modelagem antes da manufatura digital definitiva</w:t>
      </w:r>
      <w:r>
        <w:rPr>
          <w:lang w:val="pt-BR"/>
        </w:rPr>
        <w:t>.</w:t>
      </w:r>
    </w:p>
    <w:p w14:paraId="00000056">
      <w:pPr>
        <w:pStyle w:val="TextoAMNT"/>
        <w:ind w:left="0" w:right="0" w:firstLine="0"/>
        <w:rPr>
          <w:b/>
          <w:bCs/>
          <w:lang w:val="pt-BR"/>
        </w:rPr>
      </w:pPr>
    </w:p>
    <w:p w14:paraId="00000057">
      <w:pPr>
        <w:pStyle w:val="TextoAMNT"/>
        <w:ind w:left="0" w:right="0" w:firstLine="0"/>
        <w:rPr>
          <w:b/>
          <w:bCs/>
          <w:lang w:val="pt-BR"/>
        </w:rPr>
      </w:pPr>
      <w:r>
        <w:rPr>
          <w:b/>
          <w:bCs/>
          <w:lang w:val="pt-BR"/>
        </w:rPr>
        <w:t>4.3 Modelagem e Projeto 3D (CAD)</w:t>
      </w:r>
    </w:p>
    <w:p w14:paraId="00000058">
      <w:pPr>
        <w:pStyle w:val="TextoAMNT"/>
        <w:ind w:left="0" w:firstLine="0"/>
        <w:rPr>
          <w:lang w:val="pt-BR"/>
        </w:rPr>
      </w:pPr>
      <w:r>
        <w:rPr>
          <w:lang w:val="pt-BR"/>
        </w:rPr>
        <w:t>Apoiando-se nos parâmetros antropométricos validados no estágio anterior, desenvolveu-se o design virtual tridimensional da mesa de controle e dos blocos de comando através de software CAD</w:t>
      </w:r>
      <w:r>
        <w:rPr>
          <w:lang w:val="pt-BR"/>
        </w:rPr>
        <w:t xml:space="preserve">. </w:t>
      </w:r>
      <w:r>
        <w:rPr>
          <w:lang w:val="pt-BR"/>
        </w:rPr>
        <w:t>Sob a óptica do design universal e da tecnologia assistiva, a superfície da mesa foi projetada com seis perfurações de geometria quadrada dispostas em uma matriz organizada</w:t>
      </w:r>
      <w:r>
        <w:rPr>
          <w:lang w:val="pt-BR"/>
        </w:rPr>
        <w:t>:</w:t>
      </w:r>
    </w:p>
    <w:p w14:paraId="00000059">
      <w:pPr>
        <w:pStyle w:val="TextoAMNT"/>
        <w:numPr>
          <w:ilvl w:val="0"/>
          <w:numId w:val="7"/>
        </w:numPr>
        <w:rPr>
          <w:lang w:val="pt-BR"/>
        </w:rPr>
      </w:pPr>
      <w:r>
        <w:rPr>
          <w:b/>
          <w:lang w:val="pt-BR"/>
        </w:rPr>
        <w:t>Cinco cavidades sequenciais:</w:t>
      </w:r>
      <w:r>
        <w:rPr>
          <w:lang w:val="pt-BR"/>
        </w:rPr>
        <w:t>dedicadas estritamente ao posicionamento dos blocos lógicos de movimentação e direção espacial (estrutura algorítmica linear)</w:t>
      </w:r>
      <w:r>
        <w:rPr>
          <w:lang w:val="pt-BR"/>
        </w:rPr>
        <w:t>;</w:t>
      </w:r>
    </w:p>
    <w:p w14:paraId="0000005A">
      <w:pPr>
        <w:pStyle w:val="TextoAMNT"/>
        <w:numPr>
          <w:ilvl w:val="0"/>
          <w:numId w:val="7"/>
        </w:numPr>
        <w:rPr>
          <w:lang w:val="pt-BR"/>
        </w:rPr>
      </w:pPr>
      <w:r>
        <w:rPr>
          <w:b/>
          <w:lang w:val="pt-BR"/>
        </w:rPr>
        <w:t>Uma cavidade de controle:</w:t>
      </w:r>
      <w:r>
        <w:rPr>
          <w:lang w:val="pt-BR"/>
        </w:rPr>
        <w:t>posicionada estrategicamente para receber blocos numéricos indicadores da quantidade de iterações, materializando fisicamente a estrutura de um laço de repetição (</w:t>
      </w:r>
      <w:r>
        <w:rPr>
          <w:i/>
          <w:lang w:val="pt-BR"/>
        </w:rPr>
        <w:t>Loop For</w:t>
      </w:r>
      <w:r>
        <w:rPr>
          <w:lang w:val="pt-BR"/>
        </w:rPr>
        <w:t>)</w:t>
      </w:r>
      <w:r>
        <w:rPr>
          <w:lang w:val="pt-BR"/>
        </w:rPr>
        <w:t>.</w:t>
      </w:r>
    </w:p>
    <w:p w14:paraId="0000005B">
      <w:pPr>
        <w:pStyle w:val="TextoAMNT"/>
        <w:ind w:left="0" w:firstLine="0"/>
        <w:rPr>
          <w:lang w:val="pt-BR"/>
        </w:rPr>
      </w:pPr>
      <w:r>
        <w:rPr>
          <w:lang w:val="pt-BR"/>
        </w:rPr>
        <w:t>O projeto digital previu as tolerâncias e folgas mecânicas adequadas para a inserção suave dos blocos, além do posicionamento subsuperficial dos módulos leitores RFID</w:t>
      </w:r>
      <w:r>
        <w:rPr>
          <w:lang w:val="pt-BR"/>
        </w:rPr>
        <w:t xml:space="preserve">. </w:t>
      </w:r>
      <w:r>
        <w:rPr>
          <w:lang w:val="pt-BR"/>
        </w:rPr>
        <w:t>O formato quadrado das perfurações atua como uma barreira física indutiva (</w:t>
      </w:r>
      <w:r>
        <w:rPr>
          <w:i/>
          <w:lang w:val="pt-BR"/>
        </w:rPr>
        <w:t>poka-yoke</w:t>
      </w:r>
      <w:r>
        <w:rPr>
          <w:lang w:val="pt-BR"/>
        </w:rPr>
        <w:t>), impedindo rotações incorretas dos blocos e garantindo o acoplamento eletromagnético ideal entre as etiquetas (</w:t>
      </w:r>
      <w:r>
        <w:rPr>
          <w:i/>
          <w:lang w:val="pt-BR"/>
        </w:rPr>
        <w:t>tags</w:t>
      </w:r>
      <w:r>
        <w:rPr>
          <w:lang w:val="pt-BR"/>
        </w:rPr>
        <w:t>) e as antenas leitoras</w:t>
      </w:r>
      <w:r>
        <w:rPr>
          <w:lang w:val="pt-BR"/>
        </w:rPr>
        <w:t>.</w:t>
      </w:r>
    </w:p>
    <w:p w14:paraId="0000005C">
      <w:pPr>
        <w:pStyle w:val="TextoAMNT"/>
        <w:ind w:left="0" w:right="0" w:firstLine="0"/>
        <w:rPr>
          <w:b/>
          <w:bCs/>
          <w:lang w:val="pt-BR"/>
        </w:rPr>
      </w:pPr>
    </w:p>
    <w:p w14:paraId="0000005D">
      <w:pPr>
        <w:pStyle w:val="TextoAMNT"/>
        <w:ind w:left="0" w:right="0" w:firstLine="0"/>
        <w:rPr>
          <w:b/>
          <w:bCs/>
          <w:lang w:val="pt-BR"/>
        </w:rPr>
      </w:pPr>
      <w:r>
        <w:rPr>
          <w:b/>
          <w:bCs/>
          <w:lang w:val="pt-BR"/>
        </w:rPr>
        <w:t>4.4 Desenvolvimento Lógico, Sequenciamento e Comunicação Sem Fio</w:t>
      </w:r>
    </w:p>
    <w:p w14:paraId="0000005E">
      <w:pPr>
        <w:pStyle w:val="TextoAMNT"/>
        <w:ind w:left="0" w:firstLine="0"/>
        <w:rPr>
          <w:lang w:val="pt-BR"/>
        </w:rPr>
      </w:pPr>
      <w:r>
        <w:rPr>
          <w:lang w:val="pt-BR"/>
        </w:rPr>
        <w:t>Paralelamente, o sistema lógico foi implementado em linguagem C++ utilizando a IDE Arduino</w:t>
      </w:r>
      <w:r>
        <w:rPr>
          <w:lang w:val="pt-BR"/>
        </w:rPr>
        <w:t xml:space="preserve">. </w:t>
      </w:r>
      <w:r>
        <w:rPr>
          <w:lang w:val="pt-BR"/>
        </w:rPr>
        <w:t>O fluxo de controle foi dividido em duas fases operacionais comandadas de maneira tátil-auditiva através do acionamento sequencial do botão interruptor (</w:t>
      </w:r>
      <w:r>
        <w:rPr>
          <w:i/>
          <w:lang w:val="pt-BR"/>
        </w:rPr>
        <w:t>power</w:t>
      </w:r>
      <w:r>
        <w:rPr>
          <w:lang w:val="pt-BR"/>
        </w:rPr>
        <w:t>)</w:t>
      </w:r>
      <w:r>
        <w:rPr>
          <w:lang w:val="pt-BR"/>
        </w:rPr>
        <w:t>:</w:t>
      </w:r>
    </w:p>
    <w:p w14:paraId="0000005F">
      <w:pPr>
        <w:pStyle w:val="TextoAMNT"/>
        <w:numPr>
          <w:ilvl w:val="0"/>
          <w:numId w:val="8"/>
        </w:numPr>
        <w:rPr>
          <w:lang w:val="pt-BR"/>
        </w:rPr>
      </w:pPr>
      <w:r>
        <w:rPr>
          <w:b/>
          <w:lang w:val="pt-BR"/>
        </w:rPr>
        <w:t>Fase de Inicialização (Estado de Prontidão):</w:t>
      </w:r>
      <w:r>
        <w:rPr>
          <w:lang w:val="pt-BR"/>
        </w:rPr>
        <w:t>ao ativar o interruptor geral (</w:t>
      </w:r>
      <w:r>
        <w:rPr>
          <w:i/>
          <w:lang w:val="pt-BR"/>
        </w:rPr>
        <w:t>power</w:t>
      </w:r>
      <w:r>
        <w:rPr>
          <w:lang w:val="pt-BR"/>
        </w:rPr>
        <w:t xml:space="preserve">), o sistema emite um sinal sonoro característico via </w:t>
      </w:r>
      <w:r>
        <w:rPr>
          <w:i/>
          <w:lang w:val="pt-BR"/>
        </w:rPr>
        <w:t>buzzer</w:t>
      </w:r>
      <w:r>
        <w:rPr>
          <w:lang w:val="pt-BR"/>
        </w:rPr>
        <w:t xml:space="preserve">, fornecendo o </w:t>
      </w:r>
      <w:r>
        <w:rPr>
          <w:i/>
          <w:lang w:val="pt-BR"/>
        </w:rPr>
        <w:t>feedback</w:t>
      </w:r>
      <w:r>
        <w:rPr>
          <w:lang w:val="pt-BR"/>
        </w:rPr>
        <w:t xml:space="preserve">imediato de que a mesa está energizada em estado </w:t>
      </w:r>
      <w:r>
        <w:rPr>
          <w:i/>
          <w:lang w:val="pt-BR"/>
        </w:rPr>
        <w:t>idle</w:t>
      </w:r>
      <w:r>
        <w:rPr>
          <w:lang w:val="pt-BR"/>
        </w:rPr>
        <w:t>(espera)</w:t>
      </w:r>
      <w:r>
        <w:rPr>
          <w:lang w:val="pt-BR"/>
        </w:rPr>
        <w:t xml:space="preserve">. </w:t>
      </w:r>
      <w:r>
        <w:rPr>
          <w:lang w:val="pt-BR"/>
        </w:rPr>
        <w:t>O usuário ganha autonomia para explorar as cavidades e realizar a montagem do algoritmo, arranjando os blocos físicos</w:t>
      </w:r>
      <w:r>
        <w:rPr>
          <w:lang w:val="pt-BR"/>
        </w:rPr>
        <w:t>.</w:t>
      </w:r>
    </w:p>
    <w:p w14:paraId="00000060">
      <w:pPr>
        <w:pStyle w:val="TextoAMNT"/>
        <w:numPr>
          <w:ilvl w:val="0"/>
          <w:numId w:val="8"/>
        </w:numPr>
        <w:rPr>
          <w:lang w:val="pt-BR"/>
        </w:rPr>
      </w:pPr>
      <w:r>
        <w:rPr>
          <w:b/>
          <w:lang w:val="pt-BR"/>
        </w:rPr>
        <w:t>Fase de Execução, Transmissão e Atuação:</w:t>
      </w:r>
      <w:r>
        <w:rPr>
          <w:lang w:val="pt-BR"/>
        </w:rPr>
        <w:t xml:space="preserve">após a estruturação tátil da lógica, o usuário pressiona o botão </w:t>
      </w:r>
      <w:r>
        <w:rPr>
          <w:i/>
          <w:lang w:val="pt-BR"/>
        </w:rPr>
        <w:t>power</w:t>
      </w:r>
      <w:r>
        <w:rPr>
          <w:lang w:val="pt-BR"/>
        </w:rPr>
        <w:t>uma segunda vez</w:t>
      </w:r>
      <w:r>
        <w:rPr>
          <w:lang w:val="pt-BR"/>
        </w:rPr>
        <w:t xml:space="preserve">. </w:t>
      </w:r>
      <w:r>
        <w:rPr>
          <w:lang w:val="pt-BR"/>
        </w:rPr>
        <w:t>A mesa efetua a varredura das cavidades via RFID, processa a lógica sequencial e o laço de repetição determinado, e transmite o pacote de instruções via radiofrequência de 2,4 GHz</w:t>
      </w:r>
      <w:r>
        <w:rPr>
          <w:lang w:val="pt-BR"/>
        </w:rPr>
        <w:t xml:space="preserve">. </w:t>
      </w:r>
      <w:r>
        <w:rPr>
          <w:lang w:val="pt-BR"/>
        </w:rPr>
        <w:t>No veículo robótico, um módulo receptor decodifica os dados recebidos e gerencia os sinais lógicos direcionados à ponte H, que chaveia a potência elétrica para controlar o sentido e a velocidade dos motores DC, traduzindo o código em movimento físico real</w:t>
      </w:r>
    </w:p>
    <w:p w14:paraId="00000061">
      <w:pPr>
        <w:pStyle w:val="TextoAMNT"/>
        <w:ind w:left="0" w:firstLine="0"/>
        <w:rPr>
          <w:lang w:val="pt-BR"/>
        </w:rPr>
      </w:pPr>
    </w:p>
    <w:p w14:paraId="00000062">
      <w:pPr>
        <w:pStyle w:val="TextoAMNT"/>
        <w:ind w:left="0" w:firstLine="0"/>
        <w:rPr/>
      </w:pPr>
      <w:r>
        <w:t xml:space="preserve">5. </w:t>
      </w:r>
      <w:r>
        <w:rPr>
          <w:b/>
          <w:bCs/>
        </w:rPr>
        <w:t>ANALISE DE DADOS</w:t>
      </w:r>
    </w:p>
    <w:p w14:paraId="00000063">
      <w:pPr>
        <w:pStyle w:val="TextoAMNT"/>
        <w:rPr>
          <w:lang w:val="pt-BR"/>
        </w:rPr>
      </w:pPr>
      <w:r>
        <w:rPr>
          <w:b/>
          <w:lang w:val="pt-BR"/>
        </w:rPr>
        <w:t>Dados de Observação:</w:t>
      </w:r>
      <w:r>
        <w:rPr>
          <w:lang w:val="pt-BR"/>
        </w:rPr>
        <w:t xml:space="preserve"> Diários de campo, registros em vídeo ou áudio das interações dos alunos/professores com o Snack Bit nos cenários reais.</w:t>
      </w:r>
    </w:p>
    <w:p w14:paraId="00000064">
      <w:pPr>
        <w:pStyle w:val="TextoAMNT"/>
        <w:rPr>
          <w:lang w:val="pt-BR"/>
        </w:rPr>
      </w:pPr>
      <w:r>
        <w:rPr>
          <w:b/>
          <w:lang w:val="pt-BR"/>
        </w:rPr>
        <w:t>Dados de Percepção:</w:t>
      </w:r>
      <w:r>
        <w:rPr>
          <w:lang w:val="pt-BR"/>
        </w:rPr>
        <w:t xml:space="preserve"> Entrevistas semiestruturadas, questionários de usabilidade (mesmo com perguntas abertas) ou grupos focais realizados após os testes.</w:t>
      </w:r>
    </w:p>
    <w:p w14:paraId="00000065">
      <w:pPr>
        <w:pStyle w:val="TextoAMNT"/>
        <w:rPr>
          <w:lang w:val="pt-BR"/>
        </w:rPr>
      </w:pPr>
      <w:r>
        <w:rPr>
          <w:b/>
          <w:lang w:val="pt-BR"/>
        </w:rPr>
        <w:t>Dados de Engenharia/Sistema:</w:t>
      </w:r>
      <w:r>
        <w:rPr>
          <w:lang w:val="pt-BR"/>
        </w:rPr>
        <w:t xml:space="preserve"> Logs de erro do protótipo, taxa de sucesso na execução das tarefas tangíveis e observações sobre a durabilidade/resposta do hardware.</w:t>
      </w:r>
    </w:p>
    <w:p w14:paraId="00000066">
      <w:pPr>
        <w:pStyle w:val="TextoAMNT"/>
        <w:rPr>
          <w:lang w:val="pt-BR"/>
        </w:rPr>
      </w:pPr>
    </w:p>
    <w:p w14:paraId="00000067">
      <w:pPr>
        <w:pStyle w:val="TextoAMNT"/>
        <w:rPr>
          <w:lang w:val="pt-BR"/>
        </w:rPr>
      </w:pPr>
      <w:r>
        <w:rPr>
          <w:b/>
          <w:lang w:val="pt-BR"/>
        </w:rPr>
        <w:t>Subcapítulo 1: O Processo de Desenvolvimento e Refinamento do Protótipo.</w:t>
      </w:r>
    </w:p>
    <w:p w14:paraId="00000068">
      <w:pPr>
        <w:pStyle w:val="TextoAMNT"/>
        <w:numPr>
          <w:ilvl w:val="0"/>
          <w:numId w:val="5"/>
        </w:numPr>
        <w:rPr>
          <w:lang w:val="pt-BR"/>
        </w:rPr>
      </w:pPr>
      <w:r>
        <w:rPr>
          <w:lang w:val="pt-BR"/>
        </w:rPr>
        <w:t>Aqui você cruza os dados técnicos das três etapas de engenharia com os feedbacks imediatos dos testes. Mostre como o Snack Bit evoluiu com os erros de usabilidade encontrados.</w:t>
      </w:r>
    </w:p>
    <w:p w14:paraId="00000069">
      <w:pPr>
        <w:pStyle w:val="TextoAMNT"/>
        <w:rPr>
          <w:lang w:val="pt-BR"/>
        </w:rPr>
      </w:pPr>
      <w:r>
        <w:rPr>
          <w:b/>
          <w:lang w:val="pt-BR"/>
        </w:rPr>
        <w:t>Subcapítulo 2: A Experiência de Uso (Usabilidade Empírica).</w:t>
      </w:r>
    </w:p>
    <w:p w14:paraId="0000006A">
      <w:pPr>
        <w:pStyle w:val="TextoAMNT"/>
        <w:numPr>
          <w:ilvl w:val="0"/>
          <w:numId w:val="5"/>
        </w:numPr>
        <w:rPr>
          <w:lang w:val="pt-BR"/>
        </w:rPr>
      </w:pPr>
      <w:r>
        <w:rPr>
          <w:lang w:val="pt-BR"/>
        </w:rPr>
        <w:t>Apresente os resultados sob a ótica da interação humano-computador. Use citações diretas (falas de professores ou alunos) para ilustrar os pontos positivos e os desafios de design.</w:t>
      </w:r>
    </w:p>
    <w:p w14:paraId="0000006B">
      <w:pPr>
        <w:pStyle w:val="TextoAMNT"/>
        <w:rPr>
          <w:lang w:val="pt-BR"/>
        </w:rPr>
      </w:pPr>
      <w:r>
        <w:rPr>
          <w:b/>
          <w:lang w:val="pt-BR"/>
        </w:rPr>
        <w:t>Subcapítulo 3: O Impacto no Cenário Educacional (Potencial Pedagógico).</w:t>
      </w:r>
    </w:p>
    <w:p w14:paraId="0000006C">
      <w:pPr>
        <w:pStyle w:val="TextoAMNT"/>
        <w:numPr>
          <w:ilvl w:val="0"/>
          <w:numId w:val="5"/>
        </w:numPr>
        <w:rPr>
          <w:lang w:val="pt-BR"/>
        </w:rPr>
      </w:pPr>
      <w:r>
        <w:rPr>
          <w:lang w:val="pt-BR"/>
        </w:rPr>
        <w:t>Foque nos resultados pedagógicos. O Snack Bit cumpriu seu papel assistivo? Houve evolução na autonomia dos participantes</w:t>
      </w:r>
    </w:p>
    <w:p w14:paraId="0000006D">
      <w:pPr>
        <w:pStyle w:val="TextoAMNT"/>
        <w:ind w:left="0" w:right="0" w:firstLine="0"/>
        <w:rPr>
          <w:lang w:val="pt-BR"/>
        </w:rPr>
      </w:pPr>
      <w:r>
        <w:rPr>
          <w:lang w:val="pt-BR"/>
        </w:rPr>
        <w:tab/>
      </w:r>
    </w:p>
    <w:p w14:paraId="0000006E">
      <w:pPr>
        <w:pStyle w:val="TextoAMNT"/>
        <w:rPr>
          <w:lang w:val="pt-BR"/>
        </w:rPr>
      </w:pPr>
    </w:p>
    <w:p w14:paraId="0000006F">
      <w:pPr>
        <w:pStyle w:val="TITULOTCC"/>
        <w:rPr/>
      </w:pPr>
      <w:bookmarkStart w:id="12" w:name="_Toc232425046"/>
      <w:r>
        <w:t>6. CONCLUSÕES</w:t>
      </w:r>
      <w:bookmarkEnd w:id="12"/>
    </w:p>
    <w:p w14:paraId="00000070">
      <w:pPr>
        <w:pStyle w:val="TextoAMNT"/>
        <w:rPr/>
      </w:pPr>
      <w:r>
        <w:t xml:space="preserve">O desenvolvimento do projeto Snack Bit demonstrou que a demanda por uma educação inclusiva de qualidade na área de tecnologia é crescente, contudo carente de ferramentas que convertam o raciocínio </w:t>
      </w:r>
      <w:r>
        <w:t xml:space="preserve">abstrato em interações multissensoriais táteis e auditivas. Para mitigar os impactos gerados por um modelo de desenvolvimento excludente e </w:t>
      </w:r>
      <w:r>
        <w:t>biopolítico</w:t>
      </w:r>
      <w:r>
        <w:t xml:space="preserve"> no Brasil, faz-se imperativo descentralizar o ensino de pensamento computacional, implementando práticas lúdicas e táteis desde a educação básica até a formação adulta.</w:t>
      </w:r>
    </w:p>
    <w:p w14:paraId="00000071">
      <w:pPr>
        <w:pStyle w:val="TextoAMNT"/>
        <w:rPr/>
      </w:pPr>
      <w:r>
        <w:t>A abordagem tangível proposta logrou êxito ao demonstrar que restrições físicas (</w:t>
      </w:r>
      <w:r>
        <w:t>poka-yoke</w:t>
      </w:r>
      <w:r>
        <w:t>) e comunicação por radiofrequência integrada à robótica de baixo custo reduzem as barreiras de acessibilidade motoras, cognitivas e visuais. Ao considerar o indivíduo sob uma perspectiva interseccional (analisando suas condições socioeconômicas, de moradia, idade e especificidades biológicas), ferramentas como o Snack Bit pavimentam o caminho para que pessoas com deficiência migrem de posições marginalizadas para a ocupação ativa de espaços científicos e laborais tecnológicos, impulsionando uma sociedade mais equitativa.</w:t>
      </w:r>
    </w:p>
    <w:p w14:paraId="00000072">
      <w:pPr>
        <w:pStyle w:val="TextoAMNT"/>
        <w:ind w:firstLine="0"/>
        <w:rPr>
          <w:b/>
          <w:bCs/>
          <w:sz w:val="20"/>
          <w:szCs w:val="20"/>
        </w:rPr>
      </w:pPr>
    </w:p>
    <w:p w14:paraId="00000073">
      <w:pPr>
        <w:pStyle w:val="TextoAMNT"/>
        <w:jc w:val="center"/>
        <w:rPr>
          <w:b/>
          <w:bCs/>
          <w:sz w:val="20"/>
          <w:szCs w:val="20"/>
        </w:rPr>
      </w:pPr>
    </w:p>
    <w:p w14:paraId="00000074">
      <w:pPr>
        <w:pStyle w:val="TCCTITULLO"/>
        <w:rPr/>
      </w:pPr>
      <w:bookmarkStart w:id="13" w:name="_Toc232425047"/>
      <w:r>
        <w:t>RESUMO</w:t>
      </w:r>
      <w:bookmarkEnd w:id="13"/>
    </w:p>
    <w:p w14:paraId="00000075">
      <w:pPr>
        <w:pStyle w:val="TextoAMNT"/>
        <w:rPr>
          <w:sz w:val="20"/>
          <w:szCs w:val="20"/>
        </w:rPr>
      </w:pPr>
      <w:r>
        <w:rPr>
          <w:sz w:val="20"/>
          <w:szCs w:val="20"/>
        </w:rPr>
        <w:t xml:space="preserve">O modelo exclusivista do cenário socioeducacional brasileiro reflete a forma como o biopoder é implantado em um país de dimensões continentais, perpetuando um território marcado por profundas desigualdades estruturais. Essa configuração relega o desenvolvimento do pensamento computacional e o acesso à tecnologia assistiva por parte da </w:t>
      </w:r>
      <w:r>
        <w:rPr>
          <w:sz w:val="20"/>
          <w:szCs w:val="20"/>
        </w:rPr>
        <w:t>pop</w:t>
      </w:r>
      <w:r>
        <w:rPr>
          <w:sz w:val="20"/>
          <w:szCs w:val="20"/>
        </w:rPr>
        <w:t xml:space="preserve">ulação </w:t>
      </w:r>
      <w:r>
        <w:rPr>
          <w:sz w:val="20"/>
          <w:szCs w:val="20"/>
        </w:rPr>
        <w:t xml:space="preserve"> em</w:t>
      </w:r>
      <w:r>
        <w:rPr>
          <w:sz w:val="20"/>
          <w:szCs w:val="20"/>
        </w:rPr>
        <w:t xml:space="preserve"> especial, </w:t>
      </w:r>
      <w:r>
        <w:rPr>
          <w:sz w:val="20"/>
          <w:szCs w:val="20"/>
        </w:rPr>
        <w:t xml:space="preserve">pessoas com deficiência (PCDS) </w:t>
      </w:r>
      <w:r>
        <w:rPr>
          <w:sz w:val="20"/>
          <w:szCs w:val="20"/>
        </w:rPr>
        <w:t xml:space="preserve"> às margens de uma educação básica pública precarizada. As lacunas geradas nessa etapa comprometem o desenvolvimento crítico desses indivíduos na fase adulta, restringindo sua autonomia de forma fragmentada. Como contraposição a esse panorama segregador, este trabalho propõe uma organização curricular e pedagógica fundamentada na Teoria da Aprendizagem </w:t>
      </w:r>
      <w:r>
        <w:rPr>
          <w:sz w:val="20"/>
          <w:szCs w:val="20"/>
        </w:rPr>
        <w:t>Signficativa</w:t>
      </w:r>
      <w:r>
        <w:rPr>
          <w:sz w:val="20"/>
          <w:szCs w:val="20"/>
        </w:rPr>
        <w:t xml:space="preserve"> de David </w:t>
      </w:r>
      <w:r>
        <w:rPr>
          <w:sz w:val="20"/>
          <w:szCs w:val="20"/>
        </w:rPr>
        <w:t>Ausubel</w:t>
      </w:r>
      <w:r>
        <w:rPr>
          <w:sz w:val="20"/>
          <w:szCs w:val="20"/>
        </w:rPr>
        <w:t>, que preconiza a estruturação hierárquica e a ancoragem de novos conceitos na estrutura cognitiva preexistente do estudante.</w:t>
      </w:r>
    </w:p>
    <w:p w14:paraId="00000076">
      <w:pPr>
        <w:pStyle w:val="TextoAMNT"/>
        <w:ind w:firstLine="0"/>
        <w:rPr>
          <w:sz w:val="20"/>
          <w:szCs w:val="20"/>
        </w:rPr>
      </w:pPr>
    </w:p>
    <w:p w14:paraId="00000077">
      <w:pPr>
        <w:pStyle w:val="TextoAMNT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Palavras-chave</w:t>
      </w:r>
      <w:r>
        <w:rPr>
          <w:sz w:val="20"/>
          <w:szCs w:val="20"/>
        </w:rPr>
        <w:t>: Biopoder. Tecnologia Assistiva. Aprendizagem Significativa. Robótica Educacional. Inclusão.</w:t>
      </w:r>
    </w:p>
    <w:p w14:paraId="00000078">
      <w:pPr>
        <w:pStyle w:val="TextoAMNT"/>
        <w:jc w:val="center"/>
        <w:rPr>
          <w:b/>
          <w:bCs/>
          <w:sz w:val="20"/>
          <w:szCs w:val="20"/>
        </w:rPr>
      </w:pPr>
    </w:p>
    <w:p w14:paraId="00000079">
      <w:pPr>
        <w:pStyle w:val="TextoAMNT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ABSTRACT</w:t>
      </w:r>
    </w:p>
    <w:p w14:paraId="0000007A">
      <w:pPr>
        <w:pStyle w:val="TextoAMNT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sz w:val="20"/>
          <w:szCs w:val="20"/>
        </w:rPr>
        <w:t>exclusivist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Brazilian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socio-educational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scenario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reflects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biopower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implemented</w:t>
      </w:r>
      <w:r>
        <w:rPr>
          <w:sz w:val="20"/>
          <w:szCs w:val="20"/>
        </w:rPr>
        <w:t xml:space="preserve"> in a continental-</w:t>
      </w:r>
      <w:r>
        <w:rPr>
          <w:sz w:val="20"/>
          <w:szCs w:val="20"/>
        </w:rPr>
        <w:t>sized</w:t>
      </w:r>
      <w:r>
        <w:rPr>
          <w:sz w:val="20"/>
          <w:szCs w:val="20"/>
        </w:rPr>
        <w:t xml:space="preserve"> country, </w:t>
      </w:r>
      <w:r>
        <w:rPr>
          <w:sz w:val="20"/>
          <w:szCs w:val="20"/>
        </w:rPr>
        <w:t>perpetuating</w:t>
      </w:r>
      <w:r>
        <w:rPr>
          <w:sz w:val="20"/>
          <w:szCs w:val="20"/>
        </w:rPr>
        <w:t xml:space="preserve"> a </w:t>
      </w:r>
      <w:r>
        <w:rPr>
          <w:sz w:val="20"/>
          <w:szCs w:val="20"/>
        </w:rPr>
        <w:t>territory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marked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structural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inequalities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configuration</w:t>
      </w:r>
      <w:r>
        <w:rPr>
          <w:sz w:val="20"/>
          <w:szCs w:val="20"/>
        </w:rPr>
        <w:t xml:space="preserve"> marginalizes </w:t>
      </w:r>
      <w:r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development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computational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thinking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access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assistive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technology</w:t>
      </w:r>
      <w:r>
        <w:rPr>
          <w:sz w:val="20"/>
          <w:szCs w:val="20"/>
        </w:rPr>
        <w:t xml:space="preserve"> for </w:t>
      </w:r>
      <w:r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population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especially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people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disabilities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>P</w:t>
      </w:r>
      <w:r>
        <w:rPr>
          <w:sz w:val="20"/>
          <w:szCs w:val="20"/>
        </w:rPr>
        <w:t>DS</w:t>
      </w:r>
      <w:r>
        <w:rPr>
          <w:sz w:val="20"/>
          <w:szCs w:val="20"/>
        </w:rPr>
        <w:t xml:space="preserve">) </w:t>
      </w:r>
      <w:r>
        <w:rPr>
          <w:sz w:val="20"/>
          <w:szCs w:val="20"/>
        </w:rPr>
        <w:t>within</w:t>
      </w:r>
      <w:r>
        <w:rPr>
          <w:sz w:val="20"/>
          <w:szCs w:val="20"/>
        </w:rPr>
        <w:t xml:space="preserve"> a </w:t>
      </w:r>
      <w:r>
        <w:rPr>
          <w:sz w:val="20"/>
          <w:szCs w:val="20"/>
        </w:rPr>
        <w:t>precarious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public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basic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education</w:t>
      </w:r>
      <w:r>
        <w:rPr>
          <w:sz w:val="20"/>
          <w:szCs w:val="20"/>
        </w:rPr>
        <w:t xml:space="preserve"> system. The gaps </w:t>
      </w:r>
      <w:r>
        <w:rPr>
          <w:sz w:val="20"/>
          <w:szCs w:val="20"/>
        </w:rPr>
        <w:t>generated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compromise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critical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development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individuals</w:t>
      </w:r>
      <w:r>
        <w:rPr>
          <w:sz w:val="20"/>
          <w:szCs w:val="20"/>
        </w:rPr>
        <w:t xml:space="preserve"> in </w:t>
      </w:r>
      <w:r>
        <w:rPr>
          <w:sz w:val="20"/>
          <w:szCs w:val="20"/>
        </w:rPr>
        <w:t>adulthood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restricting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autonomy</w:t>
      </w:r>
      <w:r>
        <w:rPr>
          <w:sz w:val="20"/>
          <w:szCs w:val="20"/>
        </w:rPr>
        <w:t xml:space="preserve"> in a </w:t>
      </w:r>
      <w:r>
        <w:rPr>
          <w:sz w:val="20"/>
          <w:szCs w:val="20"/>
        </w:rPr>
        <w:t>fragmented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manner</w:t>
      </w:r>
      <w:r>
        <w:rPr>
          <w:sz w:val="20"/>
          <w:szCs w:val="20"/>
        </w:rPr>
        <w:t xml:space="preserve">. In </w:t>
      </w:r>
      <w:r>
        <w:rPr>
          <w:sz w:val="20"/>
          <w:szCs w:val="20"/>
        </w:rPr>
        <w:t>contrast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segregating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landscape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proposes</w:t>
      </w:r>
      <w:r>
        <w:rPr>
          <w:sz w:val="20"/>
          <w:szCs w:val="20"/>
        </w:rPr>
        <w:t xml:space="preserve"> a curricular </w:t>
      </w:r>
      <w:r>
        <w:rPr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pedagogical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organization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grounded</w:t>
      </w:r>
      <w:r>
        <w:rPr>
          <w:sz w:val="20"/>
          <w:szCs w:val="20"/>
        </w:rPr>
        <w:t xml:space="preserve"> in David </w:t>
      </w:r>
      <w:r>
        <w:rPr>
          <w:sz w:val="20"/>
          <w:szCs w:val="20"/>
        </w:rPr>
        <w:t>Ausubel’s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Meaningful</w:t>
      </w:r>
      <w:r>
        <w:rPr>
          <w:sz w:val="20"/>
          <w:szCs w:val="20"/>
        </w:rPr>
        <w:t xml:space="preserve"> Learning </w:t>
      </w:r>
      <w:r>
        <w:rPr>
          <w:sz w:val="20"/>
          <w:szCs w:val="20"/>
        </w:rPr>
        <w:t>Theory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advocates</w:t>
      </w:r>
      <w:r>
        <w:rPr>
          <w:sz w:val="20"/>
          <w:szCs w:val="20"/>
        </w:rPr>
        <w:t xml:space="preserve"> for </w:t>
      </w:r>
      <w:r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hierarchical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structuring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anchoring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</w:rPr>
        <w:t xml:space="preserve"> new </w:t>
      </w:r>
      <w:r>
        <w:rPr>
          <w:sz w:val="20"/>
          <w:szCs w:val="20"/>
        </w:rPr>
        <w:t>concepts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student's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pre-existing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cognitive</w:t>
      </w:r>
      <w:r>
        <w:rPr>
          <w:sz w:val="20"/>
          <w:szCs w:val="20"/>
        </w:rPr>
        <w:t xml:space="preserve"> framework.</w:t>
      </w:r>
    </w:p>
    <w:p w14:paraId="0000007B">
      <w:pPr>
        <w:pStyle w:val="TextoAMNT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Keywords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Biopower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Assistive</w:t>
      </w:r>
      <w:r>
        <w:rPr>
          <w:sz w:val="20"/>
          <w:szCs w:val="20"/>
        </w:rPr>
        <w:t xml:space="preserve"> Technology. </w:t>
      </w:r>
      <w:r>
        <w:rPr>
          <w:sz w:val="20"/>
          <w:szCs w:val="20"/>
        </w:rPr>
        <w:t>Meaningful</w:t>
      </w:r>
      <w:r>
        <w:rPr>
          <w:sz w:val="20"/>
          <w:szCs w:val="20"/>
        </w:rPr>
        <w:t xml:space="preserve"> Learning. </w:t>
      </w:r>
      <w:r>
        <w:rPr>
          <w:sz w:val="20"/>
          <w:szCs w:val="20"/>
        </w:rPr>
        <w:t>Educational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Robotics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Inclusion</w:t>
      </w:r>
      <w:r>
        <w:rPr>
          <w:sz w:val="20"/>
          <w:szCs w:val="20"/>
        </w:rPr>
        <w:t>.</w:t>
      </w:r>
    </w:p>
    <w:p w14:paraId="0000007C">
      <w:pPr>
        <w:pStyle w:val="TextoAMNT"/>
        <w:rPr/>
      </w:pPr>
    </w:p>
    <w:p w14:paraId="0000007D">
      <w:pPr>
        <w:pStyle w:val="SUBTITILOTCC"/>
        <w:rPr/>
      </w:pPr>
    </w:p>
    <w:p w14:paraId="0000007E">
      <w:pPr>
        <w:pStyle w:val="SUBTITILOTCC"/>
        <w:rPr/>
      </w:pPr>
    </w:p>
    <w:p w14:paraId="0000007F">
      <w:pPr>
        <w:pStyle w:val="SUBTITILOTCC"/>
        <w:rPr/>
      </w:pPr>
    </w:p>
    <w:p w14:paraId="00000080">
      <w:pPr>
        <w:pStyle w:val="TCCTITULLO"/>
        <w:rPr/>
      </w:pPr>
      <w:bookmarkStart w:id="14" w:name="_Toc232425049"/>
      <w:r>
        <w:t>REFERÊNCIAS</w:t>
      </w:r>
      <w:bookmarkEnd w:id="14"/>
    </w:p>
    <w:p w14:paraId="00000081">
      <w:pPr>
        <w:pStyle w:val="TextoAMNT"/>
        <w:rPr/>
      </w:pPr>
      <w:r>
        <w:t>BERSCH, Rita; TONOLLI, José Carlos. Introdução ao conceito de Tecnologia Assistiva. Porto Alegre: CEDI, 2006.</w:t>
      </w:r>
    </w:p>
    <w:p w14:paraId="00000082">
      <w:pPr>
        <w:pStyle w:val="TextoAMNT"/>
        <w:rPr/>
      </w:pPr>
      <w:r>
        <w:t>BORGES, Antenor. A Inclusão Escolar no Contexto Brasileiro: Histórico, Legislação e Práticas. São Paulo: Editora Inclusiva, 2016.</w:t>
      </w:r>
    </w:p>
    <w:p w14:paraId="00000083">
      <w:pPr>
        <w:pStyle w:val="TextoAMNT"/>
        <w:rPr/>
      </w:pPr>
      <w:r>
        <w:t>BRASIL. Lei nº 13.146, de 6 de julho de 2015. Institui a Lei Brasileira de Inclusão da Pessoa com Deficiência (Estatuto da Pessoa com Deficiência). Brasília, DF, 2015. Disponível em: http://www.planalto.gov.br/ccivil_03/_ato2015-2018/2015/lei/l13146.htm. Acesso em: 19 mai. 2026.</w:t>
      </w:r>
    </w:p>
    <w:p w14:paraId="00000084">
      <w:pPr>
        <w:pStyle w:val="TextoAMNT"/>
        <w:rPr/>
      </w:pPr>
      <w:r>
        <w:t>BRASIL. Lei nº 9.394, de 20 de dezembro de 1996. Estabelece as diretrizes e bases da educação nacional. Brasília, DF, 1996. Disponível em: http://www.planalto.gov.br/ccivil_03/leis/l9394.htm. Acesso em: 10 mai. 2026.</w:t>
      </w:r>
    </w:p>
    <w:p w14:paraId="00000085">
      <w:pPr>
        <w:pStyle w:val="TextoAMNT"/>
        <w:rPr/>
      </w:pPr>
      <w:r>
        <w:t>BRASIL. Lei nº 8.742, de 7 de dezembro de 1993. Lei Orgânica da Assistência Social (LOAS). Brasília, DF, 1993. Disponível em: https://www.planalto.gov.br/ccivil_03/leis/l8742compilado.htm. Acesso em: 15 mai. 2026.</w:t>
      </w:r>
    </w:p>
    <w:p w14:paraId="00000086">
      <w:pPr>
        <w:pStyle w:val="TextoAMNT"/>
        <w:rPr/>
      </w:pPr>
      <w:r>
        <w:t>BRASIL. Ministério da Educação. Base Nacional Comum Curricular. Brasília, DF: MEC, 2018.</w:t>
      </w:r>
    </w:p>
    <w:p w14:paraId="00000087">
      <w:pPr>
        <w:pStyle w:val="TextoAMNT"/>
        <w:rPr/>
      </w:pPr>
      <w:r>
        <w:t>BRITO, Sabrina. Nova cédula da libra homenageia o cientista Alan Turing. Veja, Ciência, 2021. Disponível em: https://veja.abril.com.br/ciencia/nova-cedula-da-libra-homenageia-o-cientista-alan-turing/. Acesso em: 10 mai. 2026.</w:t>
      </w:r>
    </w:p>
    <w:p w14:paraId="00000088">
      <w:pPr>
        <w:pStyle w:val="TextoAMNT"/>
        <w:rPr/>
      </w:pPr>
      <w:r>
        <w:t xml:space="preserve">D'ABREU, João </w:t>
      </w:r>
      <w:r>
        <w:t>Vilhete</w:t>
      </w:r>
      <w:r>
        <w:t xml:space="preserve"> Viegas. Robótica Educacional e seus Processos de Mediação Pedagógica. Campinas: UNICAMP, 2014.</w:t>
      </w:r>
    </w:p>
    <w:p w14:paraId="00000089">
      <w:pPr>
        <w:pStyle w:val="TextoAMNT"/>
        <w:rPr/>
      </w:pPr>
      <w:r>
        <w:t xml:space="preserve">FOUCAULT, Michel. Nascimento da Biopolítica: curso dado no </w:t>
      </w:r>
      <w:r>
        <w:t>Collège</w:t>
      </w:r>
      <w:r>
        <w:t xml:space="preserve"> de France (1978-1979). São Paulo: Martins Fontes, 2008.</w:t>
      </w:r>
    </w:p>
    <w:p w14:paraId="0000008A">
      <w:pPr>
        <w:pStyle w:val="TextoAMNT"/>
        <w:rPr/>
      </w:pPr>
      <w:r>
        <w:t>GALPERIN, Piotr. A Formação das Ações Mentais e dos Conceitos. Tradução e organização de Nuances Pedagógicas. São Paulo: Expressão Popular, 2009.</w:t>
      </w:r>
    </w:p>
    <w:p w14:paraId="0000008B">
      <w:pPr>
        <w:pStyle w:val="TextoAMNT"/>
        <w:rPr/>
      </w:pPr>
      <w:r>
        <w:t>OLIVEIRA, Marcos. Biopolítica e as Práticas de Exclusão Social no Brasil. Rio de Janeiro: Editora Cidadania, 2006.</w:t>
      </w:r>
    </w:p>
    <w:p w14:paraId="0000008C">
      <w:pPr>
        <w:pStyle w:val="TextoAMNT"/>
        <w:rPr/>
      </w:pPr>
      <w:r>
        <w:t>TAVARES, Romero. Construindo mapas conceituais. Ciências &amp; Cognição, v. 12, p. 72-85, 2007. Disponível em: http://www.cienciasecognicao.org. Acesso em: 19 mai. 2026.</w:t>
      </w:r>
    </w:p>
    <w:p w14:paraId="0000008D">
      <w:pPr>
        <w:pStyle w:val="SUBTITILOTCC"/>
        <w:rPr/>
      </w:pPr>
      <w:r>
        <w:t>ANEXO</w:t>
      </w:r>
      <w:r>
        <w:t>S</w:t>
      </w:r>
    </w:p>
    <w:p w14:paraId="0000008E">
      <w:pPr>
        <w:pStyle w:val="SUBTITILOTCC"/>
        <w:rPr/>
      </w:pPr>
      <w:r>
        <w:t xml:space="preserve"> A — Questionário de Diagnóstico de Campo</w:t>
      </w:r>
    </w:p>
    <w:p w14:paraId="0000008F">
      <w:pPr>
        <w:pStyle w:val="TextoAMNT"/>
        <w:rPr/>
      </w:pPr>
      <w:r>
        <w:t>Instituição de Origem:</w:t>
      </w:r>
    </w:p>
    <w:p w14:paraId="00000090">
      <w:pPr>
        <w:pStyle w:val="TextoAMNT"/>
        <w:rPr/>
      </w:pPr>
      <w:r>
        <w:t>[ ]</w:t>
      </w:r>
      <w:r>
        <w:t xml:space="preserve"> Universidade Federal do Recôncavo da Bahia (UFRB)</w:t>
      </w:r>
    </w:p>
    <w:p w14:paraId="00000091">
      <w:pPr>
        <w:pStyle w:val="TextoAMNT"/>
        <w:rPr/>
      </w:pPr>
      <w:r>
        <w:t>[ ]</w:t>
      </w:r>
      <w:r>
        <w:t xml:space="preserve"> Centro Estadual de Educação Profissional Áureo de Oliveira Filho (CEEP)</w:t>
      </w:r>
    </w:p>
    <w:p w14:paraId="00000092">
      <w:pPr>
        <w:pStyle w:val="TextoAMNT"/>
        <w:rPr/>
      </w:pPr>
      <w:r>
        <w:t>[ ]</w:t>
      </w:r>
      <w:r>
        <w:t xml:space="preserve"> Associação de Pais e Amigos de Atípicos do Município de Irará (APADAMI)</w:t>
      </w:r>
    </w:p>
    <w:p w14:paraId="00000093">
      <w:pPr>
        <w:pStyle w:val="TextoAMNT"/>
        <w:rPr/>
      </w:pPr>
      <w:r>
        <w:t>[ ]</w:t>
      </w:r>
      <w:r>
        <w:t xml:space="preserve"> Outra: __________________________________________________</w:t>
      </w:r>
    </w:p>
    <w:p w14:paraId="00000094">
      <w:pPr>
        <w:pStyle w:val="TextoAMNT"/>
        <w:rPr/>
      </w:pPr>
      <w:r>
        <w:t>Faixa Etária:</w:t>
      </w:r>
    </w:p>
    <w:p w14:paraId="00000095">
      <w:pPr>
        <w:pStyle w:val="TextoAMNT"/>
        <w:rPr/>
      </w:pPr>
      <w:r>
        <w:t>[ ]</w:t>
      </w:r>
      <w:r>
        <w:t xml:space="preserve"> 8 a 12 anos | [ ] 13 a 17 anos | [ ] 18 a 28 anos | [ ] 40 anos ou mais</w:t>
      </w:r>
    </w:p>
    <w:p w14:paraId="00000096">
      <w:pPr>
        <w:pStyle w:val="TextoAMNT"/>
        <w:rPr/>
      </w:pPr>
      <w:r>
        <w:t>Dificuldades ou Limitações Autodeclaradas no Processo de Aprendizagem:</w:t>
      </w:r>
    </w:p>
    <w:p w14:paraId="00000097">
      <w:pPr>
        <w:pStyle w:val="TextoAMNT"/>
        <w:rPr/>
      </w:pPr>
      <w:r>
        <w:t>[ ]</w:t>
      </w:r>
      <w:r>
        <w:t xml:space="preserve"> Dificuldades de leitura, escrita e interpretação textual</w:t>
      </w:r>
    </w:p>
    <w:p w14:paraId="00000098">
      <w:pPr>
        <w:pStyle w:val="TextoAMNT"/>
        <w:rPr/>
      </w:pPr>
      <w:r>
        <w:t>[ ]</w:t>
      </w:r>
      <w:r>
        <w:t xml:space="preserve"> Limitações de motricidade fina, preensão ou pinça tátil</w:t>
      </w:r>
    </w:p>
    <w:p w14:paraId="00000099">
      <w:pPr>
        <w:pStyle w:val="TextoAMNT"/>
        <w:rPr/>
      </w:pPr>
      <w:r>
        <w:t>[ ]</w:t>
      </w:r>
      <w:r>
        <w:t xml:space="preserve"> Baixa visão ou cegueira</w:t>
      </w:r>
    </w:p>
    <w:p w14:paraId="0000009A">
      <w:pPr>
        <w:pStyle w:val="TextoAMNT"/>
        <w:rPr/>
      </w:pPr>
      <w:r>
        <w:t>[ ]</w:t>
      </w:r>
      <w:r>
        <w:t xml:space="preserve"> Limitação auditiva ou surdez</w:t>
      </w:r>
    </w:p>
    <w:p w14:paraId="0000009B">
      <w:pPr>
        <w:pStyle w:val="TextoAMNT"/>
        <w:rPr/>
      </w:pPr>
      <w:r>
        <w:t>Especifique se houver outra: __________________________________________________</w:t>
      </w:r>
    </w:p>
    <w:p w14:paraId="0000009C">
      <w:pPr>
        <w:pStyle w:val="TextoAMNT"/>
        <w:rPr/>
      </w:pPr>
      <w:r>
        <w:t>Avaliando Conhecimentos Prévios:</w:t>
      </w:r>
    </w:p>
    <w:p w14:paraId="0000009D">
      <w:pPr>
        <w:pStyle w:val="TextoAMNT"/>
        <w:rPr/>
      </w:pPr>
      <w:r>
        <w:t>O que você compreende a respeito do conceito de Lógica de Programação e Pensamento Computacional?</w:t>
      </w:r>
    </w:p>
    <w:p w14:paraId="0000009E">
      <w:pPr>
        <w:pStyle w:val="TextoAMNT"/>
        <w:rPr/>
      </w:pPr>
      <w:r>
        <w:t>Você manifesta interesse em aprender a programar robôs e computadores?</w:t>
      </w:r>
    </w:p>
    <w:p w14:paraId="0000009F">
      <w:pPr>
        <w:pStyle w:val="TextoAMNT"/>
        <w:rPr/>
      </w:pPr>
      <w:r>
        <w:t>[ ]</w:t>
      </w:r>
      <w:r>
        <w:t xml:space="preserve"> Sim | [ ] Não | [ ] Talvez</w:t>
      </w:r>
    </w:p>
    <w:p w14:paraId="000000A0">
      <w:pPr>
        <w:pStyle w:val="TextoAMNT"/>
        <w:rPr>
          <w:b/>
        </w:rPr>
      </w:pPr>
    </w:p>
    <w:p w14:paraId="000000A1">
      <w:pPr>
        <w:pStyle w:val="TextoAMNT"/>
        <w:rPr>
          <w:b/>
        </w:rPr>
      </w:pPr>
      <w:r>
        <w:rPr>
          <w:b/>
        </w:rPr>
        <w:t xml:space="preserve">B modelo 3d </w:t>
      </w:r>
    </w:p>
    <w:p w14:paraId="000000A2">
      <w:pPr>
        <w:pStyle w:val="TextoAMNT"/>
        <w:rPr/>
      </w:pPr>
      <w:r>
        <w:rPr/>
        <w:drawing xmlns:mc="http://schemas.openxmlformats.org/markup-compatibility/2006">
          <wp:anchor allowOverlap="1" behindDoc="1" distT="0" distB="0" distL="114300" distR="114300" layoutInCell="1" locked="0" relativeHeight="251655680" simplePos="0">
            <wp:simplePos x="0" y="0"/>
            <wp:positionH relativeFrom="column">
              <wp:posOffset>415925</wp:posOffset>
            </wp:positionH>
            <wp:positionV relativeFrom="paragraph">
              <wp:posOffset>43815</wp:posOffset>
            </wp:positionV>
            <wp:extent cx="1837667" cy="2009775"/>
            <wp:effectExtent l="0" t="0" r="0" b="0"/>
            <wp:wrapTight wrapText="bothSides">
              <wp:wrapPolygon edited="0">
                <wp:start x="0" y="0"/>
                <wp:lineTo x="0" y="21293"/>
                <wp:lineTo x="21279" y="21293"/>
                <wp:lineTo x="21279" y="0"/>
                <wp:lineTo x="0" y="0"/>
              </wp:wrapPolygon>
            </wp:wrapTight>
            <wp:docPr id="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667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A3"/>
    <w:p w14:paraId="000000A4"/>
    <w:p w14:paraId="000000A5"/>
    <w:p w14:paraId="000000A6"/>
    <w:p w14:paraId="000000A7"/>
    <w:p w14:paraId="000000A8"/>
    <w:p w14:paraId="000000A9"/>
    <w:p w14:paraId="000000AA"/>
    <w:p w14:paraId="000000AB">
      <w:pPr>
        <w:rPr>
          <w:b/>
        </w:rPr>
      </w:pPr>
    </w:p>
    <w:p w14:paraId="000000AC">
      <w:pPr>
        <w:rPr>
          <w:b/>
        </w:rPr>
      </w:pPr>
      <w:r>
        <w:rPr>
          <w:b/>
        </w:rPr>
        <w:t xml:space="preserve"> C Modelo físico </w:t>
      </w:r>
    </w:p>
    <w:p w14:paraId="000000AD">
      <w:pPr>
        <w:rPr>
          <w:b/>
        </w:rPr>
      </w:pPr>
      <w:r>
        <w:rPr/>
        <w:drawing xmlns:mc="http://schemas.openxmlformats.org/markup-compatibility/2006">
          <wp:anchor allowOverlap="1" behindDoc="1" distT="0" distB="0" distL="114300" distR="114300" layoutInCell="1" locked="0" relativeHeight="251657728" simplePos="0">
            <wp:simplePos x="0" y="0"/>
            <wp:positionH relativeFrom="column">
              <wp:posOffset>-3810</wp:posOffset>
            </wp:positionH>
            <wp:positionV relativeFrom="paragraph">
              <wp:posOffset>111760</wp:posOffset>
            </wp:positionV>
            <wp:extent cx="2495550" cy="3171825"/>
            <wp:effectExtent l="0" t="0" r="0" b="0"/>
            <wp:wrapTight wrapText="bothSides">
              <wp:wrapPolygon edited="0">
                <wp:start x="0" y="0"/>
                <wp:lineTo x="0" y="21535"/>
                <wp:lineTo x="21435" y="21535"/>
                <wp:lineTo x="21435" y="0"/>
                <wp:lineTo x="0" y="0"/>
              </wp:wrapPolygon>
            </wp:wrapTight>
            <wp:docPr id="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2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AE"/>
    <w:p w14:paraId="000000AF"/>
    <w:p w14:paraId="000000B0"/>
    <w:p w14:paraId="000000B1"/>
    <w:p w14:paraId="000000B2"/>
    <w:p w14:paraId="000000B3"/>
    <w:p w14:paraId="000000B4"/>
    <w:p w14:paraId="000000B5"/>
    <w:p w14:paraId="000000B6"/>
    <w:p w14:paraId="000000B7"/>
    <w:p w14:paraId="000000B8"/>
    <w:p w14:paraId="000000B9"/>
    <w:p w14:paraId="000000BA"/>
    <w:p w14:paraId="000000BB"/>
    <w:p w14:paraId="000000BC"/>
    <w:p w14:paraId="000000BD"/>
    <w:p w14:paraId="000000BE"/>
    <w:p w14:paraId="000000BF"/>
    <w:p w14:paraId="000000C0"/>
    <w:p w14:paraId="000000C1"/>
    <w:p w14:paraId="000000C2"/>
    <w:p w14:paraId="000000C3"/>
    <w:p w14:paraId="000000C4">
      <w:pPr>
        <w:rPr>
          <w:b/>
        </w:rPr>
      </w:pPr>
      <w:r>
        <w:rPr>
          <w:b/>
        </w:rPr>
        <w:t>D</w:t>
      </w:r>
      <w:r>
        <w:rPr>
          <w:b/>
        </w:rPr>
        <w:t xml:space="preserve"> Teste do sensor RFID</w:t>
      </w:r>
    </w:p>
    <w:p w14:paraId="000000C5">
      <w:pPr>
        <w:rPr>
          <w:b/>
        </w:rPr>
      </w:pPr>
    </w:p>
    <w:p w14:paraId="000000C6">
      <w:pPr>
        <w:rPr>
          <w:b/>
        </w:rPr>
      </w:pPr>
    </w:p>
    <w:p w14:paraId="000000C7">
      <w:pPr>
        <w:rPr>
          <w:b/>
        </w:rPr>
      </w:pPr>
      <w:r>
        <w:rPr/>
        <w:drawing xmlns:mc="http://schemas.openxmlformats.org/markup-compatibility/2006">
          <wp:anchor allowOverlap="1" behindDoc="1" distT="0" distB="0" distL="114300" distR="114300" layoutInCell="1" locked="0" relativeHeight="251654144" simplePos="0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972175" cy="3060065"/>
            <wp:effectExtent l="0" t="0" r="0" b="0"/>
            <wp:wrapTight wrapText="bothSides">
              <wp:wrapPolygon edited="0">
                <wp:start x="0" y="0"/>
                <wp:lineTo x="0" y="21515"/>
                <wp:lineTo x="21566" y="21515"/>
                <wp:lineTo x="21566" y="0"/>
                <wp:lineTo x="0" y="0"/>
              </wp:wrapPolygon>
            </wp:wrapTight>
            <wp:docPr id="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3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C8">
      <w:pPr>
        <w:tabs>
          <w:tab w:val="left" w:pos="930"/>
        </w:tabs>
        <w:rPr/>
      </w:pPr>
      <w:r>
        <w:tab/>
        <w:t>,</w:t>
      </w:r>
    </w:p>
    <w:p w14:paraId="000000C9">
      <w:pPr>
        <w:tabs>
          <w:tab w:val="left" w:pos="930"/>
        </w:tabs>
        <w:rPr/>
      </w:pPr>
    </w:p>
    <w:p w14:paraId="000000CA">
      <w:pPr>
        <w:tabs>
          <w:tab w:val="left" w:pos="930"/>
        </w:tabs>
        <w:rPr/>
      </w:pPr>
    </w:p>
    <w:p w14:paraId="000000CB">
      <w:pPr>
        <w:tabs>
          <w:tab w:val="left" w:pos="930"/>
        </w:tabs>
        <w:rPr/>
      </w:pPr>
    </w:p>
    <w:p w14:paraId="000000CC">
      <w:pPr>
        <w:tabs>
          <w:tab w:val="left" w:pos="930"/>
        </w:tabs>
        <w:rPr/>
      </w:pPr>
      <w:r>
        <w:rPr/>
        <w:drawing xmlns:mc="http://schemas.openxmlformats.org/markup-compatibility/2006">
          <wp:anchor allowOverlap="1" behindDoc="1" distT="0" distB="0" distL="114300" distR="114300" layoutInCell="1" locked="0" relativeHeight="251645440" simplePos="0">
            <wp:simplePos x="0" y="0"/>
            <wp:positionH relativeFrom="column">
              <wp:posOffset>196215</wp:posOffset>
            </wp:positionH>
            <wp:positionV relativeFrom="paragraph">
              <wp:posOffset>-470535</wp:posOffset>
            </wp:positionV>
            <wp:extent cx="4645025" cy="4238625"/>
            <wp:effectExtent l="0" t="0" r="0" b="0"/>
            <wp:wrapTight wrapText="bothSides">
              <wp:wrapPolygon edited="0">
                <wp:start x="0" y="0"/>
                <wp:lineTo x="0" y="21551"/>
                <wp:lineTo x="21526" y="21551"/>
                <wp:lineTo x="21526" y="0"/>
                <wp:lineTo x="0" y="0"/>
              </wp:wrapPolygon>
            </wp:wrapTight>
            <wp:docPr id="2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4"/>
                    <pic:cNvPicPr/>
                  </pic:nvPicPr>
                  <pic:blipFill>
                    <a:blip r:embed="rId27"/>
                    <a:srcRect t="19608" b="29066"/>
                    <a:stretch/>
                  </pic:blipFill>
                  <pic:spPr>
                    <a:xfrm>
                      <a:off x="0" y="0"/>
                      <a:ext cx="4645025" cy="4238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CD">
      <w:pPr>
        <w:tabs>
          <w:tab w:val="left" w:pos="930"/>
        </w:tabs>
        <w:rPr/>
      </w:pPr>
    </w:p>
    <w:p w14:paraId="000000CE">
      <w:pPr>
        <w:tabs>
          <w:tab w:val="left" w:pos="930"/>
        </w:tabs>
        <w:rPr/>
      </w:pPr>
    </w:p>
    <w:p w14:paraId="000000CF">
      <w:pPr>
        <w:tabs>
          <w:tab w:val="left" w:pos="930"/>
        </w:tabs>
        <w:rPr/>
      </w:pPr>
    </w:p>
    <w:p w14:paraId="000000D0">
      <w:pPr>
        <w:tabs>
          <w:tab w:val="left" w:pos="930"/>
        </w:tabs>
        <w:rPr/>
      </w:pPr>
    </w:p>
    <w:p w14:paraId="000000D1">
      <w:pPr>
        <w:tabs>
          <w:tab w:val="left" w:pos="930"/>
        </w:tabs>
        <w:rPr/>
      </w:pPr>
    </w:p>
    <w:p w14:paraId="000000D2">
      <w:pPr>
        <w:tabs>
          <w:tab w:val="left" w:pos="930"/>
        </w:tabs>
        <w:rPr/>
      </w:pPr>
    </w:p>
    <w:p w14:paraId="000000D3">
      <w:pPr>
        <w:tabs>
          <w:tab w:val="left" w:pos="930"/>
        </w:tabs>
        <w:rPr/>
      </w:pPr>
    </w:p>
    <w:p w14:paraId="000000D4">
      <w:pPr>
        <w:tabs>
          <w:tab w:val="left" w:pos="930"/>
        </w:tabs>
        <w:rPr/>
      </w:pPr>
    </w:p>
    <w:p w14:paraId="000000D5">
      <w:pPr>
        <w:tabs>
          <w:tab w:val="left" w:pos="930"/>
        </w:tabs>
        <w:rPr/>
      </w:pPr>
    </w:p>
    <w:p w14:paraId="000000D6">
      <w:pPr>
        <w:tabs>
          <w:tab w:val="left" w:pos="930"/>
        </w:tabs>
        <w:rPr/>
      </w:pPr>
    </w:p>
    <w:p w14:paraId="000000D7">
      <w:pPr>
        <w:tabs>
          <w:tab w:val="left" w:pos="930"/>
        </w:tabs>
        <w:rPr/>
      </w:pPr>
    </w:p>
    <w:p w14:paraId="000000D8">
      <w:pPr>
        <w:tabs>
          <w:tab w:val="left" w:pos="930"/>
        </w:tabs>
        <w:rPr/>
      </w:pPr>
    </w:p>
    <w:p w14:paraId="000000D9">
      <w:pPr>
        <w:tabs>
          <w:tab w:val="left" w:pos="930"/>
        </w:tabs>
        <w:rPr/>
      </w:pPr>
    </w:p>
    <w:p w14:paraId="000000DA">
      <w:pPr>
        <w:tabs>
          <w:tab w:val="left" w:pos="930"/>
        </w:tabs>
        <w:rPr/>
      </w:pPr>
    </w:p>
    <w:p w14:paraId="000000DB">
      <w:pPr>
        <w:tabs>
          <w:tab w:val="left" w:pos="930"/>
        </w:tabs>
        <w:rPr/>
      </w:pPr>
    </w:p>
    <w:p w14:paraId="000000DC">
      <w:pPr>
        <w:tabs>
          <w:tab w:val="left" w:pos="930"/>
        </w:tabs>
        <w:rPr/>
      </w:pPr>
    </w:p>
    <w:p w14:paraId="000000DD">
      <w:pPr>
        <w:tabs>
          <w:tab w:val="left" w:pos="930"/>
        </w:tabs>
        <w:rPr/>
      </w:pPr>
    </w:p>
    <w:p w14:paraId="000000DE">
      <w:pPr>
        <w:tabs>
          <w:tab w:val="left" w:pos="930"/>
        </w:tabs>
        <w:rPr/>
      </w:pPr>
    </w:p>
    <w:p w14:paraId="000000DF">
      <w:pPr>
        <w:tabs>
          <w:tab w:val="left" w:pos="930"/>
        </w:tabs>
        <w:rPr/>
      </w:pPr>
    </w:p>
    <w:p w14:paraId="000000E0">
      <w:pPr>
        <w:tabs>
          <w:tab w:val="left" w:pos="930"/>
        </w:tabs>
        <w:rPr/>
      </w:pPr>
    </w:p>
    <w:p w14:paraId="000000E1">
      <w:pPr>
        <w:tabs>
          <w:tab w:val="left" w:pos="930"/>
        </w:tabs>
        <w:rPr/>
      </w:pPr>
    </w:p>
    <w:p w14:paraId="000000E2">
      <w:pPr>
        <w:tabs>
          <w:tab w:val="left" w:pos="930"/>
        </w:tabs>
        <w:rPr/>
      </w:pPr>
    </w:p>
    <w:p w14:paraId="000000E3">
      <w:pPr>
        <w:tabs>
          <w:tab w:val="left" w:pos="930"/>
        </w:tabs>
        <w:rPr/>
      </w:pPr>
    </w:p>
    <w:p w14:paraId="000000E4">
      <w:pPr>
        <w:tabs>
          <w:tab w:val="left" w:pos="930"/>
        </w:tabs>
        <w:rPr/>
      </w:pPr>
    </w:p>
    <w:p w14:paraId="000000E5">
      <w:pPr>
        <w:tabs>
          <w:tab w:val="left" w:pos="930"/>
        </w:tabs>
        <w:rPr/>
      </w:pPr>
      <w:r>
        <w:rPr>
          <w:b/>
          <w:bCs/>
        </w:rPr>
        <w:t>E Codigo de teste</w:t>
      </w:r>
    </w:p>
    <w:p w14:paraId="000000E6">
      <w:pPr>
        <w:tabs>
          <w:tab w:val="left" w:pos="930"/>
        </w:tabs>
        <w:rPr/>
      </w:pPr>
      <w:r>
        <w:t>#include &lt;SPI.h&gt;</w:t>
      </w:r>
    </w:p>
    <w:p w14:paraId="000000E7">
      <w:pPr>
        <w:tabs>
          <w:tab w:val="left" w:pos="930"/>
        </w:tabs>
        <w:rPr/>
      </w:pPr>
      <w:r>
        <w:t>#include &lt;MFRC522.h&gt;</w:t>
      </w:r>
    </w:p>
    <w:p w14:paraId="000000E8">
      <w:pPr>
        <w:tabs>
          <w:tab w:val="left" w:pos="930"/>
        </w:tabs>
        <w:rPr/>
      </w:pPr>
    </w:p>
    <w:p w14:paraId="000000E9">
      <w:pPr>
        <w:tabs>
          <w:tab w:val="left" w:pos="930"/>
        </w:tabs>
        <w:rPr/>
      </w:pPr>
      <w:r>
        <w:t>#define SS_PIN 10</w:t>
      </w:r>
    </w:p>
    <w:p w14:paraId="000000EA">
      <w:pPr>
        <w:tabs>
          <w:tab w:val="left" w:pos="930"/>
        </w:tabs>
        <w:rPr/>
      </w:pPr>
      <w:r>
        <w:t>#define RST_PIN 9</w:t>
      </w:r>
    </w:p>
    <w:p w14:paraId="000000EB">
      <w:pPr>
        <w:tabs>
          <w:tab w:val="left" w:pos="930"/>
        </w:tabs>
        <w:rPr/>
      </w:pPr>
      <w:r>
        <w:t>MFRC522 mfrc522(SS_PIN, RST_PIN);</w:t>
      </w:r>
    </w:p>
    <w:p w14:paraId="000000EC">
      <w:pPr>
        <w:tabs>
          <w:tab w:val="left" w:pos="930"/>
        </w:tabs>
        <w:rPr/>
      </w:pPr>
    </w:p>
    <w:p w14:paraId="000000ED">
      <w:pPr>
        <w:tabs>
          <w:tab w:val="left" w:pos="930"/>
        </w:tabs>
        <w:rPr/>
      </w:pPr>
      <w:r>
        <w:t xml:space="preserve">const int motorA1 = 5; </w:t>
      </w:r>
    </w:p>
    <w:p w14:paraId="000000EE">
      <w:pPr>
        <w:tabs>
          <w:tab w:val="left" w:pos="930"/>
        </w:tabs>
        <w:rPr/>
      </w:pPr>
      <w:r>
        <w:t>const int motorA2 = 6;</w:t>
      </w:r>
    </w:p>
    <w:p w14:paraId="000000EF">
      <w:pPr>
        <w:tabs>
          <w:tab w:val="left" w:pos="930"/>
        </w:tabs>
        <w:rPr/>
      </w:pPr>
      <w:r>
        <w:t>const int motorB1 = 7;</w:t>
      </w:r>
    </w:p>
    <w:p w14:paraId="000000F0">
      <w:pPr>
        <w:tabs>
          <w:tab w:val="left" w:pos="930"/>
        </w:tabs>
        <w:rPr/>
      </w:pPr>
      <w:r>
        <w:t>const int motorB2 = 8;</w:t>
      </w:r>
    </w:p>
    <w:p w14:paraId="000000F1">
      <w:pPr>
        <w:tabs>
          <w:tab w:val="left" w:pos="930"/>
        </w:tabs>
        <w:rPr/>
      </w:pPr>
      <w:r>
        <w:t>const int buzzer  = 4;</w:t>
      </w:r>
    </w:p>
    <w:p w14:paraId="000000F2">
      <w:pPr>
        <w:tabs>
          <w:tab w:val="left" w:pos="930"/>
        </w:tabs>
        <w:rPr/>
      </w:pPr>
      <w:r>
        <w:t>const int led1    = 2;</w:t>
      </w:r>
    </w:p>
    <w:p w14:paraId="000000F3">
      <w:pPr>
        <w:tabs>
          <w:tab w:val="left" w:pos="930"/>
        </w:tabs>
        <w:rPr/>
      </w:pPr>
    </w:p>
    <w:p w14:paraId="000000F4">
      <w:pPr>
        <w:tabs>
          <w:tab w:val="left" w:pos="930"/>
        </w:tabs>
        <w:rPr/>
      </w:pPr>
      <w:r>
        <w:t>void setup() {</w:t>
      </w:r>
    </w:p>
    <w:p w14:paraId="000000F5">
      <w:pPr>
        <w:tabs>
          <w:tab w:val="left" w:pos="930"/>
        </w:tabs>
        <w:rPr/>
      </w:pPr>
      <w:r>
        <w:t xml:space="preserve">  Serial.begin(9600);</w:t>
      </w:r>
    </w:p>
    <w:p w14:paraId="000000F6">
      <w:pPr>
        <w:tabs>
          <w:tab w:val="left" w:pos="930"/>
        </w:tabs>
        <w:rPr/>
      </w:pPr>
      <w:r>
        <w:t xml:space="preserve">  SPI.begin();</w:t>
      </w:r>
    </w:p>
    <w:p w14:paraId="000000F7">
      <w:pPr>
        <w:tabs>
          <w:tab w:val="left" w:pos="930"/>
        </w:tabs>
        <w:rPr/>
      </w:pPr>
      <w:r>
        <w:t xml:space="preserve">  mfrc522.PCD_Init();</w:t>
      </w:r>
    </w:p>
    <w:p w14:paraId="000000F8">
      <w:pPr>
        <w:tabs>
          <w:tab w:val="left" w:pos="930"/>
        </w:tabs>
        <w:rPr/>
      </w:pPr>
    </w:p>
    <w:p w14:paraId="000000F9">
      <w:pPr>
        <w:tabs>
          <w:tab w:val="left" w:pos="930"/>
        </w:tabs>
        <w:rPr/>
      </w:pPr>
      <w:r>
        <w:t xml:space="preserve">  pinMode(motorA1, OUTPUT);</w:t>
      </w:r>
    </w:p>
    <w:p w14:paraId="000000FA">
      <w:pPr>
        <w:tabs>
          <w:tab w:val="left" w:pos="930"/>
        </w:tabs>
        <w:rPr/>
      </w:pPr>
      <w:r>
        <w:t xml:space="preserve">  pinMode(motorA2, OUTPUT);</w:t>
      </w:r>
    </w:p>
    <w:p w14:paraId="000000FB">
      <w:pPr>
        <w:tabs>
          <w:tab w:val="left" w:pos="930"/>
        </w:tabs>
        <w:rPr/>
      </w:pPr>
      <w:r>
        <w:t xml:space="preserve">  pinMode(motorB1, OUTPUT);</w:t>
      </w:r>
    </w:p>
    <w:p w14:paraId="000000FC">
      <w:pPr>
        <w:tabs>
          <w:tab w:val="left" w:pos="930"/>
        </w:tabs>
        <w:rPr/>
      </w:pPr>
      <w:r>
        <w:t xml:space="preserve">  pinMode(motorB2, OUTPUT);</w:t>
      </w:r>
    </w:p>
    <w:p w14:paraId="000000FD">
      <w:pPr>
        <w:tabs>
          <w:tab w:val="left" w:pos="930"/>
        </w:tabs>
        <w:rPr/>
      </w:pPr>
      <w:r>
        <w:t xml:space="preserve">  pinMode(led1, OUTPUT);</w:t>
      </w:r>
    </w:p>
    <w:p w14:paraId="000000FE">
      <w:pPr>
        <w:tabs>
          <w:tab w:val="left" w:pos="930"/>
        </w:tabs>
        <w:rPr/>
      </w:pPr>
      <w:r>
        <w:t xml:space="preserve">  pinMode(buzzer, OUTPUT);</w:t>
      </w:r>
    </w:p>
    <w:p w14:paraId="000000FF">
      <w:pPr>
        <w:tabs>
          <w:tab w:val="left" w:pos="930"/>
        </w:tabs>
        <w:rPr/>
      </w:pPr>
    </w:p>
    <w:p w14:paraId="00000100">
      <w:pPr>
        <w:tabs>
          <w:tab w:val="left" w:pos="930"/>
        </w:tabs>
        <w:rPr/>
      </w:pPr>
      <w:r>
        <w:t xml:space="preserve">  Serial.println("Sistema Pronto!");</w:t>
      </w:r>
    </w:p>
    <w:p w14:paraId="00000101">
      <w:pPr>
        <w:tabs>
          <w:tab w:val="left" w:pos="930"/>
        </w:tabs>
        <w:rPr/>
      </w:pPr>
      <w:r>
        <w:t>}</w:t>
      </w:r>
    </w:p>
    <w:p w14:paraId="00000102">
      <w:pPr>
        <w:tabs>
          <w:tab w:val="left" w:pos="930"/>
        </w:tabs>
        <w:rPr/>
      </w:pPr>
    </w:p>
    <w:p w14:paraId="00000103">
      <w:pPr>
        <w:tabs>
          <w:tab w:val="left" w:pos="930"/>
        </w:tabs>
        <w:rPr/>
      </w:pPr>
      <w:r>
        <w:t>void loop() {</w:t>
      </w:r>
    </w:p>
    <w:p w14:paraId="00000104">
      <w:pPr>
        <w:tabs>
          <w:tab w:val="left" w:pos="930"/>
        </w:tabs>
        <w:rPr/>
      </w:pPr>
      <w:r>
        <w:t xml:space="preserve">  if ( ! mfrc522.PICC_IsNewCardPresent()) return;</w:t>
      </w:r>
    </w:p>
    <w:p w14:paraId="00000105">
      <w:pPr>
        <w:tabs>
          <w:tab w:val="left" w:pos="930"/>
        </w:tabs>
        <w:rPr/>
      </w:pPr>
      <w:r>
        <w:t xml:space="preserve">  if ( ! mfrc522.PICC_ReadCardSerial()) return;</w:t>
      </w:r>
    </w:p>
    <w:p w14:paraId="00000106">
      <w:pPr>
        <w:tabs>
          <w:tab w:val="left" w:pos="930"/>
        </w:tabs>
        <w:rPr/>
      </w:pPr>
    </w:p>
    <w:p w14:paraId="00000107">
      <w:pPr>
        <w:tabs>
          <w:tab w:val="left" w:pos="930"/>
        </w:tabs>
        <w:rPr/>
      </w:pPr>
      <w:r>
        <w:t xml:space="preserve">  String conteudo = "";</w:t>
      </w:r>
    </w:p>
    <w:p w14:paraId="00000108">
      <w:pPr>
        <w:tabs>
          <w:tab w:val="left" w:pos="930"/>
        </w:tabs>
        <w:rPr/>
      </w:pPr>
      <w:r>
        <w:t xml:space="preserve">  for (byte i = 0; i &lt; mfrc522.uid.size; i++) {</w:t>
      </w:r>
    </w:p>
    <w:p w14:paraId="00000109">
      <w:pPr>
        <w:tabs>
          <w:tab w:val="left" w:pos="930"/>
        </w:tabs>
        <w:rPr/>
      </w:pPr>
      <w:r>
        <w:t xml:space="preserve">     conteudo.concat(String(mfrc522.uid.uidByte[i] &lt; 0x10 ? " 0" : " "));</w:t>
      </w:r>
    </w:p>
    <w:p w14:paraId="0000010A">
      <w:pPr>
        <w:tabs>
          <w:tab w:val="left" w:pos="930"/>
        </w:tabs>
        <w:rPr/>
      </w:pPr>
      <w:r>
        <w:t xml:space="preserve">     conteudo.concat(String(mfrc522.uid.uidByte[i], HEX));</w:t>
      </w:r>
    </w:p>
    <w:p w14:paraId="0000010B">
      <w:pPr>
        <w:tabs>
          <w:tab w:val="left" w:pos="930"/>
        </w:tabs>
        <w:rPr/>
      </w:pPr>
      <w:r>
        <w:t xml:space="preserve">  }</w:t>
      </w:r>
    </w:p>
    <w:p w14:paraId="0000010C">
      <w:pPr>
        <w:tabs>
          <w:tab w:val="left" w:pos="930"/>
        </w:tabs>
        <w:rPr/>
      </w:pPr>
      <w:r>
        <w:t xml:space="preserve">  conteudo.toUpperCase();</w:t>
      </w:r>
    </w:p>
    <w:p w14:paraId="0000010D">
      <w:pPr>
        <w:tabs>
          <w:tab w:val="left" w:pos="930"/>
        </w:tabs>
        <w:rPr/>
      </w:pPr>
      <w:r>
        <w:t xml:space="preserve">  conteudo.trim();</w:t>
      </w:r>
    </w:p>
    <w:p w14:paraId="0000010E">
      <w:pPr>
        <w:tabs>
          <w:tab w:val="left" w:pos="930"/>
        </w:tabs>
        <w:rPr/>
      </w:pPr>
    </w:p>
    <w:p w14:paraId="0000010F">
      <w:pPr>
        <w:tabs>
          <w:tab w:val="left" w:pos="930"/>
        </w:tabs>
        <w:rPr/>
      </w:pPr>
      <w:r>
        <w:t xml:space="preserve">  Serial.print("ID lido: ");</w:t>
      </w:r>
    </w:p>
    <w:p w14:paraId="00000110">
      <w:pPr>
        <w:tabs>
          <w:tab w:val="left" w:pos="930"/>
        </w:tabs>
        <w:rPr/>
      </w:pPr>
      <w:r>
        <w:t xml:space="preserve">  Serial.println(conteudo);</w:t>
      </w:r>
    </w:p>
    <w:p w14:paraId="00000111">
      <w:pPr>
        <w:tabs>
          <w:tab w:val="left" w:pos="930"/>
        </w:tabs>
        <w:rPr/>
      </w:pPr>
    </w:p>
    <w:p w14:paraId="00000112">
      <w:pPr>
        <w:tabs>
          <w:tab w:val="left" w:pos="930"/>
        </w:tabs>
        <w:rPr/>
      </w:pPr>
      <w:r>
        <w:t xml:space="preserve">  if (conteudo == "A1 B2 C3 D4") { </w:t>
      </w:r>
    </w:p>
    <w:p w14:paraId="00000113">
      <w:pPr>
        <w:tabs>
          <w:tab w:val="left" w:pos="930"/>
        </w:tabs>
        <w:rPr/>
      </w:pPr>
      <w:r>
        <w:t xml:space="preserve">    moverFrente();</w:t>
      </w:r>
    </w:p>
    <w:p w14:paraId="00000114">
      <w:pPr>
        <w:tabs>
          <w:tab w:val="left" w:pos="930"/>
        </w:tabs>
        <w:rPr/>
      </w:pPr>
      <w:r>
        <w:t xml:space="preserve">  }</w:t>
      </w:r>
    </w:p>
    <w:p w14:paraId="00000115">
      <w:pPr>
        <w:tabs>
          <w:tab w:val="left" w:pos="930"/>
        </w:tabs>
        <w:rPr/>
      </w:pPr>
      <w:r>
        <w:t xml:space="preserve">  </w:t>
      </w:r>
    </w:p>
    <w:p w14:paraId="00000116">
      <w:pPr>
        <w:tabs>
          <w:tab w:val="left" w:pos="930"/>
        </w:tabs>
        <w:rPr/>
      </w:pPr>
      <w:r>
        <w:t xml:space="preserve">  if (conteudo == "E5 F6 G7 H8") { </w:t>
      </w:r>
    </w:p>
    <w:p w14:paraId="00000117">
      <w:pPr>
        <w:tabs>
          <w:tab w:val="left" w:pos="930"/>
        </w:tabs>
        <w:rPr/>
      </w:pPr>
      <w:r>
        <w:t xml:space="preserve">    moverDireita();</w:t>
      </w:r>
    </w:p>
    <w:p w14:paraId="00000118">
      <w:pPr>
        <w:tabs>
          <w:tab w:val="left" w:pos="930"/>
        </w:tabs>
        <w:rPr/>
      </w:pPr>
      <w:r>
        <w:t xml:space="preserve">  }</w:t>
      </w:r>
    </w:p>
    <w:p w14:paraId="00000119">
      <w:pPr>
        <w:tabs>
          <w:tab w:val="left" w:pos="930"/>
        </w:tabs>
        <w:rPr/>
      </w:pPr>
      <w:r>
        <w:t>}</w:t>
      </w:r>
    </w:p>
    <w:p w14:paraId="0000011A">
      <w:pPr>
        <w:tabs>
          <w:tab w:val="left" w:pos="930"/>
        </w:tabs>
        <w:rPr/>
      </w:pPr>
    </w:p>
    <w:p w14:paraId="0000011B">
      <w:pPr>
        <w:tabs>
          <w:tab w:val="left" w:pos="930"/>
        </w:tabs>
        <w:rPr/>
      </w:pPr>
      <w:r>
        <w:t>void moverFrente() {</w:t>
      </w:r>
    </w:p>
    <w:p w14:paraId="0000011C">
      <w:pPr>
        <w:tabs>
          <w:tab w:val="left" w:pos="930"/>
        </w:tabs>
        <w:rPr/>
      </w:pPr>
      <w:r>
        <w:t xml:space="preserve">  digitalWrite(led1, HIGH);</w:t>
      </w:r>
    </w:p>
    <w:p w14:paraId="0000011D">
      <w:pPr>
        <w:tabs>
          <w:tab w:val="left" w:pos="930"/>
        </w:tabs>
        <w:rPr/>
      </w:pPr>
      <w:r>
        <w:t xml:space="preserve">  digitalWrite(motorA1, HIGH);</w:t>
      </w:r>
    </w:p>
    <w:p w14:paraId="0000011E">
      <w:pPr>
        <w:tabs>
          <w:tab w:val="left" w:pos="930"/>
        </w:tabs>
        <w:rPr/>
      </w:pPr>
      <w:r>
        <w:t xml:space="preserve">  digitalWrite(motorA2, LOW);</w:t>
      </w:r>
    </w:p>
    <w:p w14:paraId="0000011F">
      <w:pPr>
        <w:tabs>
          <w:tab w:val="left" w:pos="930"/>
        </w:tabs>
        <w:rPr/>
      </w:pPr>
      <w:r>
        <w:t xml:space="preserve">  digitalWrite(motorB1, HIGH);</w:t>
      </w:r>
    </w:p>
    <w:p w14:paraId="00000120">
      <w:pPr>
        <w:tabs>
          <w:tab w:val="left" w:pos="930"/>
        </w:tabs>
        <w:rPr/>
      </w:pPr>
      <w:r>
        <w:t xml:space="preserve">  digitalWrite(motorB2, LOW);</w:t>
      </w:r>
    </w:p>
    <w:p w14:paraId="00000121">
      <w:pPr>
        <w:tabs>
          <w:tab w:val="left" w:pos="930"/>
        </w:tabs>
        <w:rPr/>
      </w:pPr>
      <w:r>
        <w:t xml:space="preserve">  delay(5000);</w:t>
      </w:r>
    </w:p>
    <w:p w14:paraId="00000122">
      <w:pPr>
        <w:tabs>
          <w:tab w:val="left" w:pos="930"/>
        </w:tabs>
        <w:rPr/>
      </w:pPr>
      <w:r>
        <w:t xml:space="preserve">  parar(); </w:t>
      </w:r>
    </w:p>
    <w:p w14:paraId="00000123">
      <w:pPr>
        <w:tabs>
          <w:tab w:val="left" w:pos="930"/>
        </w:tabs>
        <w:rPr/>
      </w:pPr>
      <w:r>
        <w:t>}</w:t>
      </w:r>
    </w:p>
    <w:p w14:paraId="00000124">
      <w:pPr>
        <w:tabs>
          <w:tab w:val="left" w:pos="930"/>
        </w:tabs>
        <w:rPr/>
      </w:pPr>
    </w:p>
    <w:p w14:paraId="00000125">
      <w:pPr>
        <w:tabs>
          <w:tab w:val="left" w:pos="930"/>
        </w:tabs>
        <w:rPr/>
      </w:pPr>
      <w:r>
        <w:t>void moverDireita() {</w:t>
      </w:r>
    </w:p>
    <w:p w14:paraId="00000126">
      <w:pPr>
        <w:tabs>
          <w:tab w:val="left" w:pos="930"/>
        </w:tabs>
        <w:rPr/>
      </w:pPr>
      <w:r>
        <w:t xml:space="preserve">  digitalWrite(buzzer, HIGH);</w:t>
      </w:r>
    </w:p>
    <w:p w14:paraId="00000127">
      <w:pPr>
        <w:tabs>
          <w:tab w:val="left" w:pos="930"/>
        </w:tabs>
        <w:rPr/>
      </w:pPr>
      <w:r>
        <w:t xml:space="preserve">  digitalWrite(motorA1, HIGH);</w:t>
      </w:r>
    </w:p>
    <w:p w14:paraId="00000128">
      <w:pPr>
        <w:tabs>
          <w:tab w:val="left" w:pos="930"/>
        </w:tabs>
        <w:rPr/>
      </w:pPr>
      <w:r>
        <w:t xml:space="preserve">  digitalWrite(motorA2, LOW);</w:t>
      </w:r>
    </w:p>
    <w:p w14:paraId="00000129">
      <w:pPr>
        <w:tabs>
          <w:tab w:val="left" w:pos="930"/>
        </w:tabs>
        <w:rPr/>
      </w:pPr>
      <w:r>
        <w:t xml:space="preserve">  digitalWrite(motorB1, LOW);</w:t>
      </w:r>
    </w:p>
    <w:p w14:paraId="0000012A">
      <w:pPr>
        <w:tabs>
          <w:tab w:val="left" w:pos="930"/>
        </w:tabs>
        <w:rPr/>
      </w:pPr>
      <w:r>
        <w:t xml:space="preserve">  digitalWrite(motorB2, HIGH);</w:t>
      </w:r>
    </w:p>
    <w:p w14:paraId="0000012B">
      <w:pPr>
        <w:tabs>
          <w:tab w:val="left" w:pos="930"/>
        </w:tabs>
        <w:rPr/>
      </w:pPr>
      <w:r>
        <w:t xml:space="preserve">  delay(5000);</w:t>
      </w:r>
    </w:p>
    <w:p w14:paraId="0000012C">
      <w:pPr>
        <w:tabs>
          <w:tab w:val="left" w:pos="930"/>
        </w:tabs>
        <w:rPr/>
      </w:pPr>
      <w:r>
        <w:t xml:space="preserve">  parar();</w:t>
      </w:r>
    </w:p>
    <w:p w14:paraId="0000012D">
      <w:pPr>
        <w:tabs>
          <w:tab w:val="left" w:pos="930"/>
        </w:tabs>
        <w:rPr/>
      </w:pPr>
      <w:r>
        <w:t>}</w:t>
      </w:r>
    </w:p>
    <w:p w14:paraId="0000012E">
      <w:pPr>
        <w:tabs>
          <w:tab w:val="left" w:pos="930"/>
        </w:tabs>
        <w:rPr/>
      </w:pPr>
    </w:p>
    <w:p w14:paraId="0000012F">
      <w:pPr>
        <w:tabs>
          <w:tab w:val="left" w:pos="930"/>
        </w:tabs>
        <w:rPr/>
      </w:pPr>
      <w:r>
        <w:t>void parar() {</w:t>
      </w:r>
    </w:p>
    <w:p w14:paraId="00000130">
      <w:pPr>
        <w:tabs>
          <w:tab w:val="left" w:pos="930"/>
        </w:tabs>
        <w:rPr/>
      </w:pPr>
      <w:r>
        <w:t xml:space="preserve">  digitalWrite(motorA1, LOW);</w:t>
      </w:r>
    </w:p>
    <w:p w14:paraId="00000131">
      <w:pPr>
        <w:tabs>
          <w:tab w:val="left" w:pos="930"/>
        </w:tabs>
        <w:rPr/>
      </w:pPr>
      <w:r>
        <w:t xml:space="preserve">  digitalWrite(motorA2, LOW);</w:t>
      </w:r>
    </w:p>
    <w:p w14:paraId="00000132">
      <w:pPr>
        <w:tabs>
          <w:tab w:val="left" w:pos="930"/>
        </w:tabs>
        <w:rPr/>
      </w:pPr>
      <w:r>
        <w:t xml:space="preserve">  digitalWrite(motorB1, LOW);</w:t>
      </w:r>
    </w:p>
    <w:p w14:paraId="00000133">
      <w:pPr>
        <w:tabs>
          <w:tab w:val="left" w:pos="930"/>
        </w:tabs>
        <w:rPr/>
      </w:pPr>
      <w:r>
        <w:t xml:space="preserve">  digitalWrite(motorB2, LOW);</w:t>
      </w:r>
    </w:p>
    <w:p w14:paraId="00000134">
      <w:pPr>
        <w:tabs>
          <w:tab w:val="left" w:pos="930"/>
        </w:tabs>
        <w:rPr/>
      </w:pPr>
      <w:r>
        <w:t xml:space="preserve">  digitalWrite(led1, LOW);</w:t>
      </w:r>
    </w:p>
    <w:p w14:paraId="00000135">
      <w:pPr>
        <w:tabs>
          <w:tab w:val="left" w:pos="930"/>
        </w:tabs>
        <w:rPr/>
      </w:pPr>
      <w:r>
        <w:t xml:space="preserve">  digitalWrite(buzzer, LOW);</w:t>
      </w:r>
    </w:p>
    <w:p w14:paraId="00000136">
      <w:pPr>
        <w:tabs>
          <w:tab w:val="left" w:pos="930"/>
        </w:tabs>
        <w:rPr>
          <w:lang w:val="pt-BR"/>
        </w:rPr>
      </w:pPr>
      <w:r>
        <w:t>}</w:t>
      </w:r>
    </w:p>
    <w:p w14:paraId="00000137">
      <w:pPr>
        <w:tabs>
          <w:tab w:val="left" w:pos="930"/>
        </w:tabs>
        <w:rPr>
          <w:b/>
          <w:bCs/>
        </w:rPr>
      </w:pPr>
    </w:p>
    <w:p w14:paraId="00000138">
      <w:pPr>
        <w:tabs>
          <w:tab w:val="left" w:pos="930"/>
        </w:tabs>
        <w:rPr/>
      </w:pPr>
      <w:r>
        <w:rPr>
          <w:b/>
          <w:bCs/>
        </w:rPr>
        <w:t>F Site Snack Bit.</w:t>
      </w:r>
    </w:p>
    <w:p w14:paraId="00000139">
      <w:pPr>
        <w:tabs>
          <w:tab w:val="left" w:pos="930"/>
        </w:tabs>
        <w:rPr/>
      </w:pPr>
    </w:p>
    <w:p w14:paraId="0000013A">
      <w:pPr>
        <w:tabs>
          <w:tab w:val="left" w:pos="930"/>
        </w:tabs>
        <w:rPr/>
      </w:pPr>
    </w:p>
    <w:p w14:paraId="0000013B">
      <w:pPr>
        <w:tabs>
          <w:tab w:val="left" w:pos="930"/>
        </w:tabs>
        <w:rPr/>
      </w:pPr>
    </w:p>
    <w:p w14:paraId="0000013C">
      <w:pPr>
        <w:tabs>
          <w:tab w:val="left" w:pos="930"/>
        </w:tabs>
        <w:rPr/>
      </w:pPr>
    </w:p>
    <w:p w14:paraId="0000013D">
      <w:pPr>
        <w:tabs>
          <w:tab w:val="left" w:pos="930"/>
        </w:tabs>
        <w:rPr/>
      </w:pPr>
    </w:p>
    <w:p w14:paraId="0000013E">
      <w:pPr>
        <w:tabs>
          <w:tab w:val="left" w:pos="930"/>
        </w:tabs>
        <w:rPr/>
      </w:pPr>
    </w:p>
    <w:p w14:paraId="0000013F">
      <w:pPr>
        <w:tabs>
          <w:tab w:val="left" w:pos="930"/>
        </w:tabs>
        <w:rPr/>
      </w:pPr>
    </w:p>
    <w:p w14:paraId="00000140">
      <w:pPr>
        <w:tabs>
          <w:tab w:val="left" w:pos="930"/>
        </w:tabs>
        <w:rPr/>
      </w:pPr>
    </w:p>
    <w:p w14:paraId="00000141">
      <w:pPr>
        <w:tabs>
          <w:tab w:val="left" w:pos="930"/>
        </w:tabs>
        <w:rPr/>
      </w:pPr>
    </w:p>
    <w:sectPr>
      <w:headerReference w:type="default" r:id="rId28"/>
      <w:footerReference w:type="default" r:id="rId29"/>
      <w:pgSz w:w="12240" w:h="15840"/>
      <w:pgMar w:top="1701" w:right="1134" w:bottom="1134" w:left="1701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D53122-BE8D-42EB-8576-7CD6A3DDCEC9}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  <w:embedRegular r:id="rId2" w:fontKey="{47E4154D-1A8A-4279-8F8D-7DAB9BD9FEAD}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  <w:embedRegular r:id="rId3" w:fontKey="{2EE358E9-6F97-42B8-9A74-7CD29CBE93F2}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  <w:embedRegular r:id="rId4" w:fontKey="{D846DF5B-36AC-4388-B208-3277964FFD56}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p w14:paraId="00000143">
    <w:pPr>
      <w:spacing w:beforeAutospacing="0" w:after="0" w:afterAutospacing="0" w:line="240" w:lineRule="auto"/>
      <w:rPr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p w14:paraId="00000142">
    <w:pPr>
      <w:spacing w:beforeAutospacing="0" w:after="0" w:afterAutospacing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multiLevelType w:val="multilevel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multiLevelType w:val="multilevel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•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•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•"/>
      <w:lvlJc w:val="left"/>
      <w:pPr>
        <w:ind w:left="5760" w:hanging="360"/>
      </w:pPr>
    </w:lvl>
    <w:lvl w:ilvl="8" w:tentative="0">
      <w:start w:val="1"/>
      <w:numFmt w:val="bullet"/>
      <w:lvlText w:val="•"/>
      <w:lvlJc w:val="left"/>
      <w:pPr>
        <w:ind w:left="6480" w:hanging="360"/>
      </w:pPr>
    </w:lvl>
  </w:abstractNum>
  <w:abstractNum w:abstractNumId="5">
    <w:multiLevelType w:val="hybridMultilevel"/>
    <w:lvl w:ilvl="0" w:tentative="0">
      <w:start w:val="1"/>
      <w:numFmt w:val="decimal"/>
      <w:lvlText w:val="%1."/>
      <w:pPr>
        <w:ind w:left="0" w:hanging="360"/>
      </w:pPr>
    </w:lvl>
    <w:lvl w:ilvl="1" w:tentative="0">
      <w:start w:val="1"/>
      <w:numFmt w:val="decimal"/>
      <w:lvlText w:val="%1.%2."/>
      <w:pPr>
        <w:ind w:left="0" w:hanging="360"/>
      </w:pPr>
    </w:lvl>
    <w:lvl w:ilvl="2" w:tentative="0">
      <w:start w:val="1"/>
      <w:numFmt w:val="decimal"/>
      <w:lvlText w:val="%1.%2.%3."/>
      <w:pPr>
        <w:ind w:left="0" w:hanging="360"/>
      </w:pPr>
    </w:lvl>
    <w:lvl w:ilvl="3" w:tentative="0">
      <w:start w:val="1"/>
      <w:numFmt w:val="decimal"/>
      <w:lvlText w:val="%1.%2.%3.%4."/>
      <w:pPr>
        <w:ind w:left="0" w:hanging="360"/>
      </w:pPr>
    </w:lvl>
    <w:lvl w:ilvl="4" w:tentative="0">
      <w:start w:val="1"/>
      <w:numFmt w:val="decimal"/>
      <w:lvlText w:val="%1.%2.%3.%4.%5."/>
      <w:pPr>
        <w:ind w:left="0" w:hanging="360"/>
      </w:pPr>
    </w:lvl>
    <w:lvl w:ilvl="5" w:tentative="0">
      <w:start w:val="1"/>
      <w:numFmt w:val="decimal"/>
      <w:lvlText w:val="%1.%2.%3.%4.%5.%6."/>
      <w:pPr>
        <w:ind w:left="0" w:hanging="360"/>
      </w:pPr>
    </w:lvl>
    <w:lvl w:ilvl="6" w:tentative="0">
      <w:start w:val="1"/>
      <w:numFmt w:val="decimal"/>
      <w:lvlText w:val="%1.%2.%3.%4.%5.%6.%7."/>
      <w:pPr>
        <w:ind w:left="0" w:hanging="360"/>
      </w:pPr>
    </w:lvl>
    <w:lvl w:ilvl="7" w:tentative="0">
      <w:start w:val="1"/>
      <w:numFmt w:val="decimal"/>
      <w:lvlText w:val="%1.%2.%3.%4.%5.%6.%7.%8."/>
      <w:pPr>
        <w:ind w:left="0" w:hanging="360"/>
      </w:pPr>
    </w:lvl>
    <w:lvl w:ilvl="8" w:tentative="0">
      <w:start w:val="1"/>
      <w:numFmt w:val="decimal"/>
      <w:lvlText w:val="%1.%2.%3.%4.%5.%6.%7.%8.%9."/>
      <w:pPr>
        <w:ind w:left="0" w:hanging="360"/>
      </w:pPr>
    </w:lvl>
  </w:abstractNum>
  <w:abstractNum w:abstractNumId="6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•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•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•"/>
      <w:lvlJc w:val="left"/>
      <w:pPr>
        <w:ind w:left="5760" w:hanging="360"/>
      </w:pPr>
    </w:lvl>
    <w:lvl w:ilvl="8" w:tentative="0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>
      <w:startOverride w:val="1"/>
    </w:lvlOverride>
  </w:num>
  <w:num w:numId="6">
    <w:abstractNumId w:val="5"/>
  </w:num>
  <w:num w:numId="7">
    <w:abstractNumId w:val="6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E29"/>
    <w:rsid w:val="000903CB"/>
    <w:rsid w:val="000E711A"/>
    <w:rsid w:val="001171A8"/>
    <w:rsid w:val="00157D32"/>
    <w:rsid w:val="0025676B"/>
    <w:rsid w:val="002D351E"/>
    <w:rsid w:val="003174AD"/>
    <w:rsid w:val="00531A3C"/>
    <w:rsid w:val="00573688"/>
    <w:rsid w:val="006862B0"/>
    <w:rsid w:val="006F7F17"/>
    <w:rsid w:val="00761E51"/>
    <w:rsid w:val="00765474"/>
    <w:rsid w:val="009210E0"/>
    <w:rsid w:val="00991925"/>
    <w:rsid w:val="00A81834"/>
    <w:rsid w:val="00A94712"/>
    <w:rsid w:val="00AA7A83"/>
    <w:rsid w:val="00AF31EC"/>
    <w:rsid w:val="00B002F8"/>
    <w:rsid w:val="00B53712"/>
    <w:rsid w:val="00BF0ECC"/>
    <w:rsid w:val="00C06C35"/>
    <w:rsid w:val="00C107B3"/>
    <w:rsid w:val="00DB734A"/>
    <w:rsid w:val="00EB41D8"/>
    <w:rsid w:val="00F17E29"/>
    <w:rsid w:val="00F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D6DE"/>
  <w15:docId w15:val="{45FA66A4-01DE-49D0-983C-9C0CBA821395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pt-BR" w:bidi="ar-SA" w:eastAsia="pt-BR"/>
      </w:rPr>
    </w:rPrDefault>
    <w:pPrDefault>
      <w:pPr>
        <w:widowControl w:val="off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uiPriority w:val="9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="240" w:beforeAutospacing="0" w:after="240" w:afterAutospacing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on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="225" w:beforeAutospacing="0" w:after="225" w:afterAutospacing="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 w:val="on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="240" w:beforeAutospacing="0" w:after="240" w:afterAutospacing="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on"/>
    <w:unhideWhenUsed w:val="on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="255" w:beforeAutospacing="0" w:after="255" w:afterAutospacing="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on"/>
    <w:unhideWhenUsed w:val="on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="255" w:beforeAutospacing="0" w:after="255" w:afterAutospacing="0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 w:val="on"/>
    <w:unhideWhenUsed w:val="on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="360" w:beforeAutospacing="0" w:after="360" w:afterAutospacing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 w:val="on"/>
    <w:pPr>
      <w:keepNext w:val="on"/>
      <w:keepLines w:val="on"/>
      <w:spacing w:before="480" w:beforeAutospacing="0" w:after="120" w:afterAutospacing="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 w:val="on"/>
    <w:pPr>
      <w:keepNext w:val="on"/>
      <w:keepLines w:val="on"/>
      <w:spacing w:before="360" w:beforeAutospacing="0" w:after="80" w:afterAutospacing="0"/>
    </w:pPr>
    <w:rPr>
      <w:rFonts w:ascii="Georgia" w:cs="Georgia" w:eastAsia="Georgia" w:hAnsi="Georgia"/>
      <w:i/>
      <w:iCs/>
      <w:color w:val="666666"/>
      <w:sz w:val="48"/>
      <w:szCs w:val="48"/>
    </w:rPr>
  </w:style>
  <w:style w:type="paragraph" w:customStyle="1" w:styleId="TextoAMNT">
    <w:name w:val="Texto AMNT"/>
    <w:basedOn w:val="Normal"/>
    <w:link w:val="TextoAMNTChar"/>
    <w:uiPriority w:val="99"/>
    <w:qFormat w:val="on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beforeAutospacing="0" w:afterAutospacing="0" w:line="360" w:lineRule="auto"/>
      <w:ind w:firstLine="720"/>
      <w:jc w:val="both"/>
    </w:pPr>
    <w:rPr>
      <w:color w:val="000000" w:themeColor="text1"/>
      <w:sz w:val="24"/>
    </w:rPr>
  </w:style>
  <w:style w:type="character" w:customStyle="1" w:styleId="TextoAMNTChar">
    <w:name w:val="Texto AMNT Char"/>
    <w:basedOn w:val="DefaultParagraphFont"/>
    <w:link w:val="TextoAMNT"/>
    <w:uiPriority w:val="99"/>
    <w:rPr>
      <w:color w:val="000000" w:themeColor="text1"/>
      <w:sz w:val="24"/>
    </w:rPr>
  </w:style>
  <w:style w:type="paragraph" w:customStyle="1" w:styleId="TITULOTCC">
    <w:name w:val="TITULO TCC"/>
    <w:basedOn w:val="TextoAMNT"/>
    <w:link w:val="TITULOTCCChar"/>
    <w:uiPriority w:val="99"/>
    <w:qFormat w:val="on"/>
    <w:pPr>
      <w:spacing w:beforeAutospacing="0" w:afterAutospacing="0" w:line="240" w:lineRule="auto"/>
      <w:ind w:firstLine="0"/>
      <w:jc w:val="left"/>
    </w:pPr>
    <w:rPr>
      <w:b/>
      <w:bCs/>
      <w:caps/>
    </w:rPr>
  </w:style>
  <w:style w:type="character" w:customStyle="1" w:styleId="TITULOTCCChar">
    <w:name w:val="TITULO TCC Char"/>
    <w:basedOn w:val="TextoAMNTChar"/>
    <w:link w:val="TITULOTCC"/>
    <w:uiPriority w:val="99"/>
    <w:rPr>
      <w:b/>
      <w:bCs/>
      <w:caps/>
      <w:color w:val="000000" w:themeColor="text1"/>
      <w:sz w:val="24"/>
    </w:rPr>
  </w:style>
  <w:style w:type="paragraph" w:customStyle="1" w:styleId="SUBTITILOTCC">
    <w:name w:val="SUBTITILO TCC"/>
    <w:basedOn w:val="TextoAMNT"/>
    <w:link w:val="SUBTITILOTCCChar"/>
    <w:uiPriority w:val="99"/>
    <w:qFormat w:val="on"/>
    <w:rPr>
      <w:b/>
      <w:bCs/>
    </w:rPr>
  </w:style>
  <w:style w:type="character" w:customStyle="1" w:styleId="SUBTITILOTCCChar">
    <w:name w:val="SUBTITILO TCC Char"/>
    <w:basedOn w:val="TextoAMNTChar"/>
    <w:link w:val="SUBTITILOTCC"/>
    <w:uiPriority w:val="99"/>
    <w:rPr>
      <w:b/>
      <w:bCs/>
      <w:color w:val="000000" w:themeColor="text1"/>
      <w:sz w:val="24"/>
    </w:rPr>
  </w:style>
  <w:style w:type="paragraph" w:customStyle="1" w:styleId="SUBTITULOTCC">
    <w:name w:val="SUBTITULO TCC"/>
    <w:basedOn w:val="SUBTITILOTCC"/>
    <w:link w:val="SUBTITULOTCCChar"/>
    <w:uiPriority w:val="99"/>
    <w:qFormat w:val="on"/>
    <w:pPr>
      <w:jc w:val="left"/>
    </w:pPr>
  </w:style>
  <w:style w:type="character" w:customStyle="1" w:styleId="SUBTITULOTCCChar">
    <w:name w:val="SUBTITULO TCC Char"/>
    <w:basedOn w:val="SUBTITILOTCCChar"/>
    <w:link w:val="SUBTITULOTCC"/>
    <w:uiPriority w:val="99"/>
    <w:rPr>
      <w:b/>
      <w:bCs/>
      <w:color w:val="000000" w:themeColor="text1"/>
      <w:sz w:val="24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keepNext w:val="on"/>
      <w:keepLines w:val="on"/>
      <w:widowControl w:val="on"/>
      <w:pBdr>
        <w:top w:val="none" w:sz="4" w:space="0"/>
        <w:left w:val="none" w:sz="4" w:space="0"/>
        <w:bottom w:val="none" w:sz="4" w:space="0"/>
        <w:right w:val="none" w:sz="4" w:space="0"/>
        <w:between w:val="none" w:sz="4" w:space="0"/>
      </w:pBdr>
      <w:spacing w:beforeAutospacing="0" w:after="0" w:afterAutospacing="0" w:line="259" w:lineRule="auto"/>
    </w:pPr>
    <w:rPr>
      <w:rFonts w:asciiTheme="majorHAnsi" w:cstheme="majorBidi" w:eastAsiaTheme="majorEastAsia" w:hAnsiTheme="majorHAnsi"/>
      <w:b w:val="off"/>
      <w:bCs w:val="off"/>
      <w:color w:val="376091" w:themeColor="accent1" w:themeShade="b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beforeAutospacing="0" w:after="100" w:afterAutospacing="0"/>
    </w:pPr>
  </w:style>
  <w:style w:type="paragraph" w:styleId="Toc2">
    <w:name w:val="Toc 2"/>
    <w:basedOn w:val="Normal"/>
    <w:next w:val="Normal"/>
    <w:uiPriority w:val="39"/>
    <w:unhideWhenUsed w:val="on"/>
    <w:pPr>
      <w:spacing w:beforeAutospacing="0" w:after="100" w:afterAutospacing="0"/>
      <w:ind w:left="220"/>
    </w:p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customStyle="1" w:styleId="TITULODEtcc">
    <w:name w:val="TITULO DE tcc"/>
    <w:basedOn w:val="SUBTITULOTCC"/>
    <w:link w:val="TITULODEtccChar"/>
    <w:uiPriority w:val="99"/>
    <w:qFormat w:val="on"/>
  </w:style>
  <w:style w:type="character" w:customStyle="1" w:styleId="TITULODEtccChar">
    <w:name w:val="TITULO DE tcc Char"/>
    <w:basedOn w:val="SUBTITULOTCCChar"/>
    <w:link w:val="TITULODEtcc"/>
    <w:uiPriority w:val="99"/>
    <w:rPr>
      <w:b/>
      <w:bCs/>
      <w:color w:val="000000" w:themeColor="text1"/>
      <w:sz w:val="24"/>
    </w:rPr>
  </w:style>
  <w:style w:type="paragraph" w:customStyle="1" w:styleId="TCCTITULLO">
    <w:name w:val="TCC TITULLO"/>
    <w:basedOn w:val="SUBTITILOTCC"/>
    <w:link w:val="TCCTITULLOChar"/>
    <w:uiPriority w:val="99"/>
    <w:qFormat w:val="on"/>
    <w:pPr/>
    <w:rPr>
      <w:caps/>
    </w:rPr>
  </w:style>
  <w:style w:type="character" w:customStyle="1" w:styleId="TCCTITULLOChar">
    <w:name w:val="TCC TITULLO Char"/>
    <w:basedOn w:val="SUBTITILOTCCChar"/>
    <w:link w:val="TCCTITULLO"/>
    <w:uiPriority w:val="99"/>
    <w:rPr>
      <w:b/>
      <w:bCs/>
      <w:caps/>
      <w:color w:val="000000" w:themeColor="text1"/>
      <w:sz w:val="24"/>
    </w:rPr>
  </w:style>
  <w:style w:type="paragraph" w:styleId="BalloonText">
    <w:name w:val="Balloon Text"/>
    <w:basedOn w:val="Normal"/>
    <w:link w:val="TextodebalãoChar"/>
    <w:uiPriority w:val="99"/>
    <w:semiHidden w:val="on"/>
    <w:unhideWhenUsed w:val="on"/>
    <w:rPr>
      <w:rFonts w:ascii="Tahoma" w:cs="Tahoma" w:hAnsi="Tahoma"/>
      <w:sz w:val="16"/>
      <w:szCs w:val="16"/>
    </w:rPr>
  </w:style>
  <w:style w:type="character" w:customStyle="1" w:styleId="TextodebalãoChar">
    <w:name w:val="Texto de balão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Normal(Web)">
    <w:name w:val="Normal (Web)"/>
    <w:basedOn w:val="Normal"/>
    <w:link w:val="Normal(Web)Char"/>
    <w:uiPriority w:val="99"/>
    <w:semiHidden w:val="on"/>
    <w:unhideWhenUsed w:val="on"/>
    <w:pPr>
      <w:widowControl w:val="on"/>
      <w:spacing w:before="100" w:beforeAutospacing="1" w:after="100" w:after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on"/>
    <w:uiPriority w:val="99"/>
    <w:semiHidden w:val="on"/>
    <w:pPr>
      <w:widowControl w:val="on"/>
    </w:pPr>
  </w:style>
  <w:style w:type="paragraph" w:customStyle="1" w:styleId="Textotccc">
    <w:name w:val="Texto tccc"/>
    <w:basedOn w:val="Normal(Web)"/>
    <w:link w:val="TextotcccChar"/>
    <w:uiPriority w:val="99"/>
    <w:qFormat w:val="on"/>
    <w:pPr>
      <w:spacing w:beforeAutospacing="0" w:afterAutospacing="0" w:line="360" w:lineRule="auto"/>
      <w:ind w:left="1701" w:right="1701" w:firstLine="720"/>
      <w:jc w:val="both"/>
    </w:pPr>
    <w:rPr>
      <w:rFonts w:ascii="Arial" w:cs="Arial" w:hAnsi="Arial"/>
    </w:rPr>
  </w:style>
  <w:style w:type="paragraph" w:customStyle="1" w:styleId="Estilo1">
    <w:name w:val="Estilo1"/>
    <w:basedOn w:val="Textotccc"/>
    <w:link w:val="Estilo1Char"/>
    <w:uiPriority w:val="99"/>
    <w:qFormat w:val="on"/>
  </w:style>
  <w:style w:type="character" w:customStyle="1" w:styleId="Normal(Web)Char">
    <w:name w:val="Normal (Web) Char"/>
    <w:basedOn w:val="DefaultParagraphFont"/>
    <w:link w:val="Normal(Web)"/>
    <w:uiPriority w:val="99"/>
    <w:semiHidden w:val="on"/>
    <w:rPr>
      <w:rFonts w:ascii="Times New Roman" w:cs="Times New Roman" w:eastAsia="Times New Roman" w:hAnsi="Times New Roman"/>
      <w:sz w:val="24"/>
      <w:szCs w:val="24"/>
    </w:rPr>
  </w:style>
  <w:style w:type="character" w:customStyle="1" w:styleId="TextotcccChar">
    <w:name w:val="Texto tccc Char"/>
    <w:basedOn w:val="Normal(Web)Char"/>
    <w:link w:val="Textotccc"/>
    <w:uiPriority w:val="99"/>
    <w:rPr>
      <w:rFonts w:ascii="Times New Roman" w:cs="Times New Roman" w:eastAsia="Times New Roman" w:hAnsi="Times New Roman"/>
      <w:sz w:val="24"/>
      <w:szCs w:val="24"/>
    </w:rPr>
  </w:style>
  <w:style w:type="paragraph" w:customStyle="1" w:styleId="Estilo2">
    <w:name w:val="Estilo2"/>
    <w:basedOn w:val="Estilo1"/>
    <w:link w:val="Estilo2Char"/>
    <w:uiPriority w:val="99"/>
    <w:qFormat w:val="on"/>
  </w:style>
  <w:style w:type="character" w:customStyle="1" w:styleId="Estilo1Char">
    <w:name w:val="Estilo1 Char"/>
    <w:basedOn w:val="TextotcccChar"/>
    <w:link w:val="Estilo1"/>
    <w:uiPriority w:val="99"/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Estilo2Char">
    <w:name w:val="Estilo2 Char"/>
    <w:basedOn w:val="Estilo1Char"/>
    <w:link w:val="Estilo2"/>
    <w:uiPriority w:val="99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jpeg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D2653-9AD9-43F2-A3A4-42ACE592D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3058</Words>
  <Characters>16517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Professores</dc:creator>
  <cp:lastModifiedBy>Gabriel Vieira</cp:lastModifiedBy>
</cp:coreProperties>
</file>