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99F70A" w14:textId="496D67DB" w:rsidR="00832672" w:rsidRDefault="00832672">
      <w:pPr>
        <w:pStyle w:val="Corpodetexto"/>
        <w:spacing w:before="55" w:line="256" w:lineRule="auto"/>
        <w:ind w:left="964" w:right="6481"/>
      </w:pPr>
    </w:p>
    <w:p w14:paraId="2A734C74" w14:textId="77777777" w:rsidR="00D01D46" w:rsidRPr="00D01D46" w:rsidRDefault="00D01D46" w:rsidP="00D01D46"/>
    <w:p w14:paraId="4EC9F3DE" w14:textId="77777777" w:rsidR="00D01D46" w:rsidRPr="00D01D46" w:rsidRDefault="00D01D46" w:rsidP="00D01D46"/>
    <w:p w14:paraId="13909200" w14:textId="77777777" w:rsidR="00D01D46" w:rsidRPr="00D01D46" w:rsidRDefault="00D01D46" w:rsidP="00D01D46"/>
    <w:p w14:paraId="5AA89FD0" w14:textId="77777777" w:rsidR="00D01D46" w:rsidRPr="00D01D46" w:rsidRDefault="00D01D46" w:rsidP="00D01D46"/>
    <w:p w14:paraId="540C7622" w14:textId="77777777" w:rsidR="00D01D46" w:rsidRPr="00D01D46" w:rsidRDefault="00D01D46" w:rsidP="00D01D46"/>
    <w:p w14:paraId="593D0D80" w14:textId="77777777" w:rsidR="00D01D46" w:rsidRPr="00D01D46" w:rsidRDefault="00D01D46" w:rsidP="00D01D46"/>
    <w:p w14:paraId="10211980" w14:textId="77777777" w:rsidR="00D01D46" w:rsidRPr="00D01D46" w:rsidRDefault="00D01D46" w:rsidP="00D01D46"/>
    <w:p w14:paraId="740B8A8E" w14:textId="77777777" w:rsidR="00D01D46" w:rsidRDefault="00D01D46" w:rsidP="00D01D46">
      <w:pPr>
        <w:rPr>
          <w:sz w:val="23"/>
          <w:szCs w:val="23"/>
        </w:rPr>
      </w:pPr>
    </w:p>
    <w:p w14:paraId="32F8C780" w14:textId="0F9DD43D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2016</w:t>
      </w:r>
      <w:r>
        <w:t xml:space="preserve"> – Licitação Pública Nacional nº </w:t>
      </w:r>
      <w:r>
        <w:rPr>
          <w:rStyle w:val="Forte"/>
        </w:rPr>
        <w:t>04/2016–UG PADEAM/SEDUC</w:t>
      </w:r>
      <w:r>
        <w:t xml:space="preserve"> para construção do </w:t>
      </w:r>
      <w:r>
        <w:rPr>
          <w:rStyle w:val="Forte"/>
        </w:rPr>
        <w:t>CETI/Codajás-AM</w:t>
      </w:r>
      <w:r>
        <w:t xml:space="preserve"> (</w:t>
      </w:r>
      <w:r>
        <w:rPr>
          <w:rStyle w:val="Forte"/>
        </w:rPr>
        <w:t>doc. 01</w:t>
      </w:r>
      <w:r>
        <w:t>).</w:t>
      </w:r>
    </w:p>
    <w:p w14:paraId="0D0A38AB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2017</w:t>
      </w:r>
      <w:r>
        <w:t xml:space="preserve"> – Assinatura do </w:t>
      </w:r>
      <w:r>
        <w:rPr>
          <w:rStyle w:val="Forte"/>
        </w:rPr>
        <w:t>Contrato nº 008/2017–SEDUC</w:t>
      </w:r>
      <w:r>
        <w:t xml:space="preserve"> com </w:t>
      </w:r>
      <w:r>
        <w:rPr>
          <w:rStyle w:val="Forte"/>
        </w:rPr>
        <w:t>Império Construções e Serviços Ltda.</w:t>
      </w:r>
      <w:r>
        <w:t xml:space="preserve"> (</w:t>
      </w:r>
      <w:r>
        <w:rPr>
          <w:rStyle w:val="Forte"/>
        </w:rPr>
        <w:t>doc. 02</w:t>
      </w:r>
      <w:r>
        <w:t>).</w:t>
      </w:r>
    </w:p>
    <w:p w14:paraId="5C2CB051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29/10/2019</w:t>
      </w:r>
      <w:r>
        <w:t xml:space="preserve"> – </w:t>
      </w:r>
      <w:r>
        <w:rPr>
          <w:rStyle w:val="Forte"/>
        </w:rPr>
        <w:t>Termo de Cessão Parcial nº 001/2019–SEDUC</w:t>
      </w:r>
      <w:r>
        <w:t xml:space="preserve"> transfere à </w:t>
      </w:r>
      <w:r>
        <w:rPr>
          <w:rStyle w:val="Forte"/>
        </w:rPr>
        <w:t>Construtora Alcance Ltda.</w:t>
      </w:r>
      <w:r>
        <w:t xml:space="preserve"> os direitos e obrigações do ajuste (publicação no DOE) (</w:t>
      </w:r>
      <w:r>
        <w:rPr>
          <w:rStyle w:val="Forte"/>
        </w:rPr>
        <w:t>doc. 03</w:t>
      </w:r>
      <w:r>
        <w:t>).</w:t>
      </w:r>
    </w:p>
    <w:p w14:paraId="3974F61B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18/05/2022</w:t>
      </w:r>
      <w:r>
        <w:t xml:space="preserve"> – Autora requer pagamento da </w:t>
      </w:r>
      <w:r>
        <w:rPr>
          <w:rStyle w:val="Forte"/>
        </w:rPr>
        <w:t>Administração Local da Obra</w:t>
      </w:r>
      <w:r>
        <w:t xml:space="preserve">, atualização monetária e aplicação de </w:t>
      </w:r>
      <w:r>
        <w:rPr>
          <w:rStyle w:val="Forte"/>
        </w:rPr>
        <w:t>multa contratual</w:t>
      </w:r>
      <w:r>
        <w:t xml:space="preserve"> (SIGED </w:t>
      </w:r>
      <w:r>
        <w:rPr>
          <w:rStyle w:val="Forte"/>
        </w:rPr>
        <w:t>01.01.028101.000728/2022-99</w:t>
      </w:r>
      <w:r>
        <w:t xml:space="preserve">; protocolo em </w:t>
      </w:r>
      <w:r>
        <w:rPr>
          <w:rStyle w:val="Forte"/>
        </w:rPr>
        <w:t>19/05/2022</w:t>
      </w:r>
      <w:r>
        <w:t>) (</w:t>
      </w:r>
      <w:r>
        <w:rPr>
          <w:rStyle w:val="Forte"/>
        </w:rPr>
        <w:t>doc. 04; fls. 45</w:t>
      </w:r>
      <w:r>
        <w:t>).</w:t>
      </w:r>
    </w:p>
    <w:p w14:paraId="57124C1D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03/11/2022</w:t>
      </w:r>
      <w:r>
        <w:t xml:space="preserve"> – SEDUC/AM remete à </w:t>
      </w:r>
      <w:r>
        <w:rPr>
          <w:rStyle w:val="Forte"/>
        </w:rPr>
        <w:t>ASSJUR/PADEAM</w:t>
      </w:r>
      <w:r>
        <w:t xml:space="preserve"> para parecer (SIGED </w:t>
      </w:r>
      <w:r>
        <w:rPr>
          <w:rStyle w:val="Forte"/>
        </w:rPr>
        <w:t>01.01.028101.015553/2022-14</w:t>
      </w:r>
      <w:r>
        <w:t>) (</w:t>
      </w:r>
      <w:r>
        <w:rPr>
          <w:rStyle w:val="Forte"/>
        </w:rPr>
        <w:t>doc. 05; fls. 19.182</w:t>
      </w:r>
      <w:r>
        <w:t>).</w:t>
      </w:r>
    </w:p>
    <w:p w14:paraId="73FEDA5C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08/03/2024</w:t>
      </w:r>
      <w:r>
        <w:t xml:space="preserve"> – Nova solicitação de pagamento à SEDUC/AM (</w:t>
      </w:r>
      <w:r>
        <w:rPr>
          <w:rStyle w:val="Forte"/>
        </w:rPr>
        <w:t>doc. 06; fls. 01</w:t>
      </w:r>
      <w:r>
        <w:t>).</w:t>
      </w:r>
    </w:p>
    <w:p w14:paraId="130BF5DC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02/04/2024</w:t>
      </w:r>
      <w:r>
        <w:t xml:space="preserve"> – UGP-PADEAM determina juntada dos autos de origem (</w:t>
      </w:r>
      <w:r>
        <w:rPr>
          <w:rStyle w:val="Forte"/>
        </w:rPr>
        <w:t>doc. 07; fls. 19.183</w:t>
      </w:r>
      <w:r>
        <w:t>).</w:t>
      </w:r>
    </w:p>
    <w:p w14:paraId="4CE3A4C1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05/04/2024</w:t>
      </w:r>
      <w:r>
        <w:t xml:space="preserve"> – ASSJUR/SEDUC requisita documentos ao </w:t>
      </w:r>
      <w:r>
        <w:rPr>
          <w:rStyle w:val="Forte"/>
        </w:rPr>
        <w:t>NGCC</w:t>
      </w:r>
      <w:r>
        <w:t xml:space="preserve"> (</w:t>
      </w:r>
      <w:r>
        <w:rPr>
          <w:rStyle w:val="Forte"/>
        </w:rPr>
        <w:t>doc. 08; fls. 19.184</w:t>
      </w:r>
      <w:r>
        <w:t>).</w:t>
      </w:r>
    </w:p>
    <w:p w14:paraId="543463EB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22/04/2024</w:t>
      </w:r>
      <w:r>
        <w:t xml:space="preserve"> – Autos retornam à ASSJUR/SEDUC (</w:t>
      </w:r>
      <w:r>
        <w:rPr>
          <w:rStyle w:val="Forte"/>
        </w:rPr>
        <w:t>doc. 09; fls. 19.223</w:t>
      </w:r>
      <w:r>
        <w:t>).</w:t>
      </w:r>
    </w:p>
    <w:p w14:paraId="78EA061C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23/04/2024</w:t>
      </w:r>
      <w:r>
        <w:t xml:space="preserve"> – ASSJUR/SEDUC aponta responsabilidade da </w:t>
      </w:r>
      <w:r>
        <w:rPr>
          <w:rStyle w:val="Forte"/>
        </w:rPr>
        <w:t>UGP-PADEAM</w:t>
      </w:r>
      <w:r>
        <w:t xml:space="preserve"> e confirma mora da análise (</w:t>
      </w:r>
      <w:r>
        <w:rPr>
          <w:rStyle w:val="Forte"/>
        </w:rPr>
        <w:t>doc. 10</w:t>
      </w:r>
      <w:r>
        <w:t>).</w:t>
      </w:r>
    </w:p>
    <w:p w14:paraId="44F954E9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28/05/2024</w:t>
      </w:r>
      <w:r>
        <w:t xml:space="preserve"> – </w:t>
      </w:r>
      <w:r>
        <w:rPr>
          <w:rStyle w:val="Forte"/>
        </w:rPr>
        <w:t>Parecer nº 003/2024–ASSJUR/UGP-PADEAM</w:t>
      </w:r>
      <w:r>
        <w:t xml:space="preserve"> afasta responsabilidade da UGP-PADEAM (</w:t>
      </w:r>
      <w:r>
        <w:rPr>
          <w:rStyle w:val="Forte"/>
        </w:rPr>
        <w:t>doc. 11; fls. 19.226</w:t>
      </w:r>
      <w:r>
        <w:t>).</w:t>
      </w:r>
    </w:p>
    <w:p w14:paraId="2C3B4856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29/05/2024</w:t>
      </w:r>
      <w:r>
        <w:t xml:space="preserve"> – </w:t>
      </w:r>
      <w:r>
        <w:rPr>
          <w:rStyle w:val="Forte"/>
        </w:rPr>
        <w:t>Ofício nº 052/2024/Gabinete–UGP-PADEAM</w:t>
      </w:r>
      <w:r>
        <w:t xml:space="preserve"> remete parecer à SEDUC (</w:t>
      </w:r>
      <w:r>
        <w:rPr>
          <w:rStyle w:val="Forte"/>
        </w:rPr>
        <w:t>doc. 12; fls. 19.231</w:t>
      </w:r>
      <w:r>
        <w:t>).</w:t>
      </w:r>
    </w:p>
    <w:p w14:paraId="7952CEF9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07/06/2024</w:t>
      </w:r>
      <w:r>
        <w:t xml:space="preserve"> – ASSJUR/SEDUC envia ao </w:t>
      </w:r>
      <w:r>
        <w:rPr>
          <w:rStyle w:val="Forte"/>
        </w:rPr>
        <w:t>DEFIN/SEDUC</w:t>
      </w:r>
      <w:r>
        <w:t xml:space="preserve"> (</w:t>
      </w:r>
      <w:r>
        <w:rPr>
          <w:rStyle w:val="Forte"/>
        </w:rPr>
        <w:t>doc. 13</w:t>
      </w:r>
      <w:r>
        <w:t>).</w:t>
      </w:r>
    </w:p>
    <w:p w14:paraId="78DB2E73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lastRenderedPageBreak/>
        <w:t>02/07/2024</w:t>
      </w:r>
      <w:r>
        <w:t xml:space="preserve"> – </w:t>
      </w:r>
      <w:r>
        <w:rPr>
          <w:rStyle w:val="Forte"/>
        </w:rPr>
        <w:t>DEFIN/SEDUC</w:t>
      </w:r>
      <w:r>
        <w:t xml:space="preserve"> informa execução dos empenhos a partir de 2020 pela equipe do </w:t>
      </w:r>
      <w:r>
        <w:rPr>
          <w:rStyle w:val="Forte"/>
        </w:rPr>
        <w:t>PADEAM</w:t>
      </w:r>
      <w:r>
        <w:t xml:space="preserve"> (</w:t>
      </w:r>
      <w:r>
        <w:rPr>
          <w:rStyle w:val="Forte"/>
        </w:rPr>
        <w:t>doc. 14</w:t>
      </w:r>
      <w:r>
        <w:t>).</w:t>
      </w:r>
    </w:p>
    <w:p w14:paraId="0B91E5B2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15/08/2024</w:t>
      </w:r>
      <w:r>
        <w:t xml:space="preserve"> – </w:t>
      </w:r>
      <w:r>
        <w:rPr>
          <w:rStyle w:val="Forte"/>
        </w:rPr>
        <w:t>Parecer nº 3543/2024–ASSJUR/SEDUC</w:t>
      </w:r>
      <w:r>
        <w:t xml:space="preserve"> propõe submissão à </w:t>
      </w:r>
      <w:r>
        <w:rPr>
          <w:rStyle w:val="Forte"/>
        </w:rPr>
        <w:t>PGE/AM</w:t>
      </w:r>
      <w:r>
        <w:t xml:space="preserve"> (</w:t>
      </w:r>
      <w:r>
        <w:rPr>
          <w:rStyle w:val="Forte"/>
        </w:rPr>
        <w:t>doc. 15</w:t>
      </w:r>
      <w:r>
        <w:t>).</w:t>
      </w:r>
    </w:p>
    <w:p w14:paraId="77259123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16/12/2024</w:t>
      </w:r>
      <w:r>
        <w:t xml:space="preserve"> – </w:t>
      </w:r>
      <w:r>
        <w:rPr>
          <w:rStyle w:val="Forte"/>
        </w:rPr>
        <w:t>PGE/AM</w:t>
      </w:r>
      <w:r>
        <w:t xml:space="preserve"> (Despacho da Procuradora </w:t>
      </w:r>
      <w:r>
        <w:rPr>
          <w:rStyle w:val="Forte"/>
        </w:rPr>
        <w:t xml:space="preserve">Natasha </w:t>
      </w:r>
      <w:proofErr w:type="spellStart"/>
      <w:r>
        <w:rPr>
          <w:rStyle w:val="Forte"/>
        </w:rPr>
        <w:t>Yukie</w:t>
      </w:r>
      <w:proofErr w:type="spellEnd"/>
      <w:r>
        <w:rPr>
          <w:rStyle w:val="Forte"/>
        </w:rPr>
        <w:t xml:space="preserve"> Hara de Oliveira Vasquez</w:t>
      </w:r>
      <w:r>
        <w:t xml:space="preserve">) pede esclarecimentos e alerta para o </w:t>
      </w:r>
      <w:r>
        <w:rPr>
          <w:rStyle w:val="Forte"/>
        </w:rPr>
        <w:t>reconhecimento da dívida</w:t>
      </w:r>
      <w:r>
        <w:t xml:space="preserve"> se não houver pagamento (</w:t>
      </w:r>
      <w:r>
        <w:rPr>
          <w:rStyle w:val="Forte"/>
        </w:rPr>
        <w:t>doc. 16; fls. 19.254</w:t>
      </w:r>
      <w:r>
        <w:t>).</w:t>
      </w:r>
    </w:p>
    <w:p w14:paraId="773DE3BF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23/01/2025</w:t>
      </w:r>
      <w:r>
        <w:t xml:space="preserve"> – ASSJUR/SEDUC opina pela impossibilidade de reconhecer o pleito com base apenas em </w:t>
      </w:r>
      <w:r>
        <w:rPr>
          <w:rStyle w:val="Forte"/>
        </w:rPr>
        <w:t>informação não documentada</w:t>
      </w:r>
      <w:r>
        <w:rPr>
          <w:rStyle w:val="Forte"/>
          <w:rFonts w:eastAsiaTheme="majorEastAsia"/>
        </w:rPr>
        <w:t xml:space="preserve"> e sem análise técnica</w:t>
      </w:r>
      <w:r>
        <w:t xml:space="preserve"> de pagamento integral (</w:t>
      </w:r>
      <w:r>
        <w:rPr>
          <w:rStyle w:val="Forte"/>
        </w:rPr>
        <w:t>doc. 17</w:t>
      </w:r>
      <w:r>
        <w:t>).</w:t>
      </w:r>
    </w:p>
    <w:p w14:paraId="1C571624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23/05/2021 a 02/02/2022</w:t>
      </w:r>
      <w:r>
        <w:t xml:space="preserve"> – </w:t>
      </w:r>
      <w:r>
        <w:rPr>
          <w:rStyle w:val="Forte"/>
        </w:rPr>
        <w:t>Aditamento de 345 dias</w:t>
      </w:r>
      <w:r>
        <w:t xml:space="preserve"> (4º ao 7º Termos Aditivos), sem aditivo de valor, por chuvas intensas, pandemia e decretos restritivos (</w:t>
      </w:r>
      <w:r>
        <w:rPr>
          <w:rStyle w:val="Forte"/>
        </w:rPr>
        <w:t>docs. 18 a 21</w:t>
      </w:r>
      <w:r>
        <w:t>).</w:t>
      </w:r>
    </w:p>
    <w:p w14:paraId="53F93161" w14:textId="77777777" w:rsidR="00D01D46" w:rsidRDefault="00D01D46" w:rsidP="00D01D46">
      <w:pPr>
        <w:pStyle w:val="NormalWeb"/>
        <w:numPr>
          <w:ilvl w:val="0"/>
          <w:numId w:val="15"/>
        </w:numPr>
        <w:spacing w:line="360" w:lineRule="auto"/>
        <w:jc w:val="both"/>
      </w:pPr>
      <w:r>
        <w:rPr>
          <w:rStyle w:val="Forte"/>
        </w:rPr>
        <w:t>Laudo técnico</w:t>
      </w:r>
      <w:r>
        <w:t xml:space="preserve"> particular apura </w:t>
      </w:r>
      <w:r>
        <w:rPr>
          <w:rStyle w:val="Forte"/>
        </w:rPr>
        <w:t>R$ 685.037,35</w:t>
      </w:r>
      <w:r>
        <w:t>, sem multa e sem correção (</w:t>
      </w:r>
      <w:r>
        <w:rPr>
          <w:rStyle w:val="Forte"/>
        </w:rPr>
        <w:t>doc. 22</w:t>
      </w:r>
      <w:r>
        <w:t>).</w:t>
      </w:r>
    </w:p>
    <w:p w14:paraId="19E828F6" w14:textId="77777777" w:rsidR="00D01D46" w:rsidRPr="00FC6ED0" w:rsidRDefault="00D01D46" w:rsidP="00D01D46">
      <w:pPr>
        <w:spacing w:before="100" w:beforeAutospacing="1" w:after="100" w:afterAutospacing="1" w:line="360" w:lineRule="auto"/>
        <w:jc w:val="both"/>
        <w:outlineLvl w:val="1"/>
        <w:rPr>
          <w:b/>
          <w:bCs/>
          <w:sz w:val="36"/>
          <w:szCs w:val="36"/>
        </w:rPr>
      </w:pPr>
    </w:p>
    <w:p w14:paraId="7A782D38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A </w:t>
      </w:r>
      <w:r>
        <w:rPr>
          <w:rStyle w:val="Forte"/>
        </w:rPr>
        <w:t>SEDUC/AM</w:t>
      </w:r>
      <w:r>
        <w:t xml:space="preserve">, por meio do </w:t>
      </w:r>
      <w:r>
        <w:rPr>
          <w:rStyle w:val="Forte"/>
        </w:rPr>
        <w:t>PADEAM</w:t>
      </w:r>
      <w:r>
        <w:t xml:space="preserve">, promoveu a </w:t>
      </w:r>
      <w:r>
        <w:rPr>
          <w:rStyle w:val="Forte"/>
        </w:rPr>
        <w:t>Licitação Pública Nacional nº 04/2016–UG PADEAM/SEDUC</w:t>
      </w:r>
      <w:r>
        <w:t xml:space="preserve"> para a construção do </w:t>
      </w:r>
      <w:r>
        <w:rPr>
          <w:rStyle w:val="Forte"/>
        </w:rPr>
        <w:t>CETI</w:t>
      </w:r>
      <w:r>
        <w:t xml:space="preserve"> em Codajás/AM (doc. 01). Do certame resultou o </w:t>
      </w:r>
      <w:r>
        <w:rPr>
          <w:rStyle w:val="Forte"/>
        </w:rPr>
        <w:t>Contrato nº 008/2017–SEDUC</w:t>
      </w:r>
      <w:r>
        <w:t xml:space="preserve">, firmado com </w:t>
      </w:r>
      <w:r>
        <w:rPr>
          <w:rStyle w:val="Forte"/>
        </w:rPr>
        <w:t>Império Construções e Serviços Ltda.</w:t>
      </w:r>
      <w:r>
        <w:t xml:space="preserve"> (doc. 02).</w:t>
      </w:r>
    </w:p>
    <w:p w14:paraId="6F6BC4F6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razão de dificuldades de execução pela então </w:t>
      </w:r>
      <w:proofErr w:type="spellStart"/>
      <w:r>
        <w:rPr>
          <w:rStyle w:val="Forte"/>
        </w:rPr>
        <w:t>Concreterra</w:t>
      </w:r>
      <w:proofErr w:type="spellEnd"/>
      <w:r>
        <w:rPr>
          <w:rStyle w:val="Forte"/>
        </w:rPr>
        <w:t xml:space="preserve"> Construção e Terraplanagem Ltda.</w:t>
      </w:r>
      <w:r>
        <w:t xml:space="preserve">, foi celebrado o </w:t>
      </w:r>
      <w:r>
        <w:rPr>
          <w:rStyle w:val="Forte"/>
        </w:rPr>
        <w:t>Termo de Cessão Parcial nº 001/2019–SEDUC</w:t>
      </w:r>
      <w:r>
        <w:t xml:space="preserve">, pelo qual a </w:t>
      </w:r>
      <w:r>
        <w:rPr>
          <w:rStyle w:val="Forte"/>
        </w:rPr>
        <w:t>Construtora Alcance Ltda.</w:t>
      </w:r>
      <w:r>
        <w:t xml:space="preserve"> (autora) assumiu </w:t>
      </w:r>
      <w:r>
        <w:rPr>
          <w:rStyle w:val="Forte"/>
        </w:rPr>
        <w:t>todos os direitos e obrigações contratuais</w:t>
      </w:r>
      <w:r>
        <w:t xml:space="preserve">. A cessão foi </w:t>
      </w:r>
      <w:r>
        <w:rPr>
          <w:rStyle w:val="Forte"/>
        </w:rPr>
        <w:t>publicada no DOE em 29/10/2019</w:t>
      </w:r>
      <w:r>
        <w:t xml:space="preserve"> (doc. 03).</w:t>
      </w:r>
    </w:p>
    <w:p w14:paraId="147008BB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Durante a vigência, em </w:t>
      </w:r>
      <w:r>
        <w:rPr>
          <w:rStyle w:val="Forte"/>
        </w:rPr>
        <w:t>18/05/2022</w:t>
      </w:r>
      <w:r>
        <w:t xml:space="preserve">, a autora protocolou </w:t>
      </w:r>
      <w:r>
        <w:rPr>
          <w:rStyle w:val="Forte"/>
        </w:rPr>
        <w:t>pedido de pagamento</w:t>
      </w:r>
      <w:r>
        <w:t xml:space="preserve"> relativo à </w:t>
      </w:r>
      <w:r>
        <w:rPr>
          <w:rStyle w:val="Forte"/>
        </w:rPr>
        <w:t>Administração Local da Obra</w:t>
      </w:r>
      <w:r>
        <w:t xml:space="preserve">, com </w:t>
      </w:r>
      <w:r>
        <w:rPr>
          <w:rStyle w:val="Forte"/>
        </w:rPr>
        <w:t>atualização monetária</w:t>
      </w:r>
      <w:r>
        <w:t xml:space="preserve"> e </w:t>
      </w:r>
      <w:r>
        <w:rPr>
          <w:rStyle w:val="Forte"/>
        </w:rPr>
        <w:t>multa por descumprimento contratual</w:t>
      </w:r>
      <w:r>
        <w:t xml:space="preserve">, </w:t>
      </w:r>
      <w:r>
        <w:rPr>
          <w:rStyle w:val="Forte"/>
        </w:rPr>
        <w:t>protocolado em 19/05/2022</w:t>
      </w:r>
      <w:r>
        <w:t xml:space="preserve"> (doc. 04; fls. 45).</w:t>
      </w:r>
    </w:p>
    <w:p w14:paraId="290BAF0C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</w:t>
      </w:r>
      <w:r>
        <w:rPr>
          <w:rStyle w:val="Forte"/>
        </w:rPr>
        <w:t>03/11/</w:t>
      </w:r>
      <w:proofErr w:type="gramStart"/>
      <w:r>
        <w:rPr>
          <w:rStyle w:val="Forte"/>
        </w:rPr>
        <w:t>2022</w:t>
      </w:r>
      <w:r>
        <w:t>,,</w:t>
      </w:r>
      <w:proofErr w:type="gramEnd"/>
      <w:r>
        <w:t xml:space="preserve"> a SEDUC/AM </w:t>
      </w:r>
      <w:r>
        <w:rPr>
          <w:rStyle w:val="Forte"/>
        </w:rPr>
        <w:t>remeteu os autos</w:t>
      </w:r>
      <w:r>
        <w:t xml:space="preserve"> à </w:t>
      </w:r>
      <w:r>
        <w:rPr>
          <w:rStyle w:val="Forte"/>
        </w:rPr>
        <w:t>Assessoria Jurídica do PADEAM</w:t>
      </w:r>
      <w:r>
        <w:t xml:space="preserve"> para parecer (doc. 05; fls. 19.182). </w:t>
      </w:r>
      <w:r>
        <w:rPr>
          <w:rStyle w:val="Forte"/>
        </w:rPr>
        <w:t>Nenhuma manifestação</w:t>
      </w:r>
      <w:r>
        <w:t xml:space="preserve"> foi exarada, configurando </w:t>
      </w:r>
      <w:r>
        <w:rPr>
          <w:rStyle w:val="Forte"/>
        </w:rPr>
        <w:t>mora</w:t>
      </w:r>
      <w:r>
        <w:t>.</w:t>
      </w:r>
    </w:p>
    <w:p w14:paraId="40473348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lastRenderedPageBreak/>
        <w:t xml:space="preserve">Ante a inércia, em </w:t>
      </w:r>
      <w:r>
        <w:rPr>
          <w:rStyle w:val="Forte"/>
        </w:rPr>
        <w:t>08/03/2024</w:t>
      </w:r>
      <w:r>
        <w:t xml:space="preserve">, a autora </w:t>
      </w:r>
      <w:r>
        <w:rPr>
          <w:rStyle w:val="Forte"/>
        </w:rPr>
        <w:t>renovou o requerimento</w:t>
      </w:r>
      <w:r>
        <w:t xml:space="preserve"> de pagamento referente à Administração Local da Obra do </w:t>
      </w:r>
      <w:r>
        <w:rPr>
          <w:rStyle w:val="Forte"/>
        </w:rPr>
        <w:t>Termo de Cessão nº 001/2019–SEDUC</w:t>
      </w:r>
      <w:r>
        <w:t xml:space="preserve">, reiterando que o </w:t>
      </w:r>
      <w:r>
        <w:rPr>
          <w:rStyle w:val="Forte"/>
        </w:rPr>
        <w:t>primeiro pedido</w:t>
      </w:r>
      <w:r>
        <w:t xml:space="preserve"> fora </w:t>
      </w:r>
      <w:r>
        <w:rPr>
          <w:rStyle w:val="Forte"/>
        </w:rPr>
        <w:t>tempestivo</w:t>
      </w:r>
      <w:r>
        <w:t xml:space="preserve"> (doc. 06; fls. 01), no </w:t>
      </w:r>
      <w:r>
        <w:rPr>
          <w:rStyle w:val="Forte"/>
        </w:rPr>
        <w:t>SIGED nº 01.01.028101.015553/2022-14</w:t>
      </w:r>
      <w:r>
        <w:t>.</w:t>
      </w:r>
    </w:p>
    <w:p w14:paraId="0687156B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</w:t>
      </w:r>
      <w:r>
        <w:rPr>
          <w:rStyle w:val="Forte"/>
        </w:rPr>
        <w:t>02/04/2024</w:t>
      </w:r>
      <w:r>
        <w:t xml:space="preserve">, a </w:t>
      </w:r>
      <w:r>
        <w:rPr>
          <w:rStyle w:val="Forte"/>
        </w:rPr>
        <w:t>Coordenadora-Geral da UGP-PADEAM</w:t>
      </w:r>
      <w:r>
        <w:t xml:space="preserve">, determinou a </w:t>
      </w:r>
      <w:r>
        <w:rPr>
          <w:rStyle w:val="Forte"/>
        </w:rPr>
        <w:t>juntada dos autos de origem</w:t>
      </w:r>
      <w:r>
        <w:t xml:space="preserve"> (doc. 07; fls. 19.183). Em </w:t>
      </w:r>
      <w:r>
        <w:rPr>
          <w:rStyle w:val="Forte"/>
        </w:rPr>
        <w:t>05/04/2024</w:t>
      </w:r>
      <w:r>
        <w:t xml:space="preserve">, a </w:t>
      </w:r>
      <w:r>
        <w:rPr>
          <w:rStyle w:val="Forte"/>
        </w:rPr>
        <w:t>ASSJUR/SEDUC</w:t>
      </w:r>
      <w:r>
        <w:t xml:space="preserve"> solicitou ao </w:t>
      </w:r>
      <w:r>
        <w:rPr>
          <w:rStyle w:val="Forte"/>
        </w:rPr>
        <w:t>NGCC</w:t>
      </w:r>
      <w:r>
        <w:t xml:space="preserve"> documentos complementares (doc. 08; fls. 19.184). Em </w:t>
      </w:r>
      <w:r>
        <w:rPr>
          <w:rStyle w:val="Forte"/>
        </w:rPr>
        <w:t>22/04/2024</w:t>
      </w:r>
      <w:r>
        <w:t xml:space="preserve">, após trâmite interno, os autos retornaram à </w:t>
      </w:r>
      <w:r>
        <w:rPr>
          <w:rStyle w:val="Forte"/>
        </w:rPr>
        <w:t>ASSJUR/SEDUC</w:t>
      </w:r>
      <w:r>
        <w:t xml:space="preserve"> (doc. 09; fls. 19.223).</w:t>
      </w:r>
    </w:p>
    <w:p w14:paraId="074D6F8F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</w:t>
      </w:r>
      <w:r>
        <w:rPr>
          <w:rStyle w:val="Forte"/>
        </w:rPr>
        <w:t>23/04/2024</w:t>
      </w:r>
      <w:r>
        <w:t xml:space="preserve">, a </w:t>
      </w:r>
      <w:r>
        <w:rPr>
          <w:rStyle w:val="Forte"/>
        </w:rPr>
        <w:t>ASSJUR/SEDUC</w:t>
      </w:r>
      <w:r>
        <w:t xml:space="preserve"> consignou que, à luz do </w:t>
      </w:r>
      <w:r>
        <w:rPr>
          <w:rStyle w:val="Forte"/>
        </w:rPr>
        <w:t>Termo de Cessão Parcial nº 001/2019–SEDUC</w:t>
      </w:r>
      <w:r>
        <w:t xml:space="preserve">, a </w:t>
      </w:r>
      <w:r>
        <w:rPr>
          <w:rStyle w:val="Forte"/>
        </w:rPr>
        <w:t>fiscalização da execução</w:t>
      </w:r>
      <w:r>
        <w:t xml:space="preserve"> e os </w:t>
      </w:r>
      <w:r>
        <w:rPr>
          <w:rStyle w:val="Forte"/>
        </w:rPr>
        <w:t>atos de gestão</w:t>
      </w:r>
      <w:r>
        <w:t xml:space="preserve"> competiam à </w:t>
      </w:r>
      <w:r>
        <w:rPr>
          <w:rStyle w:val="Forte"/>
        </w:rPr>
        <w:t>UGP-PADEAM</w:t>
      </w:r>
      <w:r>
        <w:t xml:space="preserve">; também registrou o </w:t>
      </w:r>
      <w:r>
        <w:rPr>
          <w:rStyle w:val="Forte"/>
        </w:rPr>
        <w:t>encaminhamento de 03/11/2022</w:t>
      </w:r>
      <w:r>
        <w:t xml:space="preserve"> para parecer da </w:t>
      </w:r>
      <w:r>
        <w:rPr>
          <w:rStyle w:val="Forte"/>
        </w:rPr>
        <w:t>ASSJUR/PADEAM</w:t>
      </w:r>
      <w:r>
        <w:t xml:space="preserve">, </w:t>
      </w:r>
      <w:r>
        <w:rPr>
          <w:rStyle w:val="Forte"/>
        </w:rPr>
        <w:t>confirmando a mora</w:t>
      </w:r>
      <w:r>
        <w:t xml:space="preserve"> superior a dois anos (doc. 10).</w:t>
      </w:r>
    </w:p>
    <w:p w14:paraId="40BD7194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</w:t>
      </w:r>
      <w:r>
        <w:rPr>
          <w:rStyle w:val="Forte"/>
        </w:rPr>
        <w:t>28/05/2024</w:t>
      </w:r>
      <w:r>
        <w:t xml:space="preserve">, a </w:t>
      </w:r>
      <w:r>
        <w:rPr>
          <w:rStyle w:val="Forte"/>
        </w:rPr>
        <w:t>ASSJUR/UGP-PADEAM</w:t>
      </w:r>
      <w:r>
        <w:t xml:space="preserve"> emitiu o </w:t>
      </w:r>
      <w:r>
        <w:rPr>
          <w:rStyle w:val="Forte"/>
        </w:rPr>
        <w:t>Parecer nº 003/2024–ASSJUR/UGP-PADEAM</w:t>
      </w:r>
      <w:r>
        <w:t xml:space="preserve">, sustentando a </w:t>
      </w:r>
      <w:r>
        <w:rPr>
          <w:rStyle w:val="Forte"/>
        </w:rPr>
        <w:t>ausência de responsabilidade</w:t>
      </w:r>
      <w:r>
        <w:t xml:space="preserve"> da unidade orçamentária então atual, por inexistir à época do termo e por os pagamentos com recursos do </w:t>
      </w:r>
      <w:r>
        <w:rPr>
          <w:rStyle w:val="Forte"/>
        </w:rPr>
        <w:t>BID</w:t>
      </w:r>
      <w:r>
        <w:t xml:space="preserve"> serem operacionalizados pela </w:t>
      </w:r>
      <w:r>
        <w:rPr>
          <w:rStyle w:val="Forte"/>
        </w:rPr>
        <w:t>SEDUC</w:t>
      </w:r>
      <w:r>
        <w:t xml:space="preserve"> (doc. 11; fls. 19.226). Em </w:t>
      </w:r>
      <w:r>
        <w:rPr>
          <w:rStyle w:val="Forte"/>
        </w:rPr>
        <w:t>29/05/2024</w:t>
      </w:r>
      <w:r>
        <w:t xml:space="preserve">, o </w:t>
      </w:r>
      <w:r>
        <w:rPr>
          <w:rStyle w:val="Forte"/>
        </w:rPr>
        <w:t>Ofício nº 052/2024/Gabinete–UGP-PADEAM</w:t>
      </w:r>
      <w:r>
        <w:t xml:space="preserve"> remeteu o parecer à SEDUC (doc. 12; fls. 19.231).</w:t>
      </w:r>
    </w:p>
    <w:p w14:paraId="3EBB102F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</w:t>
      </w:r>
      <w:r>
        <w:rPr>
          <w:rStyle w:val="Forte"/>
        </w:rPr>
        <w:t>07/06/2024</w:t>
      </w:r>
      <w:r>
        <w:t xml:space="preserve">, a </w:t>
      </w:r>
      <w:r>
        <w:rPr>
          <w:rStyle w:val="Forte"/>
        </w:rPr>
        <w:t>ASSJUR/SEDUC</w:t>
      </w:r>
      <w:r>
        <w:t xml:space="preserve"> encaminhou ao </w:t>
      </w:r>
      <w:r>
        <w:rPr>
          <w:rStyle w:val="Forte"/>
        </w:rPr>
        <w:t>DEFIN/SEDUC</w:t>
      </w:r>
      <w:r>
        <w:t xml:space="preserve"> para ciência e manifestação (doc. 13). Em </w:t>
      </w:r>
      <w:r>
        <w:rPr>
          <w:rStyle w:val="Forte"/>
        </w:rPr>
        <w:t>02/07/2024</w:t>
      </w:r>
      <w:r>
        <w:t xml:space="preserve">, o </w:t>
      </w:r>
      <w:r>
        <w:rPr>
          <w:rStyle w:val="Forte"/>
        </w:rPr>
        <w:t>DEFIN/SEDUC</w:t>
      </w:r>
      <w:r>
        <w:t xml:space="preserve"> informou que, a partir de </w:t>
      </w:r>
      <w:r>
        <w:rPr>
          <w:rStyle w:val="Forte"/>
        </w:rPr>
        <w:t>2020</w:t>
      </w:r>
      <w:r>
        <w:t xml:space="preserve">, as </w:t>
      </w:r>
      <w:r>
        <w:rPr>
          <w:rStyle w:val="Forte"/>
        </w:rPr>
        <w:t>notas de empenho</w:t>
      </w:r>
      <w:r>
        <w:t xml:space="preserve"> da </w:t>
      </w:r>
      <w:r>
        <w:rPr>
          <w:rStyle w:val="Forte"/>
        </w:rPr>
        <w:t>fonte 04757128 – Operações de Crédito Externas (PADEAM/BID)</w:t>
      </w:r>
      <w:r>
        <w:t xml:space="preserve"> foram </w:t>
      </w:r>
      <w:r>
        <w:rPr>
          <w:rStyle w:val="Forte"/>
        </w:rPr>
        <w:t>executadas pela equipe do PADEAM</w:t>
      </w:r>
      <w:r>
        <w:t xml:space="preserve">, cabendo ao </w:t>
      </w:r>
      <w:r>
        <w:rPr>
          <w:rStyle w:val="Forte"/>
        </w:rPr>
        <w:t>DEFIN/SEDUC</w:t>
      </w:r>
      <w:r>
        <w:t xml:space="preserve"> o empenhamento </w:t>
      </w:r>
      <w:r>
        <w:rPr>
          <w:rStyle w:val="Forte"/>
        </w:rPr>
        <w:t>até 2019</w:t>
      </w:r>
      <w:r>
        <w:t xml:space="preserve"> (doc. 14).</w:t>
      </w:r>
    </w:p>
    <w:p w14:paraId="2968B79D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Em </w:t>
      </w:r>
      <w:r>
        <w:rPr>
          <w:rStyle w:val="Forte"/>
        </w:rPr>
        <w:t>15/08/2024</w:t>
      </w:r>
      <w:r>
        <w:t xml:space="preserve">, a </w:t>
      </w:r>
      <w:r>
        <w:rPr>
          <w:rStyle w:val="Forte"/>
        </w:rPr>
        <w:t>ASSJUR/SEDUC</w:t>
      </w:r>
      <w:r>
        <w:t xml:space="preserve"> emitiu o </w:t>
      </w:r>
      <w:r>
        <w:rPr>
          <w:rStyle w:val="Forte"/>
        </w:rPr>
        <w:t>Parecer nº 3543/2024–ASSJUR/SEDUC</w:t>
      </w:r>
      <w:r>
        <w:t xml:space="preserve">, sugerindo a submissão do feito à </w:t>
      </w:r>
      <w:r>
        <w:rPr>
          <w:rStyle w:val="Forte"/>
        </w:rPr>
        <w:t>PGE/AM</w:t>
      </w:r>
      <w:r>
        <w:t xml:space="preserve"> (doc. 15). Em </w:t>
      </w:r>
      <w:r>
        <w:rPr>
          <w:rStyle w:val="Forte"/>
        </w:rPr>
        <w:t>16/12/2024</w:t>
      </w:r>
      <w:r>
        <w:t xml:space="preserve">, a </w:t>
      </w:r>
      <w:r>
        <w:rPr>
          <w:rStyle w:val="Forte"/>
        </w:rPr>
        <w:t>Procuradora do Estado</w:t>
      </w:r>
      <w:r>
        <w:t xml:space="preserve"> </w:t>
      </w:r>
      <w:r>
        <w:rPr>
          <w:rStyle w:val="Forte"/>
        </w:rPr>
        <w:t xml:space="preserve">Natasha </w:t>
      </w:r>
      <w:proofErr w:type="spellStart"/>
      <w:r>
        <w:rPr>
          <w:rStyle w:val="Forte"/>
        </w:rPr>
        <w:t>Yukie</w:t>
      </w:r>
      <w:proofErr w:type="spellEnd"/>
      <w:r>
        <w:rPr>
          <w:rStyle w:val="Forte"/>
        </w:rPr>
        <w:t xml:space="preserve"> Hara de Oliveira Vasquez</w:t>
      </w:r>
      <w:r>
        <w:t xml:space="preserve"> determinou o </w:t>
      </w:r>
      <w:r>
        <w:rPr>
          <w:rStyle w:val="Forte"/>
        </w:rPr>
        <w:t>retorno dos autos à SEDUC/AM</w:t>
      </w:r>
      <w:r>
        <w:t xml:space="preserve"> para </w:t>
      </w:r>
      <w:r>
        <w:rPr>
          <w:rStyle w:val="Forte"/>
        </w:rPr>
        <w:t>esclarecimentos</w:t>
      </w:r>
      <w:r>
        <w:t xml:space="preserve">, diante de </w:t>
      </w:r>
      <w:r>
        <w:rPr>
          <w:rStyle w:val="Forte"/>
        </w:rPr>
        <w:t>divergências</w:t>
      </w:r>
      <w:r>
        <w:t xml:space="preserve"> entre as assessorias, advertindo que, </w:t>
      </w:r>
      <w:r>
        <w:rPr>
          <w:rStyle w:val="Forte"/>
        </w:rPr>
        <w:t>inexistindo pagamento</w:t>
      </w:r>
      <w:r>
        <w:t xml:space="preserve">, a Administração </w:t>
      </w:r>
      <w:r>
        <w:rPr>
          <w:rStyle w:val="Forte"/>
        </w:rPr>
        <w:t>não poderia se furtar ao reconhecimento da dívida</w:t>
      </w:r>
      <w:r>
        <w:t xml:space="preserve">, pois a fiscalização </w:t>
      </w:r>
      <w:r>
        <w:rPr>
          <w:rStyle w:val="Forte"/>
        </w:rPr>
        <w:t>admitiu a prorrogação do contrato</w:t>
      </w:r>
      <w:r>
        <w:t xml:space="preserve">, </w:t>
      </w:r>
      <w:r>
        <w:rPr>
          <w:rStyle w:val="Forte"/>
        </w:rPr>
        <w:t>incluído o Grupo de Serviços de Administração da Obra</w:t>
      </w:r>
      <w:r>
        <w:t xml:space="preserve"> (doc. 16; fls. 19.254).</w:t>
      </w:r>
    </w:p>
    <w:p w14:paraId="3158C206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lastRenderedPageBreak/>
        <w:t xml:space="preserve">Não obstante, em </w:t>
      </w:r>
      <w:r>
        <w:rPr>
          <w:rStyle w:val="Forte"/>
        </w:rPr>
        <w:t>23/01/2025</w:t>
      </w:r>
      <w:r>
        <w:t xml:space="preserve">, a </w:t>
      </w:r>
      <w:r>
        <w:rPr>
          <w:rStyle w:val="Forte"/>
        </w:rPr>
        <w:t>ASSJUR/SEDUC</w:t>
      </w:r>
      <w:r>
        <w:t xml:space="preserve"> opinou pela </w:t>
      </w:r>
      <w:r>
        <w:rPr>
          <w:rStyle w:val="Forte"/>
        </w:rPr>
        <w:t>impossibilidade jurídica</w:t>
      </w:r>
      <w:r>
        <w:t xml:space="preserve"> de acolher o pleito </w:t>
      </w:r>
      <w:r>
        <w:rPr>
          <w:rStyle w:val="Forte"/>
        </w:rPr>
        <w:t>apenas</w:t>
      </w:r>
      <w:r>
        <w:t xml:space="preserve"> com base em </w:t>
      </w:r>
      <w:r>
        <w:rPr>
          <w:rStyle w:val="Forte"/>
        </w:rPr>
        <w:t>informação</w:t>
      </w:r>
      <w:r>
        <w:t xml:space="preserve"> do </w:t>
      </w:r>
      <w:r>
        <w:rPr>
          <w:rStyle w:val="Forte"/>
        </w:rPr>
        <w:t>Coordenador Executivo da UGP-PADEAM</w:t>
      </w:r>
      <w:r>
        <w:t xml:space="preserve"> de que teria havido </w:t>
      </w:r>
      <w:r>
        <w:rPr>
          <w:rStyle w:val="Forte"/>
        </w:rPr>
        <w:t>pagamento integral</w:t>
      </w:r>
      <w:r>
        <w:t xml:space="preserve"> do </w:t>
      </w:r>
      <w:r>
        <w:rPr>
          <w:rStyle w:val="Forte"/>
        </w:rPr>
        <w:t>Termo de Cessão Parcial nº 001/2019–SEDUC</w:t>
      </w:r>
      <w:r>
        <w:t xml:space="preserve">, </w:t>
      </w:r>
      <w:r>
        <w:rPr>
          <w:rStyle w:val="Forte"/>
        </w:rPr>
        <w:t>sem lastro documental</w:t>
      </w:r>
      <w:r>
        <w:rPr>
          <w:rStyle w:val="Forte"/>
          <w:rFonts w:eastAsiaTheme="majorEastAsia"/>
        </w:rPr>
        <w:t xml:space="preserve"> e sem análise técnica do </w:t>
      </w:r>
      <w:proofErr w:type="gramStart"/>
      <w:r>
        <w:rPr>
          <w:rStyle w:val="Forte"/>
          <w:rFonts w:eastAsiaTheme="majorEastAsia"/>
        </w:rPr>
        <w:t>pedido</w:t>
      </w:r>
      <w:r>
        <w:t>.(</w:t>
      </w:r>
      <w:proofErr w:type="gramEnd"/>
      <w:r>
        <w:t>doc. 17).</w:t>
      </w:r>
    </w:p>
    <w:p w14:paraId="35183EAA" w14:textId="77777777" w:rsidR="00D01D46" w:rsidRDefault="00D01D46" w:rsidP="00D01D46">
      <w:pPr>
        <w:pStyle w:val="NormalWeb"/>
        <w:numPr>
          <w:ilvl w:val="0"/>
          <w:numId w:val="16"/>
        </w:numPr>
        <w:spacing w:line="360" w:lineRule="auto"/>
        <w:jc w:val="both"/>
      </w:pPr>
      <w:r>
        <w:t xml:space="preserve">Registre-se que, entre </w:t>
      </w:r>
      <w:r>
        <w:rPr>
          <w:rStyle w:val="Forte"/>
        </w:rPr>
        <w:t>23/05/2021 e 02/02/2022</w:t>
      </w:r>
      <w:r>
        <w:t xml:space="preserve">, houve </w:t>
      </w:r>
      <w:r>
        <w:rPr>
          <w:rStyle w:val="Forte"/>
        </w:rPr>
        <w:t>aditamento de 345 dias</w:t>
      </w:r>
      <w:r>
        <w:t xml:space="preserve">, por eventos supervenientes e de força maior, sem </w:t>
      </w:r>
      <w:r>
        <w:rPr>
          <w:rStyle w:val="Forte"/>
        </w:rPr>
        <w:t>aditivo de valor</w:t>
      </w:r>
      <w:r>
        <w:t xml:space="preserve"> para a </w:t>
      </w:r>
      <w:r>
        <w:rPr>
          <w:rStyle w:val="Forte"/>
        </w:rPr>
        <w:t>Administração Local da Obra</w:t>
      </w:r>
      <w:r>
        <w:t>:</w:t>
      </w:r>
    </w:p>
    <w:p w14:paraId="7E28DB77" w14:textId="77777777" w:rsidR="00D01D46" w:rsidRDefault="00D01D46" w:rsidP="00D01D46">
      <w:pPr>
        <w:pStyle w:val="NormalWeb"/>
        <w:numPr>
          <w:ilvl w:val="0"/>
          <w:numId w:val="17"/>
        </w:numPr>
        <w:spacing w:line="360" w:lineRule="auto"/>
        <w:jc w:val="both"/>
      </w:pPr>
      <w:r>
        <w:rPr>
          <w:rStyle w:val="Forte"/>
        </w:rPr>
        <w:t>4º Termo Aditivo</w:t>
      </w:r>
      <w:r>
        <w:t xml:space="preserve"> – </w:t>
      </w:r>
      <w:r>
        <w:rPr>
          <w:rStyle w:val="Forte"/>
        </w:rPr>
        <w:t>alto índice pluviométrico</w:t>
      </w:r>
      <w:r>
        <w:t xml:space="preserve"> e </w:t>
      </w:r>
      <w:r>
        <w:rPr>
          <w:rStyle w:val="Forte"/>
        </w:rPr>
        <w:t>segunda onda da pandemia de COVID-19</w:t>
      </w:r>
      <w:r>
        <w:t>;</w:t>
      </w:r>
    </w:p>
    <w:p w14:paraId="00787106" w14:textId="77777777" w:rsidR="00D01D46" w:rsidRDefault="00D01D46" w:rsidP="00D01D46">
      <w:pPr>
        <w:pStyle w:val="NormalWeb"/>
        <w:numPr>
          <w:ilvl w:val="0"/>
          <w:numId w:val="17"/>
        </w:numPr>
        <w:spacing w:line="360" w:lineRule="auto"/>
        <w:jc w:val="both"/>
      </w:pPr>
      <w:r>
        <w:rPr>
          <w:rStyle w:val="Forte"/>
        </w:rPr>
        <w:t>5º Termo Aditivo</w:t>
      </w:r>
      <w:r>
        <w:t xml:space="preserve"> – </w:t>
      </w:r>
      <w:r>
        <w:rPr>
          <w:rStyle w:val="Forte"/>
        </w:rPr>
        <w:t>segunda onda da pandemia</w:t>
      </w:r>
      <w:r>
        <w:t xml:space="preserve"> e </w:t>
      </w:r>
      <w:r>
        <w:rPr>
          <w:rStyle w:val="Forte"/>
        </w:rPr>
        <w:t>Decretos Estaduais nº 43.303/2021 e nº 43.412/2021</w:t>
      </w:r>
      <w:r>
        <w:t xml:space="preserve">, que </w:t>
      </w:r>
      <w:r>
        <w:rPr>
          <w:rStyle w:val="Forte"/>
        </w:rPr>
        <w:t>restringiram a circulação de pessoas e de embarcações</w:t>
      </w:r>
      <w:r>
        <w:t>;</w:t>
      </w:r>
    </w:p>
    <w:p w14:paraId="2794B259" w14:textId="77777777" w:rsidR="00D01D46" w:rsidRDefault="00D01D46" w:rsidP="00D01D46">
      <w:pPr>
        <w:pStyle w:val="NormalWeb"/>
        <w:numPr>
          <w:ilvl w:val="0"/>
          <w:numId w:val="17"/>
        </w:numPr>
        <w:spacing w:line="360" w:lineRule="auto"/>
        <w:jc w:val="both"/>
      </w:pPr>
      <w:r>
        <w:rPr>
          <w:rStyle w:val="Forte"/>
        </w:rPr>
        <w:t>6º Termo Aditivo</w:t>
      </w:r>
      <w:r>
        <w:t xml:space="preserve"> – </w:t>
      </w:r>
      <w:r>
        <w:rPr>
          <w:rStyle w:val="Forte"/>
        </w:rPr>
        <w:t>segunda onda da pandemia</w:t>
      </w:r>
      <w:r>
        <w:t xml:space="preserve">, os </w:t>
      </w:r>
      <w:r>
        <w:rPr>
          <w:rStyle w:val="Forte"/>
        </w:rPr>
        <w:t>Decretos nº 43.303/2021, nº 43.412/2021, nº 43.596/2021</w:t>
      </w:r>
      <w:r>
        <w:t xml:space="preserve"> e </w:t>
      </w:r>
      <w:r>
        <w:rPr>
          <w:rStyle w:val="Forte"/>
        </w:rPr>
        <w:t>atos municipais de Codajás</w:t>
      </w:r>
      <w:r>
        <w:t xml:space="preserve"> de restrição;</w:t>
      </w:r>
    </w:p>
    <w:p w14:paraId="0E8AB888" w14:textId="77777777" w:rsidR="00D01D46" w:rsidRDefault="00D01D46" w:rsidP="00D01D46">
      <w:pPr>
        <w:pStyle w:val="NormalWeb"/>
        <w:numPr>
          <w:ilvl w:val="0"/>
          <w:numId w:val="17"/>
        </w:numPr>
        <w:spacing w:line="360" w:lineRule="auto"/>
        <w:jc w:val="both"/>
      </w:pPr>
      <w:r>
        <w:rPr>
          <w:rStyle w:val="Forte"/>
        </w:rPr>
        <w:t>7º Termo Aditivo</w:t>
      </w:r>
      <w:r>
        <w:t xml:space="preserve"> – </w:t>
      </w:r>
      <w:r>
        <w:rPr>
          <w:rStyle w:val="Forte"/>
        </w:rPr>
        <w:t>alto índice pluviométrico</w:t>
      </w:r>
      <w:r>
        <w:t xml:space="preserve"> que impactou os </w:t>
      </w:r>
      <w:r>
        <w:rPr>
          <w:rStyle w:val="Forte"/>
        </w:rPr>
        <w:t>serviços de drenagem</w:t>
      </w:r>
      <w:r>
        <w:t xml:space="preserve">, além da </w:t>
      </w:r>
      <w:r>
        <w:rPr>
          <w:rStyle w:val="Forte"/>
        </w:rPr>
        <w:t>segunda onda da pandemia</w:t>
      </w:r>
      <w:r>
        <w:t xml:space="preserve"> e dos </w:t>
      </w:r>
      <w:r>
        <w:rPr>
          <w:rStyle w:val="Forte"/>
        </w:rPr>
        <w:t>decretos/atos</w:t>
      </w:r>
      <w:r>
        <w:t xml:space="preserve"> acima (docs. 18 a 21).</w:t>
      </w:r>
    </w:p>
    <w:p w14:paraId="7AD60139" w14:textId="77777777" w:rsidR="00D01D46" w:rsidRDefault="00D01D46" w:rsidP="00D01D46">
      <w:pPr>
        <w:pStyle w:val="NormalWeb"/>
        <w:numPr>
          <w:ilvl w:val="0"/>
          <w:numId w:val="18"/>
        </w:numPr>
        <w:spacing w:line="360" w:lineRule="auto"/>
        <w:jc w:val="both"/>
      </w:pPr>
      <w:r>
        <w:t xml:space="preserve">Diante da </w:t>
      </w:r>
      <w:r>
        <w:rPr>
          <w:rStyle w:val="Forte"/>
        </w:rPr>
        <w:t>mora administrativa</w:t>
      </w:r>
      <w:r>
        <w:t xml:space="preserve"> e da </w:t>
      </w:r>
      <w:r>
        <w:rPr>
          <w:rStyle w:val="Forte"/>
        </w:rPr>
        <w:t>ausência de análise técnica conclusiva</w:t>
      </w:r>
      <w:r>
        <w:t xml:space="preserve">, a autora contratou </w:t>
      </w:r>
      <w:r>
        <w:rPr>
          <w:rStyle w:val="Forte"/>
        </w:rPr>
        <w:t>engenheira civil</w:t>
      </w:r>
      <w:r>
        <w:t xml:space="preserve"> para emissão de </w:t>
      </w:r>
      <w:r>
        <w:rPr>
          <w:rStyle w:val="Forte"/>
        </w:rPr>
        <w:t>laudo técnico</w:t>
      </w:r>
      <w:r>
        <w:t xml:space="preserve"> que </w:t>
      </w:r>
      <w:r>
        <w:rPr>
          <w:rStyle w:val="Forte"/>
        </w:rPr>
        <w:t>detalha</w:t>
      </w:r>
      <w:r>
        <w:t xml:space="preserve"> as parcelas devidas a título de </w:t>
      </w:r>
      <w:r>
        <w:rPr>
          <w:rStyle w:val="Forte"/>
        </w:rPr>
        <w:t>Administração Local da Obra</w:t>
      </w:r>
      <w:r>
        <w:t xml:space="preserve">, apurando o montante de </w:t>
      </w:r>
      <w:r>
        <w:rPr>
          <w:rStyle w:val="Forte"/>
        </w:rPr>
        <w:t>R$ 685.037,35</w:t>
      </w:r>
      <w:r>
        <w:t xml:space="preserve"> (</w:t>
      </w:r>
      <w:r>
        <w:rPr>
          <w:rStyle w:val="Forte"/>
        </w:rPr>
        <w:t>sem multa</w:t>
      </w:r>
      <w:r>
        <w:t xml:space="preserve"> e </w:t>
      </w:r>
      <w:r>
        <w:rPr>
          <w:rStyle w:val="Forte"/>
        </w:rPr>
        <w:t>sem correção monetária</w:t>
      </w:r>
      <w:r>
        <w:t>) (doc. 22).</w:t>
      </w:r>
    </w:p>
    <w:p w14:paraId="7EF9D8A8" w14:textId="77777777" w:rsidR="00D01D46" w:rsidRDefault="00D01D46" w:rsidP="00D01D46">
      <w:pPr>
        <w:pStyle w:val="NormalWeb"/>
        <w:numPr>
          <w:ilvl w:val="0"/>
          <w:numId w:val="18"/>
        </w:numPr>
        <w:spacing w:line="360" w:lineRule="auto"/>
        <w:jc w:val="both"/>
      </w:pPr>
      <w:r>
        <w:t xml:space="preserve">Em síntese, a via administrativa restou </w:t>
      </w:r>
      <w:r>
        <w:rPr>
          <w:rStyle w:val="Forte"/>
        </w:rPr>
        <w:t>exaurida</w:t>
      </w:r>
      <w:r>
        <w:t xml:space="preserve">: os autos </w:t>
      </w:r>
      <w:r>
        <w:rPr>
          <w:rStyle w:val="Forte"/>
        </w:rPr>
        <w:t>percorreram diversos órgãos</w:t>
      </w:r>
      <w:r>
        <w:t xml:space="preserve">, houve </w:t>
      </w:r>
      <w:r>
        <w:rPr>
          <w:rStyle w:val="Forte"/>
        </w:rPr>
        <w:t>pareceres contraditórios</w:t>
      </w:r>
      <w:r>
        <w:t xml:space="preserve"> e, ao final, </w:t>
      </w:r>
      <w:r>
        <w:rPr>
          <w:rStyle w:val="Forte"/>
        </w:rPr>
        <w:t>alegação genérica</w:t>
      </w:r>
      <w:r>
        <w:t xml:space="preserve"> de pagamento integral </w:t>
      </w:r>
      <w:r>
        <w:rPr>
          <w:rStyle w:val="Forte"/>
        </w:rPr>
        <w:t>sem comprovação nos autos</w:t>
      </w:r>
      <w:r>
        <w:t xml:space="preserve"> e </w:t>
      </w:r>
      <w:r>
        <w:rPr>
          <w:rStyle w:val="Forte"/>
        </w:rPr>
        <w:t>sem apreciação técnica</w:t>
      </w:r>
      <w:r>
        <w:t xml:space="preserve"> do pedido. </w:t>
      </w:r>
      <w:r>
        <w:rPr>
          <w:rStyle w:val="Forte"/>
        </w:rPr>
        <w:t>Diante disso</w:t>
      </w:r>
      <w:r>
        <w:t xml:space="preserve">, a autora se vê </w:t>
      </w:r>
      <w:r>
        <w:rPr>
          <w:rStyle w:val="Forte"/>
        </w:rPr>
        <w:t>compelida a buscar a tutela jurisdicional</w:t>
      </w:r>
      <w:r>
        <w:t xml:space="preserve"> para o </w:t>
      </w:r>
      <w:r>
        <w:rPr>
          <w:rStyle w:val="Forte"/>
        </w:rPr>
        <w:t>reconhecimento do crédito</w:t>
      </w:r>
      <w:r>
        <w:t xml:space="preserve"> e a </w:t>
      </w:r>
      <w:r>
        <w:rPr>
          <w:rStyle w:val="Forte"/>
        </w:rPr>
        <w:t>condenação ao pagamento</w:t>
      </w:r>
      <w:r>
        <w:t xml:space="preserve"> das verbas devidas, com os consectários legais.</w:t>
      </w:r>
    </w:p>
    <w:p w14:paraId="23DE0A5C" w14:textId="51F9B1AC" w:rsidR="00D01D46" w:rsidRPr="00D01D46" w:rsidRDefault="00D01D46" w:rsidP="00D01D46">
      <w:pPr>
        <w:tabs>
          <w:tab w:val="left" w:pos="4142"/>
        </w:tabs>
      </w:pPr>
    </w:p>
    <w:sectPr w:rsidR="00D01D46" w:rsidRPr="00D01D46">
      <w:headerReference w:type="default" r:id="rId7"/>
      <w:footerReference w:type="default" r:id="rId8"/>
      <w:pgSz w:w="11910" w:h="16840"/>
      <w:pgMar w:top="3460" w:right="900" w:bottom="1400" w:left="1020" w:header="659" w:footer="121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128A1E" w14:textId="77777777" w:rsidR="0088565D" w:rsidRDefault="0088565D">
      <w:r>
        <w:separator/>
      </w:r>
    </w:p>
  </w:endnote>
  <w:endnote w:type="continuationSeparator" w:id="0">
    <w:p w14:paraId="2FD833D6" w14:textId="77777777" w:rsidR="0088565D" w:rsidRDefault="008856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025E39" w14:textId="77777777" w:rsidR="00832672" w:rsidRDefault="0088565D">
    <w:pPr>
      <w:pStyle w:val="Corpodetexto"/>
      <w:spacing w:line="14" w:lineRule="auto"/>
      <w:rPr>
        <w:sz w:val="20"/>
      </w:rPr>
    </w:pPr>
    <w:r>
      <w:pict w14:anchorId="68A120C0">
        <v:shapetype id="_x0000_t202" coordsize="21600,21600" o:spt="202" path="m,l,21600r21600,l21600,xe">
          <v:stroke joinstyle="miter"/>
          <v:path gradientshapeok="t" o:connecttype="rect"/>
        </v:shapetype>
        <v:shape id="_x0000_s1026" type="#_x0000_t202" alt="" style="position:absolute;margin-left:281.2pt;margin-top:769.9pt;width:78.4pt;height:13.6pt;z-index:-16417280;mso-wrap-style:square;mso-wrap-edited:f;mso-width-percent:0;mso-height-percent:0;mso-position-horizontal-relative:page;mso-position-vertical-relative:page;mso-width-percent:0;mso-height-percent:0;v-text-anchor:top" filled="f" stroked="f">
          <v:textbox inset="0,0,0,0">
            <w:txbxContent>
              <w:p w14:paraId="1F8C4E1B" w14:textId="77777777" w:rsidR="00832672" w:rsidRDefault="00000000">
                <w:pPr>
                  <w:pStyle w:val="Corpodetexto"/>
                  <w:spacing w:line="256" w:lineRule="exact"/>
                  <w:ind w:left="20"/>
                </w:pPr>
                <w:r>
                  <w:t>Página</w:t>
                </w:r>
                <w:r>
                  <w:rPr>
                    <w:spacing w:val="-3"/>
                  </w:rPr>
                  <w:t xml:space="preserve"> </w:t>
                </w:r>
                <w:r>
                  <w:fldChar w:fldCharType="begin"/>
                </w:r>
                <w:r>
                  <w:instrText xml:space="preserve"> PAGE </w:instrText>
                </w:r>
                <w:r>
                  <w:fldChar w:fldCharType="separate"/>
                </w:r>
                <w:r>
                  <w:t>39</w:t>
                </w:r>
                <w:r>
                  <w:fldChar w:fldCharType="end"/>
                </w:r>
                <w:r>
                  <w:rPr>
                    <w:spacing w:val="1"/>
                  </w:rPr>
                  <w:t xml:space="preserve"> </w:t>
                </w:r>
                <w:r>
                  <w:t>de 39</w:t>
                </w:r>
              </w:p>
            </w:txbxContent>
          </v:textbox>
          <w10:wrap anchorx="page" anchory="page"/>
        </v:shape>
      </w:pict>
    </w:r>
    <w:r>
      <w:pict w14:anchorId="238B03AF">
        <v:shape id="_x0000_s1025" type="#_x0000_t202" alt="" style="position:absolute;margin-left:98.2pt;margin-top:797.4pt;width:33.9pt;height:10pt;z-index:-16416768;mso-wrap-style:square;mso-wrap-edited:f;mso-width-percent:0;mso-height-percent:0;mso-position-horizontal-relative:page;mso-position-vertical-relative:page;mso-width-percent:0;mso-height-percent:0;v-text-anchor:top" filled="f" stroked="f">
          <v:textbox inset="0,0,0,0">
            <w:txbxContent>
              <w:p w14:paraId="7ACA71BB" w14:textId="77777777" w:rsidR="00832672" w:rsidRDefault="00000000">
                <w:pPr>
                  <w:spacing w:line="183" w:lineRule="exact"/>
                  <w:ind w:left="20"/>
                  <w:rPr>
                    <w:rFonts w:ascii="Calibri"/>
                    <w:sz w:val="16"/>
                  </w:rPr>
                </w:pPr>
                <w:r>
                  <w:rPr>
                    <w:rFonts w:ascii="Calibri"/>
                    <w:sz w:val="16"/>
                  </w:rPr>
                  <w:t>#15286v1</w:t>
                </w:r>
              </w:p>
            </w:txbxContent>
          </v:textbox>
          <w10:wrap anchorx="page" anchory="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127995" w14:textId="77777777" w:rsidR="0088565D" w:rsidRDefault="0088565D">
      <w:r>
        <w:separator/>
      </w:r>
    </w:p>
  </w:footnote>
  <w:footnote w:type="continuationSeparator" w:id="0">
    <w:p w14:paraId="6A2BFBF7" w14:textId="77777777" w:rsidR="0088565D" w:rsidRDefault="008856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84CDD1" w14:textId="15E52588" w:rsidR="00832672" w:rsidRDefault="00000000">
    <w:pPr>
      <w:pStyle w:val="Corpodetexto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486897664" behindDoc="1" locked="0" layoutInCell="1" allowOverlap="1" wp14:anchorId="087D03E0" wp14:editId="4EAAC2A5">
          <wp:simplePos x="0" y="0"/>
          <wp:positionH relativeFrom="page">
            <wp:posOffset>712848</wp:posOffset>
          </wp:positionH>
          <wp:positionV relativeFrom="page">
            <wp:posOffset>418474</wp:posOffset>
          </wp:positionV>
          <wp:extent cx="6104905" cy="774239"/>
          <wp:effectExtent l="0" t="0" r="0" b="0"/>
          <wp:wrapNone/>
          <wp:docPr id="63" name="image1.jpe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4" name="image1.jpe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6104905" cy="774239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715A2A"/>
    <w:multiLevelType w:val="multilevel"/>
    <w:tmpl w:val="72EA162A"/>
    <w:lvl w:ilvl="0">
      <w:start w:val="1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74A589B"/>
    <w:multiLevelType w:val="hybridMultilevel"/>
    <w:tmpl w:val="13888D68"/>
    <w:lvl w:ilvl="0" w:tplc="6D4C6F62">
      <w:start w:val="1"/>
      <w:numFmt w:val="decimal"/>
      <w:lvlText w:val="%1."/>
      <w:lvlJc w:val="left"/>
      <w:pPr>
        <w:ind w:left="1811" w:hanging="424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1" w:tplc="813E8F98">
      <w:numFmt w:val="bullet"/>
      <w:lvlText w:val="•"/>
      <w:lvlJc w:val="left"/>
      <w:pPr>
        <w:ind w:left="2636" w:hanging="424"/>
      </w:pPr>
      <w:rPr>
        <w:rFonts w:hint="default"/>
        <w:lang w:val="pt-PT" w:eastAsia="en-US" w:bidi="ar-SA"/>
      </w:rPr>
    </w:lvl>
    <w:lvl w:ilvl="2" w:tplc="3CD2C16A">
      <w:numFmt w:val="bullet"/>
      <w:lvlText w:val="•"/>
      <w:lvlJc w:val="left"/>
      <w:pPr>
        <w:ind w:left="3453" w:hanging="424"/>
      </w:pPr>
      <w:rPr>
        <w:rFonts w:hint="default"/>
        <w:lang w:val="pt-PT" w:eastAsia="en-US" w:bidi="ar-SA"/>
      </w:rPr>
    </w:lvl>
    <w:lvl w:ilvl="3" w:tplc="9134E9BE">
      <w:numFmt w:val="bullet"/>
      <w:lvlText w:val="•"/>
      <w:lvlJc w:val="left"/>
      <w:pPr>
        <w:ind w:left="4270" w:hanging="424"/>
      </w:pPr>
      <w:rPr>
        <w:rFonts w:hint="default"/>
        <w:lang w:val="pt-PT" w:eastAsia="en-US" w:bidi="ar-SA"/>
      </w:rPr>
    </w:lvl>
    <w:lvl w:ilvl="4" w:tplc="CCEAD4E8">
      <w:numFmt w:val="bullet"/>
      <w:lvlText w:val="•"/>
      <w:lvlJc w:val="left"/>
      <w:pPr>
        <w:ind w:left="5087" w:hanging="424"/>
      </w:pPr>
      <w:rPr>
        <w:rFonts w:hint="default"/>
        <w:lang w:val="pt-PT" w:eastAsia="en-US" w:bidi="ar-SA"/>
      </w:rPr>
    </w:lvl>
    <w:lvl w:ilvl="5" w:tplc="5008AD0A">
      <w:numFmt w:val="bullet"/>
      <w:lvlText w:val="•"/>
      <w:lvlJc w:val="left"/>
      <w:pPr>
        <w:ind w:left="5904" w:hanging="424"/>
      </w:pPr>
      <w:rPr>
        <w:rFonts w:hint="default"/>
        <w:lang w:val="pt-PT" w:eastAsia="en-US" w:bidi="ar-SA"/>
      </w:rPr>
    </w:lvl>
    <w:lvl w:ilvl="6" w:tplc="FD38F668">
      <w:numFmt w:val="bullet"/>
      <w:lvlText w:val="•"/>
      <w:lvlJc w:val="left"/>
      <w:pPr>
        <w:ind w:left="6720" w:hanging="424"/>
      </w:pPr>
      <w:rPr>
        <w:rFonts w:hint="default"/>
        <w:lang w:val="pt-PT" w:eastAsia="en-US" w:bidi="ar-SA"/>
      </w:rPr>
    </w:lvl>
    <w:lvl w:ilvl="7" w:tplc="8042DF0A">
      <w:numFmt w:val="bullet"/>
      <w:lvlText w:val="•"/>
      <w:lvlJc w:val="left"/>
      <w:pPr>
        <w:ind w:left="7537" w:hanging="424"/>
      </w:pPr>
      <w:rPr>
        <w:rFonts w:hint="default"/>
        <w:lang w:val="pt-PT" w:eastAsia="en-US" w:bidi="ar-SA"/>
      </w:rPr>
    </w:lvl>
    <w:lvl w:ilvl="8" w:tplc="15605A0E">
      <w:numFmt w:val="bullet"/>
      <w:lvlText w:val="•"/>
      <w:lvlJc w:val="left"/>
      <w:pPr>
        <w:ind w:left="8354" w:hanging="424"/>
      </w:pPr>
      <w:rPr>
        <w:rFonts w:hint="default"/>
        <w:lang w:val="pt-PT" w:eastAsia="en-US" w:bidi="ar-SA"/>
      </w:rPr>
    </w:lvl>
  </w:abstractNum>
  <w:abstractNum w:abstractNumId="2" w15:restartNumberingAfterBreak="0">
    <w:nsid w:val="0B3C3B2B"/>
    <w:multiLevelType w:val="hybridMultilevel"/>
    <w:tmpl w:val="206C2144"/>
    <w:lvl w:ilvl="0" w:tplc="ACC47DB8">
      <w:numFmt w:val="bullet"/>
      <w:lvlText w:val="-"/>
      <w:lvlJc w:val="left"/>
      <w:pPr>
        <w:ind w:left="963" w:hanging="124"/>
      </w:pPr>
      <w:rPr>
        <w:rFonts w:ascii="Calibri Light" w:eastAsia="Calibri Light" w:hAnsi="Calibri Light" w:cs="Calibri Light" w:hint="default"/>
        <w:w w:val="100"/>
        <w:sz w:val="23"/>
        <w:szCs w:val="23"/>
        <w:lang w:val="pt-PT" w:eastAsia="en-US" w:bidi="ar-SA"/>
      </w:rPr>
    </w:lvl>
    <w:lvl w:ilvl="1" w:tplc="869EC6E6">
      <w:numFmt w:val="bullet"/>
      <w:lvlText w:val="•"/>
      <w:lvlJc w:val="left"/>
      <w:pPr>
        <w:ind w:left="1862" w:hanging="124"/>
      </w:pPr>
      <w:rPr>
        <w:rFonts w:hint="default"/>
        <w:lang w:val="pt-PT" w:eastAsia="en-US" w:bidi="ar-SA"/>
      </w:rPr>
    </w:lvl>
    <w:lvl w:ilvl="2" w:tplc="DAE4FD5A">
      <w:numFmt w:val="bullet"/>
      <w:lvlText w:val="•"/>
      <w:lvlJc w:val="left"/>
      <w:pPr>
        <w:ind w:left="2765" w:hanging="124"/>
      </w:pPr>
      <w:rPr>
        <w:rFonts w:hint="default"/>
        <w:lang w:val="pt-PT" w:eastAsia="en-US" w:bidi="ar-SA"/>
      </w:rPr>
    </w:lvl>
    <w:lvl w:ilvl="3" w:tplc="0FD83710">
      <w:numFmt w:val="bullet"/>
      <w:lvlText w:val="•"/>
      <w:lvlJc w:val="left"/>
      <w:pPr>
        <w:ind w:left="3668" w:hanging="124"/>
      </w:pPr>
      <w:rPr>
        <w:rFonts w:hint="default"/>
        <w:lang w:val="pt-PT" w:eastAsia="en-US" w:bidi="ar-SA"/>
      </w:rPr>
    </w:lvl>
    <w:lvl w:ilvl="4" w:tplc="D8E8E97E">
      <w:numFmt w:val="bullet"/>
      <w:lvlText w:val="•"/>
      <w:lvlJc w:val="left"/>
      <w:pPr>
        <w:ind w:left="4571" w:hanging="124"/>
      </w:pPr>
      <w:rPr>
        <w:rFonts w:hint="default"/>
        <w:lang w:val="pt-PT" w:eastAsia="en-US" w:bidi="ar-SA"/>
      </w:rPr>
    </w:lvl>
    <w:lvl w:ilvl="5" w:tplc="48F4104C">
      <w:numFmt w:val="bullet"/>
      <w:lvlText w:val="•"/>
      <w:lvlJc w:val="left"/>
      <w:pPr>
        <w:ind w:left="5474" w:hanging="124"/>
      </w:pPr>
      <w:rPr>
        <w:rFonts w:hint="default"/>
        <w:lang w:val="pt-PT" w:eastAsia="en-US" w:bidi="ar-SA"/>
      </w:rPr>
    </w:lvl>
    <w:lvl w:ilvl="6" w:tplc="A4302D36">
      <w:numFmt w:val="bullet"/>
      <w:lvlText w:val="•"/>
      <w:lvlJc w:val="left"/>
      <w:pPr>
        <w:ind w:left="6376" w:hanging="124"/>
      </w:pPr>
      <w:rPr>
        <w:rFonts w:hint="default"/>
        <w:lang w:val="pt-PT" w:eastAsia="en-US" w:bidi="ar-SA"/>
      </w:rPr>
    </w:lvl>
    <w:lvl w:ilvl="7" w:tplc="D090AA72">
      <w:numFmt w:val="bullet"/>
      <w:lvlText w:val="•"/>
      <w:lvlJc w:val="left"/>
      <w:pPr>
        <w:ind w:left="7279" w:hanging="124"/>
      </w:pPr>
      <w:rPr>
        <w:rFonts w:hint="default"/>
        <w:lang w:val="pt-PT" w:eastAsia="en-US" w:bidi="ar-SA"/>
      </w:rPr>
    </w:lvl>
    <w:lvl w:ilvl="8" w:tplc="6DE8FAD2">
      <w:numFmt w:val="bullet"/>
      <w:lvlText w:val="•"/>
      <w:lvlJc w:val="left"/>
      <w:pPr>
        <w:ind w:left="8182" w:hanging="124"/>
      </w:pPr>
      <w:rPr>
        <w:rFonts w:hint="default"/>
        <w:lang w:val="pt-PT" w:eastAsia="en-US" w:bidi="ar-SA"/>
      </w:rPr>
    </w:lvl>
  </w:abstractNum>
  <w:abstractNum w:abstractNumId="3" w15:restartNumberingAfterBreak="0">
    <w:nsid w:val="175D10F4"/>
    <w:multiLevelType w:val="hybridMultilevel"/>
    <w:tmpl w:val="09426C74"/>
    <w:lvl w:ilvl="0" w:tplc="3C8C2BF2">
      <w:start w:val="1"/>
      <w:numFmt w:val="decimal"/>
      <w:lvlText w:val="%1."/>
      <w:lvlJc w:val="left"/>
      <w:pPr>
        <w:ind w:left="1812" w:hanging="224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1" w:tplc="4C384F64">
      <w:numFmt w:val="bullet"/>
      <w:lvlText w:val="•"/>
      <w:lvlJc w:val="left"/>
      <w:pPr>
        <w:ind w:left="2636" w:hanging="224"/>
      </w:pPr>
      <w:rPr>
        <w:rFonts w:hint="default"/>
        <w:lang w:val="pt-PT" w:eastAsia="en-US" w:bidi="ar-SA"/>
      </w:rPr>
    </w:lvl>
    <w:lvl w:ilvl="2" w:tplc="0C0C7C76">
      <w:numFmt w:val="bullet"/>
      <w:lvlText w:val="•"/>
      <w:lvlJc w:val="left"/>
      <w:pPr>
        <w:ind w:left="3453" w:hanging="224"/>
      </w:pPr>
      <w:rPr>
        <w:rFonts w:hint="default"/>
        <w:lang w:val="pt-PT" w:eastAsia="en-US" w:bidi="ar-SA"/>
      </w:rPr>
    </w:lvl>
    <w:lvl w:ilvl="3" w:tplc="280E27DC">
      <w:numFmt w:val="bullet"/>
      <w:lvlText w:val="•"/>
      <w:lvlJc w:val="left"/>
      <w:pPr>
        <w:ind w:left="4270" w:hanging="224"/>
      </w:pPr>
      <w:rPr>
        <w:rFonts w:hint="default"/>
        <w:lang w:val="pt-PT" w:eastAsia="en-US" w:bidi="ar-SA"/>
      </w:rPr>
    </w:lvl>
    <w:lvl w:ilvl="4" w:tplc="A060E94E">
      <w:numFmt w:val="bullet"/>
      <w:lvlText w:val="•"/>
      <w:lvlJc w:val="left"/>
      <w:pPr>
        <w:ind w:left="5087" w:hanging="224"/>
      </w:pPr>
      <w:rPr>
        <w:rFonts w:hint="default"/>
        <w:lang w:val="pt-PT" w:eastAsia="en-US" w:bidi="ar-SA"/>
      </w:rPr>
    </w:lvl>
    <w:lvl w:ilvl="5" w:tplc="1C147C60">
      <w:numFmt w:val="bullet"/>
      <w:lvlText w:val="•"/>
      <w:lvlJc w:val="left"/>
      <w:pPr>
        <w:ind w:left="5904" w:hanging="224"/>
      </w:pPr>
      <w:rPr>
        <w:rFonts w:hint="default"/>
        <w:lang w:val="pt-PT" w:eastAsia="en-US" w:bidi="ar-SA"/>
      </w:rPr>
    </w:lvl>
    <w:lvl w:ilvl="6" w:tplc="CF64E374">
      <w:numFmt w:val="bullet"/>
      <w:lvlText w:val="•"/>
      <w:lvlJc w:val="left"/>
      <w:pPr>
        <w:ind w:left="6720" w:hanging="224"/>
      </w:pPr>
      <w:rPr>
        <w:rFonts w:hint="default"/>
        <w:lang w:val="pt-PT" w:eastAsia="en-US" w:bidi="ar-SA"/>
      </w:rPr>
    </w:lvl>
    <w:lvl w:ilvl="7" w:tplc="9384B9F6">
      <w:numFmt w:val="bullet"/>
      <w:lvlText w:val="•"/>
      <w:lvlJc w:val="left"/>
      <w:pPr>
        <w:ind w:left="7537" w:hanging="224"/>
      </w:pPr>
      <w:rPr>
        <w:rFonts w:hint="default"/>
        <w:lang w:val="pt-PT" w:eastAsia="en-US" w:bidi="ar-SA"/>
      </w:rPr>
    </w:lvl>
    <w:lvl w:ilvl="8" w:tplc="9544D5E8">
      <w:numFmt w:val="bullet"/>
      <w:lvlText w:val="•"/>
      <w:lvlJc w:val="left"/>
      <w:pPr>
        <w:ind w:left="8354" w:hanging="224"/>
      </w:pPr>
      <w:rPr>
        <w:rFonts w:hint="default"/>
        <w:lang w:val="pt-PT" w:eastAsia="en-US" w:bidi="ar-SA"/>
      </w:rPr>
    </w:lvl>
  </w:abstractNum>
  <w:abstractNum w:abstractNumId="4" w15:restartNumberingAfterBreak="0">
    <w:nsid w:val="1CC156AF"/>
    <w:multiLevelType w:val="multilevel"/>
    <w:tmpl w:val="5F2CB774"/>
    <w:lvl w:ilvl="0">
      <w:start w:val="5"/>
      <w:numFmt w:val="decimal"/>
      <w:lvlText w:val="%1"/>
      <w:lvlJc w:val="left"/>
      <w:pPr>
        <w:ind w:left="2383" w:hanging="572"/>
        <w:jc w:val="left"/>
      </w:pPr>
      <w:rPr>
        <w:rFonts w:hint="default"/>
        <w:lang w:val="pt-PT" w:eastAsia="en-US" w:bidi="ar-SA"/>
      </w:rPr>
    </w:lvl>
    <w:lvl w:ilvl="1">
      <w:start w:val="2"/>
      <w:numFmt w:val="decimal"/>
      <w:lvlText w:val="%1.%2"/>
      <w:lvlJc w:val="left"/>
      <w:pPr>
        <w:ind w:left="2383" w:hanging="572"/>
        <w:jc w:val="left"/>
      </w:pPr>
      <w:rPr>
        <w:rFonts w:hint="default"/>
        <w:lang w:val="pt-PT" w:eastAsia="en-US" w:bidi="ar-SA"/>
      </w:rPr>
    </w:lvl>
    <w:lvl w:ilvl="2">
      <w:start w:val="2"/>
      <w:numFmt w:val="decimal"/>
      <w:lvlText w:val="%1.%2.%3."/>
      <w:lvlJc w:val="left"/>
      <w:pPr>
        <w:ind w:left="2383" w:hanging="572"/>
        <w:jc w:val="left"/>
      </w:pPr>
      <w:rPr>
        <w:rFonts w:ascii="Calibri Light" w:eastAsia="Calibri Light" w:hAnsi="Calibri Light" w:cs="Calibri Light" w:hint="default"/>
        <w:i/>
        <w:iCs/>
        <w:spacing w:val="-2"/>
        <w:w w:val="96"/>
        <w:sz w:val="24"/>
        <w:szCs w:val="24"/>
        <w:lang w:val="pt-PT" w:eastAsia="en-US" w:bidi="ar-SA"/>
      </w:rPr>
    </w:lvl>
    <w:lvl w:ilvl="3">
      <w:start w:val="1"/>
      <w:numFmt w:val="decimal"/>
      <w:lvlText w:val="%1.%2.%3.%4."/>
      <w:lvlJc w:val="left"/>
      <w:pPr>
        <w:ind w:left="1811" w:hanging="690"/>
        <w:jc w:val="left"/>
      </w:pPr>
      <w:rPr>
        <w:rFonts w:ascii="Calibri Light" w:eastAsia="Calibri Light" w:hAnsi="Calibri Light" w:cs="Calibri Light" w:hint="default"/>
        <w:i/>
        <w:iCs/>
        <w:spacing w:val="-2"/>
        <w:w w:val="100"/>
        <w:sz w:val="21"/>
        <w:szCs w:val="21"/>
        <w:lang w:val="pt-PT" w:eastAsia="en-US" w:bidi="ar-SA"/>
      </w:rPr>
    </w:lvl>
    <w:lvl w:ilvl="4">
      <w:numFmt w:val="bullet"/>
      <w:lvlText w:val="•"/>
      <w:lvlJc w:val="left"/>
      <w:pPr>
        <w:ind w:left="4916" w:hanging="69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5761" w:hanging="69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6606" w:hanging="69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7452" w:hanging="69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8297" w:hanging="690"/>
      </w:pPr>
      <w:rPr>
        <w:rFonts w:hint="default"/>
        <w:lang w:val="pt-PT" w:eastAsia="en-US" w:bidi="ar-SA"/>
      </w:rPr>
    </w:lvl>
  </w:abstractNum>
  <w:abstractNum w:abstractNumId="5" w15:restartNumberingAfterBreak="0">
    <w:nsid w:val="22EA2A76"/>
    <w:multiLevelType w:val="hybridMultilevel"/>
    <w:tmpl w:val="620CFDBC"/>
    <w:lvl w:ilvl="0" w:tplc="A7141E56">
      <w:numFmt w:val="bullet"/>
      <w:lvlText w:val="-"/>
      <w:lvlJc w:val="left"/>
      <w:pPr>
        <w:ind w:left="963" w:hanging="124"/>
      </w:pPr>
      <w:rPr>
        <w:rFonts w:ascii="Calibri Light" w:eastAsia="Calibri Light" w:hAnsi="Calibri Light" w:cs="Calibri Light" w:hint="default"/>
        <w:w w:val="100"/>
        <w:sz w:val="23"/>
        <w:szCs w:val="23"/>
        <w:lang w:val="pt-PT" w:eastAsia="en-US" w:bidi="ar-SA"/>
      </w:rPr>
    </w:lvl>
    <w:lvl w:ilvl="1" w:tplc="1F1CD5B8">
      <w:numFmt w:val="bullet"/>
      <w:lvlText w:val="•"/>
      <w:lvlJc w:val="left"/>
      <w:pPr>
        <w:ind w:left="1862" w:hanging="124"/>
      </w:pPr>
      <w:rPr>
        <w:rFonts w:hint="default"/>
        <w:lang w:val="pt-PT" w:eastAsia="en-US" w:bidi="ar-SA"/>
      </w:rPr>
    </w:lvl>
    <w:lvl w:ilvl="2" w:tplc="A772664A">
      <w:numFmt w:val="bullet"/>
      <w:lvlText w:val="•"/>
      <w:lvlJc w:val="left"/>
      <w:pPr>
        <w:ind w:left="2765" w:hanging="124"/>
      </w:pPr>
      <w:rPr>
        <w:rFonts w:hint="default"/>
        <w:lang w:val="pt-PT" w:eastAsia="en-US" w:bidi="ar-SA"/>
      </w:rPr>
    </w:lvl>
    <w:lvl w:ilvl="3" w:tplc="C15EC8BA">
      <w:numFmt w:val="bullet"/>
      <w:lvlText w:val="•"/>
      <w:lvlJc w:val="left"/>
      <w:pPr>
        <w:ind w:left="3668" w:hanging="124"/>
      </w:pPr>
      <w:rPr>
        <w:rFonts w:hint="default"/>
        <w:lang w:val="pt-PT" w:eastAsia="en-US" w:bidi="ar-SA"/>
      </w:rPr>
    </w:lvl>
    <w:lvl w:ilvl="4" w:tplc="3DE4CA58">
      <w:numFmt w:val="bullet"/>
      <w:lvlText w:val="•"/>
      <w:lvlJc w:val="left"/>
      <w:pPr>
        <w:ind w:left="4571" w:hanging="124"/>
      </w:pPr>
      <w:rPr>
        <w:rFonts w:hint="default"/>
        <w:lang w:val="pt-PT" w:eastAsia="en-US" w:bidi="ar-SA"/>
      </w:rPr>
    </w:lvl>
    <w:lvl w:ilvl="5" w:tplc="283E4B36">
      <w:numFmt w:val="bullet"/>
      <w:lvlText w:val="•"/>
      <w:lvlJc w:val="left"/>
      <w:pPr>
        <w:ind w:left="5474" w:hanging="124"/>
      </w:pPr>
      <w:rPr>
        <w:rFonts w:hint="default"/>
        <w:lang w:val="pt-PT" w:eastAsia="en-US" w:bidi="ar-SA"/>
      </w:rPr>
    </w:lvl>
    <w:lvl w:ilvl="6" w:tplc="D87A565A">
      <w:numFmt w:val="bullet"/>
      <w:lvlText w:val="•"/>
      <w:lvlJc w:val="left"/>
      <w:pPr>
        <w:ind w:left="6376" w:hanging="124"/>
      </w:pPr>
      <w:rPr>
        <w:rFonts w:hint="default"/>
        <w:lang w:val="pt-PT" w:eastAsia="en-US" w:bidi="ar-SA"/>
      </w:rPr>
    </w:lvl>
    <w:lvl w:ilvl="7" w:tplc="456E0CEC">
      <w:numFmt w:val="bullet"/>
      <w:lvlText w:val="•"/>
      <w:lvlJc w:val="left"/>
      <w:pPr>
        <w:ind w:left="7279" w:hanging="124"/>
      </w:pPr>
      <w:rPr>
        <w:rFonts w:hint="default"/>
        <w:lang w:val="pt-PT" w:eastAsia="en-US" w:bidi="ar-SA"/>
      </w:rPr>
    </w:lvl>
    <w:lvl w:ilvl="8" w:tplc="15BC55E8">
      <w:numFmt w:val="bullet"/>
      <w:lvlText w:val="•"/>
      <w:lvlJc w:val="left"/>
      <w:pPr>
        <w:ind w:left="8182" w:hanging="124"/>
      </w:pPr>
      <w:rPr>
        <w:rFonts w:hint="default"/>
        <w:lang w:val="pt-PT" w:eastAsia="en-US" w:bidi="ar-SA"/>
      </w:rPr>
    </w:lvl>
  </w:abstractNum>
  <w:abstractNum w:abstractNumId="6" w15:restartNumberingAfterBreak="0">
    <w:nsid w:val="2FEE751B"/>
    <w:multiLevelType w:val="hybridMultilevel"/>
    <w:tmpl w:val="9D204142"/>
    <w:lvl w:ilvl="0" w:tplc="DB8047B2">
      <w:start w:val="2"/>
      <w:numFmt w:val="lowerLetter"/>
      <w:lvlText w:val="%1)"/>
      <w:lvlJc w:val="left"/>
      <w:pPr>
        <w:ind w:left="1812" w:hanging="424"/>
        <w:jc w:val="left"/>
      </w:pPr>
      <w:rPr>
        <w:rFonts w:ascii="Calibri Light" w:eastAsia="Calibri Light" w:hAnsi="Calibri Light" w:cs="Calibri Light" w:hint="default"/>
        <w:spacing w:val="-1"/>
        <w:w w:val="100"/>
        <w:sz w:val="23"/>
        <w:szCs w:val="23"/>
        <w:lang w:val="pt-PT" w:eastAsia="en-US" w:bidi="ar-SA"/>
      </w:rPr>
    </w:lvl>
    <w:lvl w:ilvl="1" w:tplc="D49297EC">
      <w:numFmt w:val="bullet"/>
      <w:lvlText w:val="•"/>
      <w:lvlJc w:val="left"/>
      <w:pPr>
        <w:ind w:left="2636" w:hanging="424"/>
      </w:pPr>
      <w:rPr>
        <w:rFonts w:hint="default"/>
        <w:lang w:val="pt-PT" w:eastAsia="en-US" w:bidi="ar-SA"/>
      </w:rPr>
    </w:lvl>
    <w:lvl w:ilvl="2" w:tplc="AB36CF18">
      <w:numFmt w:val="bullet"/>
      <w:lvlText w:val="•"/>
      <w:lvlJc w:val="left"/>
      <w:pPr>
        <w:ind w:left="3453" w:hanging="424"/>
      </w:pPr>
      <w:rPr>
        <w:rFonts w:hint="default"/>
        <w:lang w:val="pt-PT" w:eastAsia="en-US" w:bidi="ar-SA"/>
      </w:rPr>
    </w:lvl>
    <w:lvl w:ilvl="3" w:tplc="8102CABC">
      <w:numFmt w:val="bullet"/>
      <w:lvlText w:val="•"/>
      <w:lvlJc w:val="left"/>
      <w:pPr>
        <w:ind w:left="4270" w:hanging="424"/>
      </w:pPr>
      <w:rPr>
        <w:rFonts w:hint="default"/>
        <w:lang w:val="pt-PT" w:eastAsia="en-US" w:bidi="ar-SA"/>
      </w:rPr>
    </w:lvl>
    <w:lvl w:ilvl="4" w:tplc="37CAA636">
      <w:numFmt w:val="bullet"/>
      <w:lvlText w:val="•"/>
      <w:lvlJc w:val="left"/>
      <w:pPr>
        <w:ind w:left="5087" w:hanging="424"/>
      </w:pPr>
      <w:rPr>
        <w:rFonts w:hint="default"/>
        <w:lang w:val="pt-PT" w:eastAsia="en-US" w:bidi="ar-SA"/>
      </w:rPr>
    </w:lvl>
    <w:lvl w:ilvl="5" w:tplc="DC089CC8">
      <w:numFmt w:val="bullet"/>
      <w:lvlText w:val="•"/>
      <w:lvlJc w:val="left"/>
      <w:pPr>
        <w:ind w:left="5904" w:hanging="424"/>
      </w:pPr>
      <w:rPr>
        <w:rFonts w:hint="default"/>
        <w:lang w:val="pt-PT" w:eastAsia="en-US" w:bidi="ar-SA"/>
      </w:rPr>
    </w:lvl>
    <w:lvl w:ilvl="6" w:tplc="55DE953E">
      <w:numFmt w:val="bullet"/>
      <w:lvlText w:val="•"/>
      <w:lvlJc w:val="left"/>
      <w:pPr>
        <w:ind w:left="6720" w:hanging="424"/>
      </w:pPr>
      <w:rPr>
        <w:rFonts w:hint="default"/>
        <w:lang w:val="pt-PT" w:eastAsia="en-US" w:bidi="ar-SA"/>
      </w:rPr>
    </w:lvl>
    <w:lvl w:ilvl="7" w:tplc="E1B43520">
      <w:numFmt w:val="bullet"/>
      <w:lvlText w:val="•"/>
      <w:lvlJc w:val="left"/>
      <w:pPr>
        <w:ind w:left="7537" w:hanging="424"/>
      </w:pPr>
      <w:rPr>
        <w:rFonts w:hint="default"/>
        <w:lang w:val="pt-PT" w:eastAsia="en-US" w:bidi="ar-SA"/>
      </w:rPr>
    </w:lvl>
    <w:lvl w:ilvl="8" w:tplc="851CEC5E">
      <w:numFmt w:val="bullet"/>
      <w:lvlText w:val="•"/>
      <w:lvlJc w:val="left"/>
      <w:pPr>
        <w:ind w:left="8354" w:hanging="424"/>
      </w:pPr>
      <w:rPr>
        <w:rFonts w:hint="default"/>
        <w:lang w:val="pt-PT" w:eastAsia="en-US" w:bidi="ar-SA"/>
      </w:rPr>
    </w:lvl>
  </w:abstractNum>
  <w:abstractNum w:abstractNumId="7" w15:restartNumberingAfterBreak="0">
    <w:nsid w:val="3BEA4FF5"/>
    <w:multiLevelType w:val="hybridMultilevel"/>
    <w:tmpl w:val="623E5074"/>
    <w:lvl w:ilvl="0" w:tplc="D44058C2">
      <w:start w:val="1"/>
      <w:numFmt w:val="lowerLetter"/>
      <w:lvlText w:val="%1)"/>
      <w:lvlJc w:val="left"/>
      <w:pPr>
        <w:ind w:left="1812" w:hanging="187"/>
        <w:jc w:val="left"/>
      </w:pPr>
      <w:rPr>
        <w:rFonts w:ascii="Calibri Light" w:eastAsia="Calibri Light" w:hAnsi="Calibri Light" w:cs="Calibri Light" w:hint="default"/>
        <w:i/>
        <w:iCs/>
        <w:spacing w:val="-2"/>
        <w:w w:val="100"/>
        <w:sz w:val="21"/>
        <w:szCs w:val="21"/>
        <w:lang w:val="pt-PT" w:eastAsia="en-US" w:bidi="ar-SA"/>
      </w:rPr>
    </w:lvl>
    <w:lvl w:ilvl="1" w:tplc="866680E0">
      <w:numFmt w:val="bullet"/>
      <w:lvlText w:val="•"/>
      <w:lvlJc w:val="left"/>
      <w:pPr>
        <w:ind w:left="2636" w:hanging="187"/>
      </w:pPr>
      <w:rPr>
        <w:rFonts w:hint="default"/>
        <w:lang w:val="pt-PT" w:eastAsia="en-US" w:bidi="ar-SA"/>
      </w:rPr>
    </w:lvl>
    <w:lvl w:ilvl="2" w:tplc="9E80FBA6">
      <w:numFmt w:val="bullet"/>
      <w:lvlText w:val="•"/>
      <w:lvlJc w:val="left"/>
      <w:pPr>
        <w:ind w:left="3453" w:hanging="187"/>
      </w:pPr>
      <w:rPr>
        <w:rFonts w:hint="default"/>
        <w:lang w:val="pt-PT" w:eastAsia="en-US" w:bidi="ar-SA"/>
      </w:rPr>
    </w:lvl>
    <w:lvl w:ilvl="3" w:tplc="93DABF2A">
      <w:numFmt w:val="bullet"/>
      <w:lvlText w:val="•"/>
      <w:lvlJc w:val="left"/>
      <w:pPr>
        <w:ind w:left="4270" w:hanging="187"/>
      </w:pPr>
      <w:rPr>
        <w:rFonts w:hint="default"/>
        <w:lang w:val="pt-PT" w:eastAsia="en-US" w:bidi="ar-SA"/>
      </w:rPr>
    </w:lvl>
    <w:lvl w:ilvl="4" w:tplc="4B88FEA4">
      <w:numFmt w:val="bullet"/>
      <w:lvlText w:val="•"/>
      <w:lvlJc w:val="left"/>
      <w:pPr>
        <w:ind w:left="5087" w:hanging="187"/>
      </w:pPr>
      <w:rPr>
        <w:rFonts w:hint="default"/>
        <w:lang w:val="pt-PT" w:eastAsia="en-US" w:bidi="ar-SA"/>
      </w:rPr>
    </w:lvl>
    <w:lvl w:ilvl="5" w:tplc="635C59AC">
      <w:numFmt w:val="bullet"/>
      <w:lvlText w:val="•"/>
      <w:lvlJc w:val="left"/>
      <w:pPr>
        <w:ind w:left="5904" w:hanging="187"/>
      </w:pPr>
      <w:rPr>
        <w:rFonts w:hint="default"/>
        <w:lang w:val="pt-PT" w:eastAsia="en-US" w:bidi="ar-SA"/>
      </w:rPr>
    </w:lvl>
    <w:lvl w:ilvl="6" w:tplc="94726F94">
      <w:numFmt w:val="bullet"/>
      <w:lvlText w:val="•"/>
      <w:lvlJc w:val="left"/>
      <w:pPr>
        <w:ind w:left="6720" w:hanging="187"/>
      </w:pPr>
      <w:rPr>
        <w:rFonts w:hint="default"/>
        <w:lang w:val="pt-PT" w:eastAsia="en-US" w:bidi="ar-SA"/>
      </w:rPr>
    </w:lvl>
    <w:lvl w:ilvl="7" w:tplc="F116591A">
      <w:numFmt w:val="bullet"/>
      <w:lvlText w:val="•"/>
      <w:lvlJc w:val="left"/>
      <w:pPr>
        <w:ind w:left="7537" w:hanging="187"/>
      </w:pPr>
      <w:rPr>
        <w:rFonts w:hint="default"/>
        <w:lang w:val="pt-PT" w:eastAsia="en-US" w:bidi="ar-SA"/>
      </w:rPr>
    </w:lvl>
    <w:lvl w:ilvl="8" w:tplc="B9E03E72">
      <w:numFmt w:val="bullet"/>
      <w:lvlText w:val="•"/>
      <w:lvlJc w:val="left"/>
      <w:pPr>
        <w:ind w:left="8354" w:hanging="187"/>
      </w:pPr>
      <w:rPr>
        <w:rFonts w:hint="default"/>
        <w:lang w:val="pt-PT" w:eastAsia="en-US" w:bidi="ar-SA"/>
      </w:rPr>
    </w:lvl>
  </w:abstractNum>
  <w:abstractNum w:abstractNumId="8" w15:restartNumberingAfterBreak="0">
    <w:nsid w:val="46876A94"/>
    <w:multiLevelType w:val="multilevel"/>
    <w:tmpl w:val="EF566F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98F36FE"/>
    <w:multiLevelType w:val="multilevel"/>
    <w:tmpl w:val="F3BC0626"/>
    <w:lvl w:ilvl="0">
      <w:start w:val="2"/>
      <w:numFmt w:val="lowerLetter"/>
      <w:lvlText w:val="%1)"/>
      <w:lvlJc w:val="left"/>
      <w:pPr>
        <w:ind w:left="112" w:hanging="429"/>
        <w:jc w:val="left"/>
      </w:pPr>
      <w:rPr>
        <w:rFonts w:ascii="Calibri Light" w:eastAsia="Calibri Light" w:hAnsi="Calibri Light" w:cs="Calibri Light" w:hint="default"/>
        <w:spacing w:val="-1"/>
        <w:w w:val="100"/>
        <w:sz w:val="23"/>
        <w:szCs w:val="23"/>
        <w:lang w:val="pt-PT" w:eastAsia="en-US" w:bidi="ar-SA"/>
      </w:rPr>
    </w:lvl>
    <w:lvl w:ilvl="1">
      <w:start w:val="1"/>
      <w:numFmt w:val="decimal"/>
      <w:lvlText w:val="%2."/>
      <w:lvlJc w:val="left"/>
      <w:pPr>
        <w:ind w:left="832" w:hanging="360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2">
      <w:start w:val="1"/>
      <w:numFmt w:val="lowerLetter"/>
      <w:lvlText w:val="%3)"/>
      <w:lvlJc w:val="left"/>
      <w:pPr>
        <w:ind w:left="2380" w:hanging="272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3">
      <w:start w:val="1"/>
      <w:numFmt w:val="decimal"/>
      <w:lvlText w:val="%3.%4)"/>
      <w:lvlJc w:val="left"/>
      <w:pPr>
        <w:ind w:left="2380" w:hanging="580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4">
      <w:numFmt w:val="bullet"/>
      <w:lvlText w:val="•"/>
      <w:lvlJc w:val="left"/>
      <w:pPr>
        <w:ind w:left="4282" w:hanging="58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5233" w:hanging="58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6184" w:hanging="58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7135" w:hanging="58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8086" w:hanging="580"/>
      </w:pPr>
      <w:rPr>
        <w:rFonts w:hint="default"/>
        <w:lang w:val="pt-PT" w:eastAsia="en-US" w:bidi="ar-SA"/>
      </w:rPr>
    </w:lvl>
  </w:abstractNum>
  <w:abstractNum w:abstractNumId="10" w15:restartNumberingAfterBreak="0">
    <w:nsid w:val="4A124B43"/>
    <w:multiLevelType w:val="multilevel"/>
    <w:tmpl w:val="403EF836"/>
    <w:lvl w:ilvl="0">
      <w:start w:val="1"/>
      <w:numFmt w:val="lowerLetter"/>
      <w:lvlText w:val="%1)"/>
      <w:lvlJc w:val="left"/>
      <w:pPr>
        <w:ind w:left="1812" w:hanging="424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1">
      <w:start w:val="1"/>
      <w:numFmt w:val="lowerLetter"/>
      <w:lvlText w:val="%2)"/>
      <w:lvlJc w:val="left"/>
      <w:pPr>
        <w:ind w:left="2380" w:hanging="272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2">
      <w:start w:val="1"/>
      <w:numFmt w:val="decimal"/>
      <w:lvlText w:val="%2.%3)"/>
      <w:lvlJc w:val="left"/>
      <w:pPr>
        <w:ind w:left="2380" w:hanging="580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3">
      <w:numFmt w:val="bullet"/>
      <w:lvlText w:val="•"/>
      <w:lvlJc w:val="left"/>
      <w:pPr>
        <w:ind w:left="4070" w:hanging="58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4916" w:hanging="58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5761" w:hanging="58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6606" w:hanging="58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7452" w:hanging="58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8297" w:hanging="580"/>
      </w:pPr>
      <w:rPr>
        <w:rFonts w:hint="default"/>
        <w:lang w:val="pt-PT" w:eastAsia="en-US" w:bidi="ar-SA"/>
      </w:rPr>
    </w:lvl>
  </w:abstractNum>
  <w:abstractNum w:abstractNumId="11" w15:restartNumberingAfterBreak="0">
    <w:nsid w:val="56C62D6E"/>
    <w:multiLevelType w:val="multilevel"/>
    <w:tmpl w:val="1892DB5A"/>
    <w:lvl w:ilvl="0">
      <w:start w:val="1"/>
      <w:numFmt w:val="lowerLetter"/>
      <w:lvlText w:val="%1"/>
      <w:lvlJc w:val="left"/>
      <w:pPr>
        <w:ind w:left="112" w:hanging="433"/>
        <w:jc w:val="left"/>
      </w:pPr>
      <w:rPr>
        <w:rFonts w:hint="default"/>
        <w:lang w:val="pt-PT" w:eastAsia="en-US" w:bidi="ar-SA"/>
      </w:rPr>
    </w:lvl>
    <w:lvl w:ilvl="1">
      <w:start w:val="1"/>
      <w:numFmt w:val="decimal"/>
      <w:lvlText w:val="%1.%2)"/>
      <w:lvlJc w:val="left"/>
      <w:pPr>
        <w:ind w:left="112" w:hanging="433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2">
      <w:start w:val="1"/>
      <w:numFmt w:val="lowerLetter"/>
      <w:lvlText w:val="(%3)"/>
      <w:lvlJc w:val="left"/>
      <w:pPr>
        <w:ind w:left="1167" w:hanging="296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3">
      <w:numFmt w:val="bullet"/>
      <w:lvlText w:val="•"/>
      <w:lvlJc w:val="left"/>
      <w:pPr>
        <w:ind w:left="3121" w:hanging="296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4102" w:hanging="296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5083" w:hanging="296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6064" w:hanging="296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7045" w:hanging="296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8026" w:hanging="296"/>
      </w:pPr>
      <w:rPr>
        <w:rFonts w:hint="default"/>
        <w:lang w:val="pt-PT" w:eastAsia="en-US" w:bidi="ar-SA"/>
      </w:rPr>
    </w:lvl>
  </w:abstractNum>
  <w:abstractNum w:abstractNumId="12" w15:restartNumberingAfterBreak="0">
    <w:nsid w:val="5841737B"/>
    <w:multiLevelType w:val="multilevel"/>
    <w:tmpl w:val="0450E7D4"/>
    <w:lvl w:ilvl="0">
      <w:start w:val="1"/>
      <w:numFmt w:val="lowerLetter"/>
      <w:lvlText w:val="%1"/>
      <w:lvlJc w:val="left"/>
      <w:pPr>
        <w:ind w:left="1363" w:hanging="400"/>
        <w:jc w:val="left"/>
      </w:pPr>
      <w:rPr>
        <w:rFonts w:hint="default"/>
        <w:lang w:val="pt-PT" w:eastAsia="en-US" w:bidi="ar-SA"/>
      </w:rPr>
    </w:lvl>
    <w:lvl w:ilvl="1">
      <w:start w:val="1"/>
      <w:numFmt w:val="decimal"/>
      <w:lvlText w:val="%1.%2)"/>
      <w:lvlJc w:val="left"/>
      <w:pPr>
        <w:ind w:left="1363" w:hanging="400"/>
        <w:jc w:val="left"/>
      </w:pPr>
      <w:rPr>
        <w:rFonts w:ascii="Calibri Light" w:eastAsia="Calibri Light" w:hAnsi="Calibri Light" w:cs="Calibri Light" w:hint="default"/>
        <w:spacing w:val="-2"/>
        <w:w w:val="100"/>
        <w:sz w:val="23"/>
        <w:szCs w:val="23"/>
        <w:lang w:val="pt-PT" w:eastAsia="en-US" w:bidi="ar-SA"/>
      </w:rPr>
    </w:lvl>
    <w:lvl w:ilvl="2">
      <w:numFmt w:val="bullet"/>
      <w:lvlText w:val="•"/>
      <w:lvlJc w:val="left"/>
      <w:pPr>
        <w:ind w:left="3085" w:hanging="400"/>
      </w:pPr>
      <w:rPr>
        <w:rFonts w:hint="default"/>
        <w:lang w:val="pt-PT" w:eastAsia="en-US" w:bidi="ar-SA"/>
      </w:rPr>
    </w:lvl>
    <w:lvl w:ilvl="3">
      <w:numFmt w:val="bullet"/>
      <w:lvlText w:val="•"/>
      <w:lvlJc w:val="left"/>
      <w:pPr>
        <w:ind w:left="3948" w:hanging="400"/>
      </w:pPr>
      <w:rPr>
        <w:rFonts w:hint="default"/>
        <w:lang w:val="pt-PT" w:eastAsia="en-US" w:bidi="ar-SA"/>
      </w:rPr>
    </w:lvl>
    <w:lvl w:ilvl="4">
      <w:numFmt w:val="bullet"/>
      <w:lvlText w:val="•"/>
      <w:lvlJc w:val="left"/>
      <w:pPr>
        <w:ind w:left="4811" w:hanging="400"/>
      </w:pPr>
      <w:rPr>
        <w:rFonts w:hint="default"/>
        <w:lang w:val="pt-PT" w:eastAsia="en-US" w:bidi="ar-SA"/>
      </w:rPr>
    </w:lvl>
    <w:lvl w:ilvl="5">
      <w:numFmt w:val="bullet"/>
      <w:lvlText w:val="•"/>
      <w:lvlJc w:val="left"/>
      <w:pPr>
        <w:ind w:left="5674" w:hanging="400"/>
      </w:pPr>
      <w:rPr>
        <w:rFonts w:hint="default"/>
        <w:lang w:val="pt-PT" w:eastAsia="en-US" w:bidi="ar-SA"/>
      </w:rPr>
    </w:lvl>
    <w:lvl w:ilvl="6">
      <w:numFmt w:val="bullet"/>
      <w:lvlText w:val="•"/>
      <w:lvlJc w:val="left"/>
      <w:pPr>
        <w:ind w:left="6536" w:hanging="400"/>
      </w:pPr>
      <w:rPr>
        <w:rFonts w:hint="default"/>
        <w:lang w:val="pt-PT" w:eastAsia="en-US" w:bidi="ar-SA"/>
      </w:rPr>
    </w:lvl>
    <w:lvl w:ilvl="7">
      <w:numFmt w:val="bullet"/>
      <w:lvlText w:val="•"/>
      <w:lvlJc w:val="left"/>
      <w:pPr>
        <w:ind w:left="7399" w:hanging="400"/>
      </w:pPr>
      <w:rPr>
        <w:rFonts w:hint="default"/>
        <w:lang w:val="pt-PT" w:eastAsia="en-US" w:bidi="ar-SA"/>
      </w:rPr>
    </w:lvl>
    <w:lvl w:ilvl="8">
      <w:numFmt w:val="bullet"/>
      <w:lvlText w:val="•"/>
      <w:lvlJc w:val="left"/>
      <w:pPr>
        <w:ind w:left="8262" w:hanging="400"/>
      </w:pPr>
      <w:rPr>
        <w:rFonts w:hint="default"/>
        <w:lang w:val="pt-PT" w:eastAsia="en-US" w:bidi="ar-SA"/>
      </w:rPr>
    </w:lvl>
  </w:abstractNum>
  <w:abstractNum w:abstractNumId="13" w15:restartNumberingAfterBreak="0">
    <w:nsid w:val="5B436848"/>
    <w:multiLevelType w:val="hybridMultilevel"/>
    <w:tmpl w:val="A614D310"/>
    <w:lvl w:ilvl="0" w:tplc="B0A41AD2">
      <w:numFmt w:val="bullet"/>
      <w:lvlText w:val="-"/>
      <w:lvlJc w:val="left"/>
      <w:pPr>
        <w:ind w:left="1087" w:hanging="124"/>
      </w:pPr>
      <w:rPr>
        <w:rFonts w:ascii="Calibri Light" w:eastAsia="Calibri Light" w:hAnsi="Calibri Light" w:cs="Calibri Light" w:hint="default"/>
        <w:w w:val="100"/>
        <w:sz w:val="23"/>
        <w:szCs w:val="23"/>
        <w:lang w:val="pt-PT" w:eastAsia="en-US" w:bidi="ar-SA"/>
      </w:rPr>
    </w:lvl>
    <w:lvl w:ilvl="1" w:tplc="42CAA0B0">
      <w:numFmt w:val="bullet"/>
      <w:lvlText w:val="•"/>
      <w:lvlJc w:val="left"/>
      <w:pPr>
        <w:ind w:left="1970" w:hanging="124"/>
      </w:pPr>
      <w:rPr>
        <w:rFonts w:hint="default"/>
        <w:lang w:val="pt-PT" w:eastAsia="en-US" w:bidi="ar-SA"/>
      </w:rPr>
    </w:lvl>
    <w:lvl w:ilvl="2" w:tplc="25EE9222">
      <w:numFmt w:val="bullet"/>
      <w:lvlText w:val="•"/>
      <w:lvlJc w:val="left"/>
      <w:pPr>
        <w:ind w:left="2861" w:hanging="124"/>
      </w:pPr>
      <w:rPr>
        <w:rFonts w:hint="default"/>
        <w:lang w:val="pt-PT" w:eastAsia="en-US" w:bidi="ar-SA"/>
      </w:rPr>
    </w:lvl>
    <w:lvl w:ilvl="3" w:tplc="84F8C80A">
      <w:numFmt w:val="bullet"/>
      <w:lvlText w:val="•"/>
      <w:lvlJc w:val="left"/>
      <w:pPr>
        <w:ind w:left="3752" w:hanging="124"/>
      </w:pPr>
      <w:rPr>
        <w:rFonts w:hint="default"/>
        <w:lang w:val="pt-PT" w:eastAsia="en-US" w:bidi="ar-SA"/>
      </w:rPr>
    </w:lvl>
    <w:lvl w:ilvl="4" w:tplc="B6C2DD9A">
      <w:numFmt w:val="bullet"/>
      <w:lvlText w:val="•"/>
      <w:lvlJc w:val="left"/>
      <w:pPr>
        <w:ind w:left="4643" w:hanging="124"/>
      </w:pPr>
      <w:rPr>
        <w:rFonts w:hint="default"/>
        <w:lang w:val="pt-PT" w:eastAsia="en-US" w:bidi="ar-SA"/>
      </w:rPr>
    </w:lvl>
    <w:lvl w:ilvl="5" w:tplc="207C9C6E">
      <w:numFmt w:val="bullet"/>
      <w:lvlText w:val="•"/>
      <w:lvlJc w:val="left"/>
      <w:pPr>
        <w:ind w:left="5534" w:hanging="124"/>
      </w:pPr>
      <w:rPr>
        <w:rFonts w:hint="default"/>
        <w:lang w:val="pt-PT" w:eastAsia="en-US" w:bidi="ar-SA"/>
      </w:rPr>
    </w:lvl>
    <w:lvl w:ilvl="6" w:tplc="CE10BFC4">
      <w:numFmt w:val="bullet"/>
      <w:lvlText w:val="•"/>
      <w:lvlJc w:val="left"/>
      <w:pPr>
        <w:ind w:left="6424" w:hanging="124"/>
      </w:pPr>
      <w:rPr>
        <w:rFonts w:hint="default"/>
        <w:lang w:val="pt-PT" w:eastAsia="en-US" w:bidi="ar-SA"/>
      </w:rPr>
    </w:lvl>
    <w:lvl w:ilvl="7" w:tplc="4E0C766E">
      <w:numFmt w:val="bullet"/>
      <w:lvlText w:val="•"/>
      <w:lvlJc w:val="left"/>
      <w:pPr>
        <w:ind w:left="7315" w:hanging="124"/>
      </w:pPr>
      <w:rPr>
        <w:rFonts w:hint="default"/>
        <w:lang w:val="pt-PT" w:eastAsia="en-US" w:bidi="ar-SA"/>
      </w:rPr>
    </w:lvl>
    <w:lvl w:ilvl="8" w:tplc="DDEE71EA">
      <w:numFmt w:val="bullet"/>
      <w:lvlText w:val="•"/>
      <w:lvlJc w:val="left"/>
      <w:pPr>
        <w:ind w:left="8206" w:hanging="124"/>
      </w:pPr>
      <w:rPr>
        <w:rFonts w:hint="default"/>
        <w:lang w:val="pt-PT" w:eastAsia="en-US" w:bidi="ar-SA"/>
      </w:rPr>
    </w:lvl>
  </w:abstractNum>
  <w:abstractNum w:abstractNumId="14" w15:restartNumberingAfterBreak="0">
    <w:nsid w:val="5D170DBE"/>
    <w:multiLevelType w:val="hybridMultilevel"/>
    <w:tmpl w:val="CC10247E"/>
    <w:lvl w:ilvl="0" w:tplc="41D60088">
      <w:numFmt w:val="bullet"/>
      <w:lvlText w:val="-"/>
      <w:lvlJc w:val="left"/>
      <w:pPr>
        <w:ind w:left="963" w:hanging="124"/>
      </w:pPr>
      <w:rPr>
        <w:rFonts w:ascii="Calibri Light" w:eastAsia="Calibri Light" w:hAnsi="Calibri Light" w:cs="Calibri Light" w:hint="default"/>
        <w:w w:val="100"/>
        <w:sz w:val="23"/>
        <w:szCs w:val="23"/>
        <w:lang w:val="pt-PT" w:eastAsia="en-US" w:bidi="ar-SA"/>
      </w:rPr>
    </w:lvl>
    <w:lvl w:ilvl="1" w:tplc="BB588EEE">
      <w:numFmt w:val="bullet"/>
      <w:lvlText w:val="•"/>
      <w:lvlJc w:val="left"/>
      <w:pPr>
        <w:ind w:left="1862" w:hanging="124"/>
      </w:pPr>
      <w:rPr>
        <w:rFonts w:hint="default"/>
        <w:lang w:val="pt-PT" w:eastAsia="en-US" w:bidi="ar-SA"/>
      </w:rPr>
    </w:lvl>
    <w:lvl w:ilvl="2" w:tplc="D05E535A">
      <w:numFmt w:val="bullet"/>
      <w:lvlText w:val="•"/>
      <w:lvlJc w:val="left"/>
      <w:pPr>
        <w:ind w:left="2765" w:hanging="124"/>
      </w:pPr>
      <w:rPr>
        <w:rFonts w:hint="default"/>
        <w:lang w:val="pt-PT" w:eastAsia="en-US" w:bidi="ar-SA"/>
      </w:rPr>
    </w:lvl>
    <w:lvl w:ilvl="3" w:tplc="F5FA253C">
      <w:numFmt w:val="bullet"/>
      <w:lvlText w:val="•"/>
      <w:lvlJc w:val="left"/>
      <w:pPr>
        <w:ind w:left="3668" w:hanging="124"/>
      </w:pPr>
      <w:rPr>
        <w:rFonts w:hint="default"/>
        <w:lang w:val="pt-PT" w:eastAsia="en-US" w:bidi="ar-SA"/>
      </w:rPr>
    </w:lvl>
    <w:lvl w:ilvl="4" w:tplc="DF7C1C5A">
      <w:numFmt w:val="bullet"/>
      <w:lvlText w:val="•"/>
      <w:lvlJc w:val="left"/>
      <w:pPr>
        <w:ind w:left="4571" w:hanging="124"/>
      </w:pPr>
      <w:rPr>
        <w:rFonts w:hint="default"/>
        <w:lang w:val="pt-PT" w:eastAsia="en-US" w:bidi="ar-SA"/>
      </w:rPr>
    </w:lvl>
    <w:lvl w:ilvl="5" w:tplc="2122877A">
      <w:numFmt w:val="bullet"/>
      <w:lvlText w:val="•"/>
      <w:lvlJc w:val="left"/>
      <w:pPr>
        <w:ind w:left="5474" w:hanging="124"/>
      </w:pPr>
      <w:rPr>
        <w:rFonts w:hint="default"/>
        <w:lang w:val="pt-PT" w:eastAsia="en-US" w:bidi="ar-SA"/>
      </w:rPr>
    </w:lvl>
    <w:lvl w:ilvl="6" w:tplc="C994B37A">
      <w:numFmt w:val="bullet"/>
      <w:lvlText w:val="•"/>
      <w:lvlJc w:val="left"/>
      <w:pPr>
        <w:ind w:left="6376" w:hanging="124"/>
      </w:pPr>
      <w:rPr>
        <w:rFonts w:hint="default"/>
        <w:lang w:val="pt-PT" w:eastAsia="en-US" w:bidi="ar-SA"/>
      </w:rPr>
    </w:lvl>
    <w:lvl w:ilvl="7" w:tplc="C3A06D82">
      <w:numFmt w:val="bullet"/>
      <w:lvlText w:val="•"/>
      <w:lvlJc w:val="left"/>
      <w:pPr>
        <w:ind w:left="7279" w:hanging="124"/>
      </w:pPr>
      <w:rPr>
        <w:rFonts w:hint="default"/>
        <w:lang w:val="pt-PT" w:eastAsia="en-US" w:bidi="ar-SA"/>
      </w:rPr>
    </w:lvl>
    <w:lvl w:ilvl="8" w:tplc="6BDEB9D8">
      <w:numFmt w:val="bullet"/>
      <w:lvlText w:val="•"/>
      <w:lvlJc w:val="left"/>
      <w:pPr>
        <w:ind w:left="8182" w:hanging="124"/>
      </w:pPr>
      <w:rPr>
        <w:rFonts w:hint="default"/>
        <w:lang w:val="pt-PT" w:eastAsia="en-US" w:bidi="ar-SA"/>
      </w:rPr>
    </w:lvl>
  </w:abstractNum>
  <w:abstractNum w:abstractNumId="15" w15:restartNumberingAfterBreak="0">
    <w:nsid w:val="6564753F"/>
    <w:multiLevelType w:val="multilevel"/>
    <w:tmpl w:val="824049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C3136AE"/>
    <w:multiLevelType w:val="multilevel"/>
    <w:tmpl w:val="F96C6A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7F972B2C"/>
    <w:multiLevelType w:val="hybridMultilevel"/>
    <w:tmpl w:val="037AA94A"/>
    <w:lvl w:ilvl="0" w:tplc="29BEC136">
      <w:start w:val="2"/>
      <w:numFmt w:val="lowerLetter"/>
      <w:lvlText w:val="%1)"/>
      <w:lvlJc w:val="left"/>
      <w:pPr>
        <w:ind w:left="1203" w:hanging="240"/>
        <w:jc w:val="left"/>
      </w:pPr>
      <w:rPr>
        <w:rFonts w:ascii="Calibri Light" w:eastAsia="Calibri Light" w:hAnsi="Calibri Light" w:cs="Calibri Light" w:hint="default"/>
        <w:spacing w:val="-1"/>
        <w:w w:val="100"/>
        <w:sz w:val="23"/>
        <w:szCs w:val="23"/>
        <w:lang w:val="pt-PT" w:eastAsia="en-US" w:bidi="ar-SA"/>
      </w:rPr>
    </w:lvl>
    <w:lvl w:ilvl="1" w:tplc="B03C9D1C">
      <w:numFmt w:val="bullet"/>
      <w:lvlText w:val="•"/>
      <w:lvlJc w:val="left"/>
      <w:pPr>
        <w:ind w:left="2078" w:hanging="240"/>
      </w:pPr>
      <w:rPr>
        <w:rFonts w:hint="default"/>
        <w:lang w:val="pt-PT" w:eastAsia="en-US" w:bidi="ar-SA"/>
      </w:rPr>
    </w:lvl>
    <w:lvl w:ilvl="2" w:tplc="B2D8A3DE">
      <w:numFmt w:val="bullet"/>
      <w:lvlText w:val="•"/>
      <w:lvlJc w:val="left"/>
      <w:pPr>
        <w:ind w:left="2957" w:hanging="240"/>
      </w:pPr>
      <w:rPr>
        <w:rFonts w:hint="default"/>
        <w:lang w:val="pt-PT" w:eastAsia="en-US" w:bidi="ar-SA"/>
      </w:rPr>
    </w:lvl>
    <w:lvl w:ilvl="3" w:tplc="E5F2F29E">
      <w:numFmt w:val="bullet"/>
      <w:lvlText w:val="•"/>
      <w:lvlJc w:val="left"/>
      <w:pPr>
        <w:ind w:left="3836" w:hanging="240"/>
      </w:pPr>
      <w:rPr>
        <w:rFonts w:hint="default"/>
        <w:lang w:val="pt-PT" w:eastAsia="en-US" w:bidi="ar-SA"/>
      </w:rPr>
    </w:lvl>
    <w:lvl w:ilvl="4" w:tplc="1A6621F6">
      <w:numFmt w:val="bullet"/>
      <w:lvlText w:val="•"/>
      <w:lvlJc w:val="left"/>
      <w:pPr>
        <w:ind w:left="4715" w:hanging="240"/>
      </w:pPr>
      <w:rPr>
        <w:rFonts w:hint="default"/>
        <w:lang w:val="pt-PT" w:eastAsia="en-US" w:bidi="ar-SA"/>
      </w:rPr>
    </w:lvl>
    <w:lvl w:ilvl="5" w:tplc="3A263D9A">
      <w:numFmt w:val="bullet"/>
      <w:lvlText w:val="•"/>
      <w:lvlJc w:val="left"/>
      <w:pPr>
        <w:ind w:left="5594" w:hanging="240"/>
      </w:pPr>
      <w:rPr>
        <w:rFonts w:hint="default"/>
        <w:lang w:val="pt-PT" w:eastAsia="en-US" w:bidi="ar-SA"/>
      </w:rPr>
    </w:lvl>
    <w:lvl w:ilvl="6" w:tplc="C20E2FB0">
      <w:numFmt w:val="bullet"/>
      <w:lvlText w:val="•"/>
      <w:lvlJc w:val="left"/>
      <w:pPr>
        <w:ind w:left="6472" w:hanging="240"/>
      </w:pPr>
      <w:rPr>
        <w:rFonts w:hint="default"/>
        <w:lang w:val="pt-PT" w:eastAsia="en-US" w:bidi="ar-SA"/>
      </w:rPr>
    </w:lvl>
    <w:lvl w:ilvl="7" w:tplc="B7B8A1D8">
      <w:numFmt w:val="bullet"/>
      <w:lvlText w:val="•"/>
      <w:lvlJc w:val="left"/>
      <w:pPr>
        <w:ind w:left="7351" w:hanging="240"/>
      </w:pPr>
      <w:rPr>
        <w:rFonts w:hint="default"/>
        <w:lang w:val="pt-PT" w:eastAsia="en-US" w:bidi="ar-SA"/>
      </w:rPr>
    </w:lvl>
    <w:lvl w:ilvl="8" w:tplc="5CC695A2">
      <w:numFmt w:val="bullet"/>
      <w:lvlText w:val="•"/>
      <w:lvlJc w:val="left"/>
      <w:pPr>
        <w:ind w:left="8230" w:hanging="240"/>
      </w:pPr>
      <w:rPr>
        <w:rFonts w:hint="default"/>
        <w:lang w:val="pt-PT" w:eastAsia="en-US" w:bidi="ar-SA"/>
      </w:rPr>
    </w:lvl>
  </w:abstractNum>
  <w:num w:numId="1" w16cid:durableId="353386073">
    <w:abstractNumId w:val="17"/>
  </w:num>
  <w:num w:numId="2" w16cid:durableId="880049049">
    <w:abstractNumId w:val="14"/>
  </w:num>
  <w:num w:numId="3" w16cid:durableId="315690399">
    <w:abstractNumId w:val="12"/>
  </w:num>
  <w:num w:numId="4" w16cid:durableId="1714186357">
    <w:abstractNumId w:val="13"/>
  </w:num>
  <w:num w:numId="5" w16cid:durableId="1795246576">
    <w:abstractNumId w:val="3"/>
  </w:num>
  <w:num w:numId="6" w16cid:durableId="1019233578">
    <w:abstractNumId w:val="7"/>
  </w:num>
  <w:num w:numId="7" w16cid:durableId="81802686">
    <w:abstractNumId w:val="4"/>
  </w:num>
  <w:num w:numId="8" w16cid:durableId="1742872643">
    <w:abstractNumId w:val="9"/>
  </w:num>
  <w:num w:numId="9" w16cid:durableId="1345672604">
    <w:abstractNumId w:val="5"/>
  </w:num>
  <w:num w:numId="10" w16cid:durableId="1575818005">
    <w:abstractNumId w:val="2"/>
  </w:num>
  <w:num w:numId="11" w16cid:durableId="1188910647">
    <w:abstractNumId w:val="11"/>
  </w:num>
  <w:num w:numId="12" w16cid:durableId="1315834237">
    <w:abstractNumId w:val="10"/>
  </w:num>
  <w:num w:numId="13" w16cid:durableId="512232317">
    <w:abstractNumId w:val="6"/>
  </w:num>
  <w:num w:numId="14" w16cid:durableId="437719282">
    <w:abstractNumId w:val="1"/>
  </w:num>
  <w:num w:numId="15" w16cid:durableId="1129544984">
    <w:abstractNumId w:val="15"/>
  </w:num>
  <w:num w:numId="16" w16cid:durableId="199900652">
    <w:abstractNumId w:val="16"/>
  </w:num>
  <w:num w:numId="17" w16cid:durableId="1637829756">
    <w:abstractNumId w:val="8"/>
  </w:num>
  <w:num w:numId="18" w16cid:durableId="14179457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5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lTrailSpace/>
    <w:shapeLayoutLikeWW8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832672"/>
    <w:rsid w:val="003F7E35"/>
    <w:rsid w:val="005722CB"/>
    <w:rsid w:val="00582234"/>
    <w:rsid w:val="00832672"/>
    <w:rsid w:val="0088565D"/>
    <w:rsid w:val="00D01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CF58D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 Light" w:eastAsia="Calibri Light" w:hAnsi="Calibri Light" w:cs="Calibri Light"/>
      <w:lang w:val="pt-PT"/>
    </w:rPr>
  </w:style>
  <w:style w:type="paragraph" w:styleId="Ttulo1">
    <w:name w:val="heading 1"/>
    <w:basedOn w:val="Normal"/>
    <w:uiPriority w:val="9"/>
    <w:qFormat/>
    <w:pPr>
      <w:ind w:left="20"/>
      <w:jc w:val="both"/>
      <w:outlineLvl w:val="0"/>
    </w:pPr>
    <w:rPr>
      <w:i/>
      <w:iCs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3"/>
      <w:szCs w:val="23"/>
    </w:rPr>
  </w:style>
  <w:style w:type="paragraph" w:styleId="PargrafodaLista">
    <w:name w:val="List Paragraph"/>
    <w:basedOn w:val="Normal"/>
    <w:uiPriority w:val="1"/>
    <w:qFormat/>
    <w:pPr>
      <w:ind w:left="963"/>
    </w:pPr>
  </w:style>
  <w:style w:type="paragraph" w:customStyle="1" w:styleId="TableParagraph">
    <w:name w:val="Table Paragraph"/>
    <w:basedOn w:val="Normal"/>
    <w:uiPriority w:val="1"/>
    <w:qFormat/>
  </w:style>
  <w:style w:type="paragraph" w:styleId="Cabealho">
    <w:name w:val="header"/>
    <w:basedOn w:val="Normal"/>
    <w:link w:val="CabealhoChar"/>
    <w:uiPriority w:val="99"/>
    <w:unhideWhenUsed/>
    <w:rsid w:val="005722CB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722CB"/>
    <w:rPr>
      <w:rFonts w:ascii="Calibri Light" w:eastAsia="Calibri Light" w:hAnsi="Calibri Light" w:cs="Calibri Light"/>
      <w:lang w:val="pt-PT"/>
    </w:rPr>
  </w:style>
  <w:style w:type="paragraph" w:styleId="Rodap">
    <w:name w:val="footer"/>
    <w:basedOn w:val="Normal"/>
    <w:link w:val="RodapChar"/>
    <w:uiPriority w:val="99"/>
    <w:unhideWhenUsed/>
    <w:rsid w:val="005722CB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722CB"/>
    <w:rPr>
      <w:rFonts w:ascii="Calibri Light" w:eastAsia="Calibri Light" w:hAnsi="Calibri Light" w:cs="Calibri Light"/>
      <w:lang w:val="pt-PT"/>
    </w:rPr>
  </w:style>
  <w:style w:type="paragraph" w:styleId="NormalWeb">
    <w:name w:val="Normal (Web)"/>
    <w:basedOn w:val="Normal"/>
    <w:uiPriority w:val="99"/>
    <w:semiHidden/>
    <w:unhideWhenUsed/>
    <w:rsid w:val="00D01D46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pt-BR" w:eastAsia="pt-BR"/>
    </w:rPr>
  </w:style>
  <w:style w:type="character" w:styleId="Forte">
    <w:name w:val="Strong"/>
    <w:basedOn w:val="Fontepargpadro"/>
    <w:uiPriority w:val="22"/>
    <w:qFormat/>
    <w:rsid w:val="00D01D4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Petição Adm local timbre brandão Ozores.dotx</Template>
  <TotalTime>1</TotalTime>
  <Pages>4</Pages>
  <Words>1104</Words>
  <Characters>5962</Characters>
  <Application>Microsoft Office Word</Application>
  <DocSecurity>0</DocSecurity>
  <Lines>49</Lines>
  <Paragraphs>14</Paragraphs>
  <ScaleCrop>false</ScaleCrop>
  <Company/>
  <LinksUpToDate>false</LinksUpToDate>
  <CharactersWithSpaces>7052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Bárbara Souza</dc:creator>
  <cp:lastModifiedBy>Gabriel Silva</cp:lastModifiedBy>
  <cp:revision>2</cp:revision>
  <dcterms:created xsi:type="dcterms:W3CDTF">2025-08-14T18:38:00Z</dcterms:created>
  <dcterms:modified xsi:type="dcterms:W3CDTF">2025-08-14T18:38:00Z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2024-09-18T00:00:00Z</vt:filetime>
  </property>
  <property fmtid="{D5CDD505-2E9C-101B-9397-08002B2CF9AE}" pid="3" name="Creator">
    <vt:lpwstr>Acrobat PDFMaker 11 para Word</vt:lpwstr>
  </property>
  <property fmtid="{D5CDD505-2E9C-101B-9397-08002B2CF9AE}" pid="4" name="LastSaved">
    <vt:filetime>2024-09-19T00:00:00Z</vt:filetime>
  </property>
</Properties>
</file>