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160" w:line="336" w:lineRule="auto"/>
        <w:jc w:val="center"/>
      </w:pPr>
      <w:r>
        <w:rPr>
          <w:rFonts w:ascii="Garamond" w:hAnsi="Garamond" w:eastAsia="Garamond" w:cs="Times New Roman"/>
          <w:b/>
          <w:bCs/>
          <w:color w:val="2D2D2D"/>
          <w:sz w:val="36"/>
          <w:szCs w:val="36"/>
          <w:spacing w:val="60"/>
        </w:rPr>
        <w:t>TERMO DE RECONHECIMENTO DE DÍVIDA</w:t>
      </w:r>
    </w:p>
    <w:p>
      <w:pPr>
        <w:spacing w:before="40" w:after="240" w:line="240" w:lineRule="auto"/>
        <w:jc w:val="center"/>
      </w:pPr>
      <w:r>
        <w:rPr>
          <w:rFonts w:ascii="Garamond" w:hAnsi="Garamond" w:eastAsia="Garamond" w:cs="Times New Roman"/>
          <w:color w:val="D9AB00"/>
          <w:sz w:val="20"/>
          <w:szCs w:val="20"/>
        </w:rPr>
        <w:t>— · — · —</w:t>
      </w:r>
    </w:p>
    <w:p>
      <w:pPr>
        <w:spacing w:after="140" w:line="360" w:lineRule="auto"/>
        <w:ind w:firstLine="709"/>
        <w:jc w:val="both"/>
      </w:pPr>
      <w:r>
        <w:rPr>
          <w:rFonts w:ascii="Garamond" w:hAnsi="Garamond" w:eastAsia="Garamond" w:cs="Times New Roman"/>
          <w:b/>
          <w:bCs/>
          <w:color w:val="2D2D2D"/>
          <w:sz w:val="22"/>
          <w:szCs w:val="22"/>
        </w:rPr>
        <w:t xml:space="preserve">Ref.: </w:t>
      </w:r>
      <w:r>
        <w:rPr>
          <w:rFonts w:ascii="Garamond" w:hAnsi="Garamond" w:eastAsia="Garamond" w:cs="Times New Roman"/>
          <w:color w:val="2D2D2D"/>
          <w:sz w:val="22"/>
          <w:szCs w:val="22"/>
        </w:rPr>
        <w:t>Secretaria de Estado de Saúde do Amazonas / SUSAM. Contratos administrativos identificados na pasta contratual da PRODAM.</w:t>
      </w:r>
    </w:p>
    <w:p>
      <w:pPr>
        <w:spacing w:after="140" w:line="360" w:lineRule="auto"/>
        <w:ind w:firstLine="709"/>
        <w:jc w:val="both"/>
      </w:pPr>
      <w:r>
        <w:rPr>
          <w:rFonts w:ascii="Garamond" w:hAnsi="Garamond" w:eastAsia="Garamond" w:cs="Times New Roman"/>
          <w:b/>
          <w:bCs/>
          <w:color w:val="2D2D2D"/>
          <w:sz w:val="22"/>
          <w:szCs w:val="22"/>
        </w:rPr>
        <w:t xml:space="preserve">Data-base do cálculo: </w:t>
      </w:r>
      <w:r>
        <w:rPr>
          <w:rFonts w:ascii="Garamond" w:hAnsi="Garamond" w:eastAsia="Garamond" w:cs="Times New Roman"/>
          <w:color w:val="2D2D2D"/>
          <w:sz w:val="22"/>
          <w:szCs w:val="22"/>
        </w:rPr>
        <w:t>12 de maio de 2026.</w:t>
      </w:r>
    </w:p>
    <w:p>
      <w:pPr>
        <w:spacing w:after="140" w:line="360" w:lineRule="auto"/>
        <w:ind w:firstLine="709"/>
        <w:jc w:val="both"/>
      </w:pPr>
      <w:r>
        <w:rPr>
          <w:rFonts w:ascii="Garamond" w:hAnsi="Garamond" w:eastAsia="Garamond" w:cs="Times New Roman"/>
          <w:b/>
          <w:bCs/>
          <w:color w:val="2D2D2D"/>
          <w:sz w:val="22"/>
          <w:szCs w:val="22"/>
        </w:rPr>
        <w:t xml:space="preserve">Instrumento extrajudicial fundado em: </w:t>
      </w:r>
      <w:r>
        <w:rPr>
          <w:rFonts w:ascii="Garamond" w:hAnsi="Garamond" w:eastAsia="Garamond" w:cs="Times New Roman"/>
          <w:color w:val="2D2D2D"/>
          <w:sz w:val="22"/>
          <w:szCs w:val="22"/>
        </w:rPr>
        <w:t>art. 784 do CPC (rol exemplificativo); art. 202, VI, do Código Civil; Súmula 339/STJ; REsp 793.969/RJ (Rel. p/ acórdão Min. José Delgado).</w:t>
      </w:r>
    </w:p>
    <w:p>
      <w:pPr>
        <w:pBdr>
          <w:left w:val="single" w:sz="24" w:space="8" w:color="D9AB00"/>
        </w:pBdr>
        <w:spacing w:before="200" w:after="80" w:line="240" w:lineRule="auto"/>
        <w:ind w:left="300" w:right="300"/>
        <w:jc w:val="left"/>
      </w:pPr>
      <w:r>
        <w:rPr>
          <w:rFonts w:ascii="Garamond" w:hAnsi="Garamond" w:eastAsia="Garamond" w:cs="Times New Roman"/>
          <w:b/>
          <w:bCs/>
          <w:smallCaps/>
          <w:color w:val="D9AB00"/>
          <w:sz w:val="20"/>
          <w:szCs w:val="20"/>
        </w:rPr>
        <w:t>EM SÍNTESE</w:t>
      </w:r>
    </w:p>
    <w:p>
      <w:pPr>
        <w:pBdr>
          <w:left w:val="single" w:sz="24" w:space="8" w:color="D9AB00"/>
        </w:pBdr>
        <w:spacing w:after="60" w:line="300" w:lineRule="auto"/>
        <w:ind w:left="300" w:right="300"/>
        <w:jc w:val="left"/>
      </w:pPr>
      <w:r>
        <w:rPr>
          <w:rFonts w:ascii="Garamond" w:hAnsi="Garamond" w:eastAsia="Garamond" w:cs="Times New Roman"/>
          <w:b/>
          <w:bCs/>
          <w:color w:val="2D2D2D"/>
          <w:sz w:val="22"/>
          <w:szCs w:val="22"/>
        </w:rPr>
        <w:t xml:space="preserve">• Devedora: </w:t>
      </w:r>
      <w:r>
        <w:rPr>
          <w:rFonts w:ascii="Garamond" w:hAnsi="Garamond" w:eastAsia="Garamond" w:cs="Times New Roman"/>
          <w:color w:val="2D2D2D"/>
          <w:sz w:val="22"/>
          <w:szCs w:val="22"/>
        </w:rPr>
        <w:t>SES/SUSAM (CNPJ 00.697.295/0001-05) — administração direta estadual</w:t>
      </w:r>
    </w:p>
    <w:p>
      <w:pPr>
        <w:pBdr>
          <w:left w:val="single" w:sz="24" w:space="8" w:color="D9AB00"/>
        </w:pBdr>
        <w:spacing w:after="60" w:line="300" w:lineRule="auto"/>
        <w:ind w:left="300" w:right="300"/>
        <w:jc w:val="left"/>
      </w:pPr>
      <w:r>
        <w:rPr>
          <w:rFonts w:ascii="Garamond" w:hAnsi="Garamond" w:eastAsia="Garamond" w:cs="Times New Roman"/>
          <w:b/>
          <w:bCs/>
          <w:color w:val="2D2D2D"/>
          <w:sz w:val="22"/>
          <w:szCs w:val="22"/>
        </w:rPr>
        <w:t xml:space="preserve">• Faturas: </w:t>
      </w:r>
      <w:r>
        <w:rPr>
          <w:rFonts w:ascii="Garamond" w:hAnsi="Garamond" w:eastAsia="Garamond" w:cs="Times New Roman"/>
          <w:color w:val="2D2D2D"/>
          <w:sz w:val="22"/>
          <w:szCs w:val="22"/>
        </w:rPr>
        <w:t>82 (oitenta e duas) — 3 Tier 1 + 79 Tier 2</w:t>
      </w:r>
    </w:p>
    <w:p>
      <w:pPr>
        <w:pBdr>
          <w:left w:val="single" w:sz="24" w:space="8" w:color="D9AB00"/>
        </w:pBdr>
        <w:spacing w:after="60" w:line="300" w:lineRule="auto"/>
        <w:ind w:left="300" w:right="300"/>
        <w:jc w:val="left"/>
      </w:pPr>
      <w:r>
        <w:rPr>
          <w:rFonts w:ascii="Garamond" w:hAnsi="Garamond" w:eastAsia="Garamond" w:cs="Times New Roman"/>
          <w:b/>
          <w:bCs/>
          <w:color w:val="2D2D2D"/>
          <w:sz w:val="22"/>
          <w:szCs w:val="22"/>
        </w:rPr>
        <w:t xml:space="preserve">• Principal bruto: </w:t>
      </w:r>
      <w:r>
        <w:rPr>
          <w:rFonts w:ascii="Garamond" w:hAnsi="Garamond" w:eastAsia="Garamond" w:cs="Times New Roman"/>
          <w:color w:val="2D2D2D"/>
          <w:sz w:val="22"/>
          <w:szCs w:val="22"/>
        </w:rPr>
        <w:t>R$ 4.783.356,52</w:t>
      </w:r>
    </w:p>
    <w:p>
      <w:pPr>
        <w:pBdr>
          <w:left w:val="single" w:sz="24" w:space="8" w:color="D9AB00"/>
        </w:pBdr>
        <w:spacing w:after="60" w:line="300" w:lineRule="auto"/>
        <w:ind w:left="300" w:right="300"/>
        <w:jc w:val="left"/>
      </w:pPr>
      <w:r>
        <w:rPr>
          <w:rFonts w:ascii="Garamond" w:hAnsi="Garamond" w:eastAsia="Garamond" w:cs="Times New Roman"/>
          <w:b/>
          <w:bCs/>
          <w:color w:val="2D2D2D"/>
          <w:sz w:val="22"/>
          <w:szCs w:val="22"/>
        </w:rPr>
        <w:t xml:space="preserve">• Total atualizado SELIC (BCB 4390, data-base 12/05/2026): </w:t>
      </w:r>
      <w:r>
        <w:rPr>
          <w:rFonts w:ascii="Garamond" w:hAnsi="Garamond" w:eastAsia="Garamond" w:cs="Times New Roman"/>
          <w:color w:val="2D2D2D"/>
          <w:sz w:val="22"/>
          <w:szCs w:val="22"/>
        </w:rPr>
        <w:t>R$ 8.230.061,40</w:t>
      </w:r>
    </w:p>
    <w:p>
      <w:pPr>
        <w:pBdr>
          <w:left w:val="single" w:sz="24" w:space="8" w:color="D9AB00"/>
        </w:pBdr>
        <w:spacing w:after="60" w:line="300" w:lineRule="auto"/>
        <w:ind w:left="300" w:right="300"/>
        <w:jc w:val="left"/>
      </w:pPr>
      <w:r>
        <w:rPr>
          <w:rFonts w:ascii="Garamond" w:hAnsi="Garamond" w:eastAsia="Garamond" w:cs="Times New Roman"/>
          <w:b/>
          <w:bCs/>
          <w:color w:val="2D2D2D"/>
          <w:sz w:val="22"/>
          <w:szCs w:val="22"/>
        </w:rPr>
        <w:t xml:space="preserve">• Prazo crítico: </w:t>
      </w:r>
      <w:r>
        <w:rPr>
          <w:rFonts w:ascii="Garamond" w:hAnsi="Garamond" w:eastAsia="Garamond" w:cs="Times New Roman"/>
          <w:color w:val="2D2D2D"/>
          <w:sz w:val="22"/>
          <w:szCs w:val="22"/>
        </w:rPr>
        <w:t>30/09/2026 — 3 faturas do contrato 74/2021 (D+141)</w:t>
      </w:r>
    </w:p>
    <w:p>
      <w:pPr>
        <w:spacing w:after="240"/>
        <w:jc w:val="left"/>
      </w:pPr>
    </w:p>
    <w:p>
      <w:pPr>
        <w:spacing w:before="300" w:after="140" w:line="336" w:lineRule="auto"/>
        <w:jc w:val="both"/>
      </w:pPr>
      <w:r>
        <w:rPr>
          <w:rFonts w:ascii="Garamond" w:hAnsi="Garamond" w:eastAsia="Garamond" w:cs="Times New Roman"/>
          <w:b/>
          <w:bCs/>
          <w:smallCaps/>
          <w:color w:val="2D2D2D"/>
          <w:sz w:val="22"/>
          <w:szCs w:val="22"/>
        </w:rPr>
        <w:t>I — Das Partes</w:t>
      </w:r>
    </w:p>
    <w:p>
      <w:pPr>
        <w:spacing w:after="140" w:line="360" w:lineRule="auto"/>
        <w:ind w:firstLine="709"/>
        <w:jc w:val="both"/>
      </w:pPr>
      <w:r>
        <w:rPr>
          <w:rFonts w:ascii="Garamond" w:hAnsi="Garamond" w:eastAsia="Garamond" w:cs="Times New Roman"/>
          <w:b/>
          <w:bCs/>
          <w:color w:val="2D2D2D"/>
          <w:sz w:val="22"/>
          <w:szCs w:val="22"/>
        </w:rPr>
        <w:t xml:space="preserve">CREDORA: PRODAM S.A. — Processamento de Dados Amazonas, </w:t>
      </w:r>
      <w:r>
        <w:rPr>
          <w:rFonts w:ascii="Garamond" w:hAnsi="Garamond" w:eastAsia="Garamond" w:cs="Times New Roman"/>
          <w:color w:val="2D2D2D"/>
          <w:sz w:val="22"/>
          <w:szCs w:val="22"/>
        </w:rPr>
        <w:t xml:space="preserve">sociedade de economia mista de capital estadual, inscrita no CNPJ sob o nº </w:t>
      </w:r>
      <w:r>
        <w:rPr>
          <w:rFonts w:ascii="Garamond" w:hAnsi="Garamond" w:eastAsia="Garamond" w:cs="Times New Roman"/>
          <w:b/>
          <w:bCs/>
          <w:color w:val="2D2D2D"/>
          <w:sz w:val="22"/>
          <w:szCs w:val="22"/>
        </w:rPr>
        <w:t>04.407.920/0001-80</w:t>
      </w:r>
      <w:r>
        <w:rPr>
          <w:rFonts w:ascii="Garamond" w:hAnsi="Garamond" w:eastAsia="Garamond" w:cs="Times New Roman"/>
          <w:color w:val="2D2D2D"/>
          <w:sz w:val="22"/>
          <w:szCs w:val="22"/>
        </w:rPr>
        <w:t>, com sede em Manaus/AM, regida pela Lei nº 13.303/2016 e estatuto social vigente.</w:t>
      </w:r>
    </w:p>
    <w:p>
      <w:pPr>
        <w:spacing w:after="140" w:line="360" w:lineRule="auto"/>
        <w:ind w:firstLine="709"/>
        <w:jc w:val="both"/>
      </w:pPr>
      <w:r>
        <w:rPr>
          <w:rFonts w:ascii="Garamond" w:hAnsi="Garamond" w:eastAsia="Garamond" w:cs="Times New Roman"/>
          <w:b/>
          <w:bCs/>
          <w:color w:val="2D2D2D"/>
          <w:sz w:val="22"/>
          <w:szCs w:val="22"/>
        </w:rPr>
        <w:t xml:space="preserve">DEVEDORA: Secretaria de Estado de Saúde do Amazonas / SUSAM, </w:t>
      </w:r>
      <w:r>
        <w:rPr>
          <w:rFonts w:ascii="Garamond" w:hAnsi="Garamond" w:eastAsia="Garamond" w:cs="Times New Roman"/>
          <w:color w:val="2D2D2D"/>
          <w:sz w:val="22"/>
          <w:szCs w:val="22"/>
        </w:rPr>
        <w:t xml:space="preserve">órgão da administração direta estadual do Amazonas, inscrita no CNPJ sob o nº </w:t>
      </w:r>
      <w:r>
        <w:rPr>
          <w:rFonts w:ascii="Garamond" w:hAnsi="Garamond" w:eastAsia="Garamond" w:cs="Times New Roman"/>
          <w:b/>
          <w:bCs/>
          <w:color w:val="2D2D2D"/>
          <w:sz w:val="22"/>
          <w:szCs w:val="22"/>
        </w:rPr>
        <w:t>00.697.295/0001-05</w:t>
      </w:r>
      <w:r>
        <w:rPr>
          <w:rFonts w:ascii="Garamond" w:hAnsi="Garamond" w:eastAsia="Garamond" w:cs="Times New Roman"/>
          <w:color w:val="2D2D2D"/>
          <w:sz w:val="22"/>
          <w:szCs w:val="22"/>
        </w:rPr>
        <w:t>, com sede em Manaus/AM, neste ato representada nos termos do art. 37, II, da Constituição Federal e do regimento interno da SES/AM.</w:t>
      </w:r>
    </w:p>
    <w:p>
      <w:pPr>
        <w:spacing w:after="140" w:line="360" w:lineRule="auto"/>
        <w:ind w:firstLine="709"/>
        <w:jc w:val="both"/>
      </w:pPr>
      <w:r>
        <w:rPr>
          <w:rFonts w:ascii="Garamond" w:hAnsi="Garamond" w:eastAsia="Garamond" w:cs="Times New Roman"/>
          <w:b/>
          <w:bCs/>
          <w:color w:val="2D2D2D"/>
          <w:sz w:val="22"/>
          <w:szCs w:val="22"/>
        </w:rPr>
        <w:t xml:space="preserve">INTERVENIENTE-MANDATÁRIO DA CREDORA: Brandão Ozores Advogados, </w:t>
      </w:r>
      <w:r>
        <w:rPr>
          <w:rFonts w:ascii="Garamond" w:hAnsi="Garamond" w:eastAsia="Garamond" w:cs="Times New Roman"/>
          <w:color w:val="2D2D2D"/>
          <w:sz w:val="22"/>
          <w:szCs w:val="22"/>
        </w:rPr>
        <w:t xml:space="preserve">sociedade de advogados regularmente inscrita na OAB/AM, por intermédio do advogado </w:t>
      </w:r>
      <w:r>
        <w:rPr>
          <w:rFonts w:ascii="Garamond" w:hAnsi="Garamond" w:eastAsia="Garamond" w:cs="Times New Roman"/>
          <w:b/>
          <w:bCs/>
          <w:color w:val="2D2D2D"/>
          <w:sz w:val="22"/>
          <w:szCs w:val="22"/>
        </w:rPr>
        <w:t>Gabriel Mar (OAB/AM 15.697)</w:t>
      </w:r>
      <w:r>
        <w:rPr>
          <w:rFonts w:ascii="Garamond" w:hAnsi="Garamond" w:eastAsia="Garamond" w:cs="Times New Roman"/>
          <w:color w:val="2D2D2D"/>
          <w:sz w:val="22"/>
          <w:szCs w:val="22"/>
        </w:rPr>
        <w:t>, na forma do Contrato de Inexigibilidade nº 002/2026 — PRODAM × Brandão Ozores Advogados, firmado em 2026 e em plena vigência.</w:t>
      </w:r>
    </w:p>
    <w:p>
      <w:pPr>
        <w:spacing w:before="300" w:after="140" w:line="336" w:lineRule="auto"/>
        <w:jc w:val="both"/>
      </w:pPr>
      <w:r>
        <w:rPr>
          <w:rFonts w:ascii="Garamond" w:hAnsi="Garamond" w:eastAsia="Garamond" w:cs="Times New Roman"/>
          <w:b/>
          <w:bCs/>
          <w:smallCaps/>
          <w:color w:val="2D2D2D"/>
          <w:sz w:val="22"/>
          <w:szCs w:val="22"/>
        </w:rPr>
        <w:t>II — Do Objeto</w:t>
      </w:r>
    </w:p>
    <w:p>
      <w:pPr>
        <w:spacing w:after="140" w:line="360" w:lineRule="auto"/>
        <w:ind w:firstLine="709"/>
        <w:jc w:val="both"/>
      </w:pPr>
      <w:r>
        <w:rPr>
          <w:rFonts w:ascii="Garamond" w:hAnsi="Garamond" w:eastAsia="Garamond" w:cs="Times New Roman"/>
          <w:color w:val="2D2D2D"/>
          <w:sz w:val="22"/>
          <w:szCs w:val="22"/>
        </w:rPr>
        <w:t>A DEVEDORA reconhece a existência, liquidez e exigibilidade de débito junto à CREDORA referente a serviços de tecnologia da informação efetivamente prestados, totalmente cumpridos e recebidos sem oposição administrativa, no montante, em valores nominais brutos, de R$ 4.783.356,52 (quatro milhões, setecentos e oitenta e três mil, trezentos e cinquenta e seis reais e cinquenta e dois centavos), correspondente a 82 (oitenta e duas) faturas emitidas no período de agosto/2014 a março/2026, vinculadas a 08 (oito) instrumentos contratuais administrativos mantidos entre as partes, discriminadas no Anexo I deste Termo (Memorial Preliminar de Cálculo SES/SUSAM, datado de 12/05/2026, parte integrante e inseparável deste instrumento).</w:t>
      </w:r>
    </w:p>
    <w:p>
      <w:pPr>
        <w:spacing w:before="300" w:after="140" w:line="336" w:lineRule="auto"/>
        <w:jc w:val="both"/>
      </w:pPr>
      <w:r>
        <w:rPr>
          <w:rFonts w:ascii="Garamond" w:hAnsi="Garamond" w:eastAsia="Garamond" w:cs="Times New Roman"/>
          <w:b/>
          <w:bCs/>
          <w:smallCaps/>
          <w:color w:val="2D2D2D"/>
          <w:sz w:val="22"/>
          <w:szCs w:val="22"/>
        </w:rPr>
        <w:t>III — Do Reconhecimento e dos Fundamentos Jurídicos</w:t>
      </w:r>
    </w:p>
    <w:p>
      <w:pPr>
        <w:spacing w:after="140" w:line="360" w:lineRule="auto"/>
        <w:ind w:firstLine="709"/>
        <w:jc w:val="both"/>
      </w:pPr>
      <w:r>
        <w:rPr>
          <w:rFonts w:ascii="Garamond" w:hAnsi="Garamond" w:eastAsia="Garamond" w:cs="Times New Roman"/>
          <w:color w:val="2D2D2D"/>
          <w:sz w:val="22"/>
          <w:szCs w:val="22"/>
        </w:rPr>
        <w:t>3.1. A DEVEDORA reconhece formalmente, neste ato, ser legítima credora dos serviços de TI prestados pela PRODAM nas faturas relacionadas no Anexo I, estando os respectivos débitos assim documentalmente compostos:</w:t>
      </w:r>
    </w:p>
    <w:p>
      <w:pPr>
        <w:spacing w:after="80" w:line="336" w:lineRule="auto"/>
        <w:ind w:left="720" w:hanging="360"/>
        <w:jc w:val="both"/>
      </w:pPr>
      <w:r>
        <w:rPr>
          <w:rFonts w:ascii="Garamond" w:hAnsi="Garamond" w:eastAsia="Garamond" w:cs="Times New Roman"/>
          <w:b/>
          <w:bCs/>
          <w:color w:val="2D2D2D"/>
          <w:sz w:val="22"/>
          <w:szCs w:val="22"/>
        </w:rPr>
        <w:t xml:space="preserve">a) </w:t>
      </w:r>
      <w:r>
        <w:rPr>
          <w:rFonts w:ascii="Garamond" w:hAnsi="Garamond" w:eastAsia="Garamond" w:cs="Times New Roman"/>
          <w:color w:val="2D2D2D"/>
          <w:sz w:val="22"/>
          <w:szCs w:val="22"/>
        </w:rPr>
        <w:t>Contrato administrativo válido e vigente entre as partes em cada caso, constando como documento público dotado de fé pública (REsp 487.913/MG, 1ª Turma, Min. José Delgado, j. 09/06/2003).</w:t>
      </w:r>
    </w:p>
    <w:p>
      <w:pPr>
        <w:spacing w:after="80" w:line="336" w:lineRule="auto"/>
        <w:ind w:left="720" w:hanging="360"/>
        <w:jc w:val="both"/>
      </w:pPr>
      <w:r>
        <w:rPr>
          <w:rFonts w:ascii="Garamond" w:hAnsi="Garamond" w:eastAsia="Garamond" w:cs="Times New Roman"/>
          <w:b/>
          <w:bCs/>
          <w:color w:val="2D2D2D"/>
          <w:sz w:val="22"/>
          <w:szCs w:val="22"/>
        </w:rPr>
        <w:t xml:space="preserve">b) </w:t>
      </w:r>
      <w:r>
        <w:rPr>
          <w:rFonts w:ascii="Garamond" w:hAnsi="Garamond" w:eastAsia="Garamond" w:cs="Times New Roman"/>
          <w:color w:val="2D2D2D"/>
          <w:sz w:val="22"/>
          <w:szCs w:val="22"/>
        </w:rPr>
        <w:t>Nota de Empenho (NE) emitida pela DEVEDORA, configurando ato inequívoco de reconhecimento orçamentário-administrativo da obrigação.</w:t>
      </w:r>
    </w:p>
    <w:p>
      <w:pPr>
        <w:spacing w:after="80" w:line="336" w:lineRule="auto"/>
        <w:ind w:left="720" w:hanging="360"/>
        <w:jc w:val="both"/>
      </w:pPr>
      <w:r>
        <w:rPr>
          <w:rFonts w:ascii="Garamond" w:hAnsi="Garamond" w:eastAsia="Garamond" w:cs="Times New Roman"/>
          <w:b/>
          <w:bCs/>
          <w:color w:val="2D2D2D"/>
          <w:sz w:val="22"/>
          <w:szCs w:val="22"/>
        </w:rPr>
        <w:t xml:space="preserve">c) </w:t>
      </w:r>
      <w:r>
        <w:rPr>
          <w:rFonts w:ascii="Garamond" w:hAnsi="Garamond" w:eastAsia="Garamond" w:cs="Times New Roman"/>
          <w:color w:val="2D2D2D"/>
          <w:sz w:val="22"/>
          <w:szCs w:val="22"/>
        </w:rPr>
        <w:t>Nota Fiscal (NF) emitida pela PRODAM em razão da execução contratual.</w:t>
      </w:r>
    </w:p>
    <w:p>
      <w:pPr>
        <w:spacing w:after="80" w:line="336" w:lineRule="auto"/>
        <w:ind w:left="720" w:hanging="360"/>
        <w:jc w:val="both"/>
      </w:pPr>
      <w:r>
        <w:rPr>
          <w:rFonts w:ascii="Garamond" w:hAnsi="Garamond" w:eastAsia="Garamond" w:cs="Times New Roman"/>
          <w:b/>
          <w:bCs/>
          <w:color w:val="2D2D2D"/>
          <w:sz w:val="22"/>
          <w:szCs w:val="22"/>
        </w:rPr>
        <w:t xml:space="preserve">d) </w:t>
      </w:r>
      <w:r>
        <w:rPr>
          <w:rFonts w:ascii="Garamond" w:hAnsi="Garamond" w:eastAsia="Garamond" w:cs="Times New Roman"/>
          <w:color w:val="2D2D2D"/>
          <w:sz w:val="22"/>
          <w:szCs w:val="22"/>
        </w:rPr>
        <w:t>Atesto/recebimento do serviço pela autoridade competente da DEVEDORA.</w:t>
      </w:r>
    </w:p>
    <w:p>
      <w:pPr>
        <w:spacing w:after="80" w:line="336" w:lineRule="auto"/>
        <w:ind w:left="720" w:hanging="360"/>
        <w:jc w:val="both"/>
      </w:pPr>
      <w:r>
        <w:rPr>
          <w:rFonts w:ascii="Garamond" w:hAnsi="Garamond" w:eastAsia="Garamond" w:cs="Times New Roman"/>
          <w:b/>
          <w:bCs/>
          <w:color w:val="2D2D2D"/>
          <w:sz w:val="22"/>
          <w:szCs w:val="22"/>
        </w:rPr>
        <w:t xml:space="preserve">e) </w:t>
      </w:r>
      <w:r>
        <w:rPr>
          <w:rFonts w:ascii="Garamond" w:hAnsi="Garamond" w:eastAsia="Garamond" w:cs="Times New Roman"/>
          <w:color w:val="2D2D2D"/>
          <w:sz w:val="22"/>
          <w:szCs w:val="22"/>
        </w:rPr>
        <w:t>Liquidação contábil (NL), quando aplicável.</w:t>
      </w:r>
    </w:p>
    <w:p>
      <w:pPr>
        <w:spacing w:after="140" w:line="360" w:lineRule="auto"/>
        <w:ind w:firstLine="709"/>
        <w:jc w:val="both"/>
      </w:pPr>
      <w:r>
        <w:rPr>
          <w:rFonts w:ascii="Garamond" w:hAnsi="Garamond" w:eastAsia="Garamond" w:cs="Times New Roman"/>
          <w:color w:val="2D2D2D"/>
          <w:sz w:val="22"/>
          <w:szCs w:val="22"/>
        </w:rPr>
        <w:t>3.2. A composição documental acima descrita constitui título executivo nos termos do REsp 793.969/RJ (1ª Turma do STJ, Rel. p/ acórdão Min. José Delgado, j. 21/02/2006) e do REsp 879.046/DF, dotada de liquidez, certeza e exigibilidade.</w:t>
      </w:r>
    </w:p>
    <w:p>
      <w:pPr>
        <w:spacing w:after="140" w:line="360" w:lineRule="auto"/>
        <w:ind w:firstLine="709"/>
        <w:jc w:val="both"/>
      </w:pPr>
      <w:r>
        <w:rPr>
          <w:rFonts w:ascii="Garamond" w:hAnsi="Garamond" w:eastAsia="Garamond" w:cs="Times New Roman"/>
          <w:color w:val="2D2D2D"/>
          <w:sz w:val="22"/>
          <w:szCs w:val="22"/>
        </w:rPr>
        <w:t>3.3. A DEVEDORA, por meio de Notas de Empenho expedidas em 2026 (relacionadas no Anexo I), praticou ato inequívoco de reconhecimento do débito anterior, nos exatos termos do art. 202, VI, do Código Civil, hipótese que interrompe a prescrição e a reinicia pela metade, na forma do art. 9º do Decreto nº 20.910/1932 (EREsp 1.725.030/SP, Corte Especial, Min. Raul Araújo, dez/2023).</w:t>
      </w:r>
    </w:p>
    <w:p>
      <w:pPr>
        <w:spacing w:after="140" w:line="360" w:lineRule="auto"/>
        <w:ind w:firstLine="709"/>
        <w:jc w:val="both"/>
      </w:pPr>
      <w:r>
        <w:rPr>
          <w:rFonts w:ascii="Garamond" w:hAnsi="Garamond" w:eastAsia="Garamond" w:cs="Times New Roman"/>
          <w:color w:val="2D2D2D"/>
          <w:sz w:val="22"/>
          <w:szCs w:val="22"/>
        </w:rPr>
        <w:t>3.4. As 79 (setenta e nove) faturas vinculadas a Notas de Empenho posteriores ao respectivo vencimento, listadas no Anexo I sob a marcação "Tier 2", têm seu prazo prescricional reaberto, com termo final variando entre setembro/2028 e outubro/2028.</w:t>
      </w:r>
    </w:p>
    <w:p>
      <w:pPr>
        <w:spacing w:after="140" w:line="360" w:lineRule="auto"/>
        <w:ind w:firstLine="709"/>
        <w:jc w:val="both"/>
      </w:pPr>
      <w:r>
        <w:rPr>
          <w:rFonts w:ascii="Garamond" w:hAnsi="Garamond" w:eastAsia="Garamond" w:cs="Times New Roman"/>
          <w:color w:val="2D2D2D"/>
          <w:sz w:val="22"/>
          <w:szCs w:val="22"/>
        </w:rPr>
        <w:t>3.5. As 3 (três) faturas restantes, vinculadas ao contrato 74/2021, listadas no Anexo I sob a marcação "Tier 1", encontram-se ainda dentro do prazo prescricional natural quinquenal (art. 206, §5º, I, do Código Civil), com termo final em 30/09/2026.</w:t>
      </w:r>
    </w:p>
    <w:p>
      <w:pPr>
        <w:spacing w:after="140" w:line="360" w:lineRule="auto"/>
        <w:ind w:firstLine="709"/>
        <w:jc w:val="both"/>
      </w:pPr>
      <w:r>
        <w:rPr>
          <w:rFonts w:ascii="Garamond" w:hAnsi="Garamond" w:eastAsia="Garamond" w:cs="Times New Roman"/>
          <w:color w:val="2D2D2D"/>
          <w:sz w:val="22"/>
          <w:szCs w:val="22"/>
        </w:rPr>
        <w:t>3.6. Não há, neste reconhecimento, qualquer renúncia ou disposição de prerrogativas indisponíveis da DEVEDORA, observada a vedação do Tema 1.109/STJ (1ª Seção, Min. Sérgio Kukina, j. 13/09/2023), aplicando-se aqui exclusivamente reconhecimento de obrigação líquida pretérita já documentalmente constituída.</w:t>
      </w:r>
    </w:p>
    <w:p>
      <w:pPr>
        <w:spacing w:before="300" w:after="140" w:line="336" w:lineRule="auto"/>
        <w:jc w:val="both"/>
      </w:pPr>
      <w:r>
        <w:rPr>
          <w:rFonts w:ascii="Garamond" w:hAnsi="Garamond" w:eastAsia="Garamond" w:cs="Times New Roman"/>
          <w:b/>
          <w:bCs/>
          <w:smallCaps/>
          <w:color w:val="2D2D2D"/>
          <w:sz w:val="22"/>
          <w:szCs w:val="22"/>
        </w:rPr>
        <w:t>IV — Do Valor Consolidado e da Atualização Monetária</w:t>
      </w:r>
    </w:p>
    <w:p>
      <w:pPr>
        <w:spacing w:after="140" w:line="360" w:lineRule="auto"/>
        <w:ind w:firstLine="709"/>
        <w:jc w:val="both"/>
      </w:pPr>
      <w:r>
        <w:rPr>
          <w:rFonts w:ascii="Garamond" w:hAnsi="Garamond" w:eastAsia="Garamond" w:cs="Times New Roman"/>
          <w:color w:val="2D2D2D"/>
          <w:sz w:val="22"/>
          <w:szCs w:val="22"/>
        </w:rPr>
        <w:t>4.1. Memorial Preliminar de Cálculo (Anexo I), à data-base de 12/05/2026:</w:t>
      </w:r>
    </w:p>
    <w:p>
      <w:pPr>
        <w:spacing w:after="60" w:line="300" w:lineRule="auto"/>
        <w:ind w:left="300" w:right="300"/>
        <w:jc w:val="both"/>
      </w:pPr>
      <w:r>
        <w:rPr>
          <w:rFonts w:ascii="Garamond" w:hAnsi="Garamond" w:eastAsia="Garamond" w:cs="Times New Roman"/>
          <w:color w:val="2D2D2D"/>
          <w:sz w:val="22"/>
          <w:szCs w:val="22"/>
        </w:rPr>
        <w:t>Principal nominal (82 faturas)</w:t>
      </w:r>
      <w:r>
        <w:rPr>
          <w:rFonts w:ascii="Garamond" w:hAnsi="Garamond" w:eastAsia="Garamond" w:cs="Times New Roman"/>
          <w:color w:val="2D2D2D"/>
          <w:sz w:val="22"/>
          <w:szCs w:val="22"/>
        </w:rPr>
        <w:t>	</w:t>
      </w:r>
      <w:r>
        <w:rPr>
          <w:rFonts w:ascii="Garamond" w:hAnsi="Garamond" w:eastAsia="Garamond" w:cs="Times New Roman"/>
          <w:color w:val="2D2D2D"/>
          <w:sz w:val="22"/>
          <w:szCs w:val="22"/>
        </w:rPr>
        <w:t>R$ 4.783.356,52</w:t>
      </w:r>
    </w:p>
    <w:p>
      <w:pPr>
        <w:spacing w:after="60" w:line="300" w:lineRule="auto"/>
        <w:ind w:left="300" w:right="300"/>
        <w:jc w:val="both"/>
      </w:pPr>
      <w:r>
        <w:rPr>
          <w:rFonts w:ascii="Garamond" w:hAnsi="Garamond" w:eastAsia="Garamond" w:cs="Times New Roman"/>
          <w:color w:val="2D2D2D"/>
          <w:sz w:val="22"/>
          <w:szCs w:val="22"/>
        </w:rPr>
        <w:t>Correção monetária + juros (SELIC série BCB 4390, fator médio 1,720562x)</w:t>
      </w:r>
      <w:r>
        <w:rPr>
          <w:rFonts w:ascii="Garamond" w:hAnsi="Garamond" w:eastAsia="Garamond" w:cs="Times New Roman"/>
          <w:color w:val="2D2D2D"/>
          <w:sz w:val="22"/>
          <w:szCs w:val="22"/>
        </w:rPr>
        <w:t>	</w:t>
      </w:r>
      <w:r>
        <w:rPr>
          <w:rFonts w:ascii="Garamond" w:hAnsi="Garamond" w:eastAsia="Garamond" w:cs="Times New Roman"/>
          <w:color w:val="2D2D2D"/>
          <w:sz w:val="22"/>
          <w:szCs w:val="22"/>
        </w:rPr>
        <w:t>R$ 3.446.704,88</w:t>
      </w:r>
    </w:p>
    <w:p>
      <w:pPr>
        <w:spacing w:after="60" w:line="300" w:lineRule="auto"/>
        <w:ind w:left="300" w:right="300"/>
        <w:jc w:val="both"/>
      </w:pPr>
      <w:r>
        <w:rPr>
          <w:rFonts w:ascii="Garamond" w:hAnsi="Garamond" w:eastAsia="Garamond" w:cs="Times New Roman"/>
          <w:color w:val="2D2D2D"/>
          <w:sz w:val="22"/>
          <w:szCs w:val="22"/>
        </w:rPr>
        <w:t>VALOR TOTAL ATUALIZADO</w:t>
      </w:r>
      <w:r>
        <w:rPr>
          <w:rFonts w:ascii="Garamond" w:hAnsi="Garamond" w:eastAsia="Garamond" w:cs="Times New Roman"/>
          <w:color w:val="2D2D2D"/>
          <w:sz w:val="22"/>
          <w:szCs w:val="22"/>
        </w:rPr>
        <w:t>	</w:t>
      </w:r>
      <w:r>
        <w:rPr>
          <w:rFonts w:ascii="Garamond" w:hAnsi="Garamond" w:eastAsia="Garamond" w:cs="Times New Roman"/>
          <w:b/>
          <w:bCs/>
          <w:color w:val="2D2D2D"/>
          <w:sz w:val="22"/>
          <w:szCs w:val="22"/>
        </w:rPr>
        <w:t>R$ 8.230.061,40</w:t>
      </w:r>
    </w:p>
    <w:p>
      <w:pPr>
        <w:spacing w:after="140" w:line="360" w:lineRule="auto"/>
        <w:ind w:firstLine="709"/>
        <w:jc w:val="both"/>
      </w:pPr>
      <w:r>
        <w:rPr>
          <w:rFonts w:ascii="Garamond" w:hAnsi="Garamond" w:eastAsia="Garamond" w:cs="Times New Roman"/>
          <w:color w:val="2D2D2D"/>
          <w:sz w:val="22"/>
          <w:szCs w:val="22"/>
        </w:rPr>
        <w:t>4.2. O critério único de atualização aplicado é a Taxa SELIC acumulada mensalmente, na forma do art. 3º da Emenda Constitucional nº 113/2021 e do art. 406 do Código Civil (redação dada pela Lei nº 14.905/2024), normas constitucional e legal cogentes para a Fazenda Pública. A SELIC engloba, simultaneamente, correção monetária e juros de mora, não havendo juros separados nem multa moratória contratual.</w:t>
      </w:r>
    </w:p>
    <w:p>
      <w:pPr>
        <w:spacing w:after="140" w:line="360" w:lineRule="auto"/>
        <w:ind w:firstLine="709"/>
        <w:jc w:val="both"/>
      </w:pPr>
      <w:r>
        <w:rPr>
          <w:rFonts w:ascii="Garamond" w:hAnsi="Garamond" w:eastAsia="Garamond" w:cs="Times New Roman"/>
          <w:color w:val="2D2D2D"/>
          <w:sz w:val="22"/>
          <w:szCs w:val="22"/>
        </w:rPr>
        <w:t>4.3. A memória de cálculo fatura-a-fatura, com identificação de NF, contrato, competência, vencimento, valor original, fator SELIC aplicado e valor atualizado, consta do Anexo I (arquivo MEMORIAL_PRELIMINAR_SES_SUSAM_2026-05-12.md e respectivo XLSX).</w:t>
      </w:r>
    </w:p>
    <w:p>
      <w:pPr>
        <w:spacing w:before="300" w:after="140" w:line="336" w:lineRule="auto"/>
        <w:jc w:val="both"/>
      </w:pPr>
      <w:r>
        <w:rPr>
          <w:rFonts w:ascii="Garamond" w:hAnsi="Garamond" w:eastAsia="Garamond" w:cs="Times New Roman"/>
          <w:b/>
          <w:bCs/>
          <w:smallCaps/>
          <w:color w:val="2D2D2D"/>
          <w:sz w:val="22"/>
          <w:szCs w:val="22"/>
        </w:rPr>
        <w:t>V — Da Forma de Cumprimento</w:t>
      </w:r>
    </w:p>
    <w:p>
      <w:pPr>
        <w:spacing w:after="140" w:line="360" w:lineRule="auto"/>
        <w:ind w:firstLine="709"/>
        <w:jc w:val="both"/>
      </w:pPr>
      <w:r>
        <w:rPr>
          <w:rFonts w:ascii="Garamond" w:hAnsi="Garamond" w:eastAsia="Garamond" w:cs="Times New Roman"/>
          <w:color w:val="2D2D2D"/>
          <w:sz w:val="22"/>
          <w:szCs w:val="22"/>
        </w:rPr>
        <w:t>5.1. Reconhecida a natureza de órgão da administração direta estadual da DEVEDORA, o adimplemento do débito reconhecido neste Termo observará estritamente o regime constitucional de precatórios e RPV, nos termos do art. 100 da Constituição Federal, da Lei nº 2.748/2002 do Estado do Amazonas (que disciplina o teto de RPV estadual em 20 salários-mínimos) e do Decreto Estadual nº 53.464/2026 vigente.</w:t>
      </w:r>
    </w:p>
    <w:p>
      <w:pPr>
        <w:spacing w:after="140" w:line="360" w:lineRule="auto"/>
        <w:ind w:firstLine="709"/>
        <w:jc w:val="both"/>
      </w:pPr>
      <w:r>
        <w:rPr>
          <w:rFonts w:ascii="Garamond" w:hAnsi="Garamond" w:eastAsia="Garamond" w:cs="Times New Roman"/>
          <w:color w:val="2D2D2D"/>
          <w:sz w:val="22"/>
          <w:szCs w:val="22"/>
        </w:rPr>
        <w:t>5.2. A DEVEDORA compromete-se, no prazo de 30 (trinta) dias a contar da assinatura deste Termo, a:</w:t>
      </w:r>
    </w:p>
    <w:p>
      <w:pPr>
        <w:spacing w:after="80" w:line="336" w:lineRule="auto"/>
        <w:ind w:left="720" w:hanging="360"/>
        <w:jc w:val="both"/>
      </w:pPr>
      <w:r>
        <w:rPr>
          <w:rFonts w:ascii="Garamond" w:hAnsi="Garamond" w:eastAsia="Garamond" w:cs="Times New Roman"/>
          <w:b/>
          <w:bCs/>
          <w:color w:val="2D2D2D"/>
          <w:sz w:val="22"/>
          <w:szCs w:val="22"/>
        </w:rPr>
        <w:t xml:space="preserve">a) </w:t>
      </w:r>
      <w:r>
        <w:rPr>
          <w:rFonts w:ascii="Garamond" w:hAnsi="Garamond" w:eastAsia="Garamond" w:cs="Times New Roman"/>
          <w:color w:val="2D2D2D"/>
          <w:sz w:val="22"/>
          <w:szCs w:val="22"/>
        </w:rPr>
        <w:t>emitir Nota de Empenho complementar para a totalidade do débito atualizado nominado na Cláusula Quarta, observado o regime orçamentário aplicável (Lei nº 4.320/1964 e LDO/LOA vigentes);</w:t>
      </w:r>
    </w:p>
    <w:p>
      <w:pPr>
        <w:spacing w:after="80" w:line="336" w:lineRule="auto"/>
        <w:ind w:left="720" w:hanging="360"/>
        <w:jc w:val="both"/>
      </w:pPr>
      <w:r>
        <w:rPr>
          <w:rFonts w:ascii="Garamond" w:hAnsi="Garamond" w:eastAsia="Garamond" w:cs="Times New Roman"/>
          <w:b/>
          <w:bCs/>
          <w:color w:val="2D2D2D"/>
          <w:sz w:val="22"/>
          <w:szCs w:val="22"/>
        </w:rPr>
        <w:t xml:space="preserve">b) </w:t>
      </w:r>
      <w:r>
        <w:rPr>
          <w:rFonts w:ascii="Garamond" w:hAnsi="Garamond" w:eastAsia="Garamond" w:cs="Times New Roman"/>
          <w:color w:val="2D2D2D"/>
          <w:sz w:val="22"/>
          <w:szCs w:val="22"/>
        </w:rPr>
        <w:t>incluir formalmente o débito na próxima lista de pagamento da SES/SUSAM, observando o critério cronológico de apresentação e a ordem constitucional;</w:t>
      </w:r>
    </w:p>
    <w:p>
      <w:pPr>
        <w:spacing w:after="80" w:line="336" w:lineRule="auto"/>
        <w:ind w:left="720" w:hanging="360"/>
        <w:jc w:val="both"/>
      </w:pPr>
      <w:r>
        <w:rPr>
          <w:rFonts w:ascii="Garamond" w:hAnsi="Garamond" w:eastAsia="Garamond" w:cs="Times New Roman"/>
          <w:b/>
          <w:bCs/>
          <w:color w:val="2D2D2D"/>
          <w:sz w:val="22"/>
          <w:szCs w:val="22"/>
        </w:rPr>
        <w:t xml:space="preserve">c) </w:t>
      </w:r>
      <w:r>
        <w:rPr>
          <w:rFonts w:ascii="Garamond" w:hAnsi="Garamond" w:eastAsia="Garamond" w:cs="Times New Roman"/>
          <w:color w:val="2D2D2D"/>
          <w:sz w:val="22"/>
          <w:szCs w:val="22"/>
        </w:rPr>
        <w:t>comunicar à PRODAM o número da Nota de Empenho complementar e a previsão de pagamento, por ofício formal endereçado à sede da CREDORA e ao escritório-mandatário.</w:t>
      </w:r>
    </w:p>
    <w:p>
      <w:pPr>
        <w:spacing w:after="140" w:line="360" w:lineRule="auto"/>
        <w:ind w:firstLine="709"/>
        <w:jc w:val="both"/>
      </w:pPr>
      <w:r>
        <w:rPr>
          <w:rFonts w:ascii="Garamond" w:hAnsi="Garamond" w:eastAsia="Garamond" w:cs="Times New Roman"/>
          <w:color w:val="2D2D2D"/>
          <w:sz w:val="22"/>
          <w:szCs w:val="22"/>
        </w:rPr>
        <w:t>5.3. O presente Termo não constitui parcelamento ou novação, mantendo-se incólumes a natureza, a liquidez, a certeza e a exigibilidade do débito original em cada uma das 82 faturas relacionadas.</w:t>
      </w:r>
    </w:p>
    <w:p>
      <w:pPr>
        <w:spacing w:before="300" w:after="140" w:line="336" w:lineRule="auto"/>
        <w:jc w:val="both"/>
      </w:pPr>
      <w:r>
        <w:rPr>
          <w:rFonts w:ascii="Garamond" w:hAnsi="Garamond" w:eastAsia="Garamond" w:cs="Times New Roman"/>
          <w:b/>
          <w:bCs/>
          <w:smallCaps/>
          <w:color w:val="2D2D2D"/>
          <w:sz w:val="22"/>
          <w:szCs w:val="22"/>
        </w:rPr>
        <w:t>VI — Do Inadimplemento e da Tutela Jurisdicional</w:t>
      </w:r>
    </w:p>
    <w:p>
      <w:pPr>
        <w:spacing w:after="140" w:line="360" w:lineRule="auto"/>
        <w:ind w:firstLine="709"/>
        <w:jc w:val="both"/>
      </w:pPr>
      <w:r>
        <w:rPr>
          <w:rFonts w:ascii="Garamond" w:hAnsi="Garamond" w:eastAsia="Garamond" w:cs="Times New Roman"/>
          <w:color w:val="2D2D2D"/>
          <w:sz w:val="22"/>
          <w:szCs w:val="22"/>
        </w:rPr>
        <w:t>6.1. O descumprimento dos compromissos assumidos na Cláusula Quinta, ou a ausência de manifestação formal da DEVEDORA no prazo de 30 (trinta) dias a contar da assinatura, autorizará a CREDORA a promover, independentemente de nova notificação, a tutela jurisdicional adequada, em especial:</w:t>
      </w:r>
    </w:p>
    <w:p>
      <w:pPr>
        <w:spacing w:after="80" w:line="336" w:lineRule="auto"/>
        <w:ind w:left="720" w:hanging="360"/>
        <w:jc w:val="both"/>
      </w:pPr>
      <w:r>
        <w:rPr>
          <w:rFonts w:ascii="Garamond" w:hAnsi="Garamond" w:eastAsia="Garamond" w:cs="Times New Roman"/>
          <w:b/>
          <w:bCs/>
          <w:color w:val="2D2D2D"/>
          <w:sz w:val="22"/>
          <w:szCs w:val="22"/>
        </w:rPr>
        <w:t xml:space="preserve">a) </w:t>
      </w:r>
      <w:r>
        <w:rPr>
          <w:rFonts w:ascii="Garamond" w:hAnsi="Garamond" w:eastAsia="Garamond" w:cs="Times New Roman"/>
          <w:color w:val="2D2D2D"/>
          <w:sz w:val="22"/>
          <w:szCs w:val="22"/>
        </w:rPr>
        <w:t>Ação Monitória contra a Fazenda Pública (Súmula 339/STJ), tendo este Termo, em conjunto com os documentos do Anexo I, como prova escrita suficiente;</w:t>
      </w:r>
    </w:p>
    <w:p>
      <w:pPr>
        <w:spacing w:after="80" w:line="336" w:lineRule="auto"/>
        <w:ind w:left="720" w:hanging="360"/>
        <w:jc w:val="both"/>
      </w:pPr>
      <w:r>
        <w:rPr>
          <w:rFonts w:ascii="Garamond" w:hAnsi="Garamond" w:eastAsia="Garamond" w:cs="Times New Roman"/>
          <w:b/>
          <w:bCs/>
          <w:color w:val="2D2D2D"/>
          <w:sz w:val="22"/>
          <w:szCs w:val="22"/>
        </w:rPr>
        <w:t xml:space="preserve">b) </w:t>
      </w:r>
      <w:r>
        <w:rPr>
          <w:rFonts w:ascii="Garamond" w:hAnsi="Garamond" w:eastAsia="Garamond" w:cs="Times New Roman"/>
          <w:color w:val="2D2D2D"/>
          <w:sz w:val="22"/>
          <w:szCs w:val="22"/>
        </w:rPr>
        <w:t>Ação de Cobrança com pedido de expedição de RPV/Precatório, observado o regime do art. 100 da Constituição Federal;</w:t>
      </w:r>
    </w:p>
    <w:p>
      <w:pPr>
        <w:spacing w:after="80" w:line="336" w:lineRule="auto"/>
        <w:ind w:left="720" w:hanging="360"/>
        <w:jc w:val="both"/>
      </w:pPr>
      <w:r>
        <w:rPr>
          <w:rFonts w:ascii="Garamond" w:hAnsi="Garamond" w:eastAsia="Garamond" w:cs="Times New Roman"/>
          <w:b/>
          <w:bCs/>
          <w:color w:val="2D2D2D"/>
          <w:sz w:val="22"/>
          <w:szCs w:val="22"/>
        </w:rPr>
        <w:t xml:space="preserve">c) </w:t>
      </w:r>
      <w:r>
        <w:rPr>
          <w:rFonts w:ascii="Garamond" w:hAnsi="Garamond" w:eastAsia="Garamond" w:cs="Times New Roman"/>
          <w:color w:val="2D2D2D"/>
          <w:sz w:val="22"/>
          <w:szCs w:val="22"/>
        </w:rPr>
        <w:t>Protesto extrajudicial das certidões de dívida correspondentes, observada a possibilidade jurídica (ADI 5.135/DF, Plenário STF, Min. Roberto Barroso, j. 09/11/2016, e REsp 1.686.659/SP).</w:t>
      </w:r>
    </w:p>
    <w:p>
      <w:pPr>
        <w:spacing w:after="140" w:line="360" w:lineRule="auto"/>
        <w:ind w:firstLine="709"/>
        <w:jc w:val="both"/>
      </w:pPr>
      <w:r>
        <w:rPr>
          <w:rFonts w:ascii="Garamond" w:hAnsi="Garamond" w:eastAsia="Garamond" w:cs="Times New Roman"/>
          <w:color w:val="2D2D2D"/>
          <w:sz w:val="22"/>
          <w:szCs w:val="22"/>
        </w:rPr>
        <w:t>6.2. A interrupção prescricional aqui formalizada observará a regra da unicidade, na forma do REsp 1.963.067/MS (3ª Turma, Min. Nancy Andrighi, j. 05/04/2022).</w:t>
      </w:r>
    </w:p>
    <w:p>
      <w:pPr>
        <w:spacing w:before="300" w:after="140" w:line="336" w:lineRule="auto"/>
        <w:jc w:val="both"/>
      </w:pPr>
      <w:r>
        <w:rPr>
          <w:rFonts w:ascii="Garamond" w:hAnsi="Garamond" w:eastAsia="Garamond" w:cs="Times New Roman"/>
          <w:b/>
          <w:bCs/>
          <w:smallCaps/>
          <w:color w:val="2D2D2D"/>
          <w:sz w:val="22"/>
          <w:szCs w:val="22"/>
        </w:rPr>
        <w:t>VII — Do Foro</w:t>
      </w:r>
    </w:p>
    <w:p>
      <w:pPr>
        <w:spacing w:after="140" w:line="360" w:lineRule="auto"/>
        <w:ind w:firstLine="709"/>
        <w:jc w:val="both"/>
      </w:pPr>
      <w:r>
        <w:rPr>
          <w:rFonts w:ascii="Garamond" w:hAnsi="Garamond" w:eastAsia="Garamond" w:cs="Times New Roman"/>
          <w:color w:val="2D2D2D"/>
          <w:sz w:val="22"/>
          <w:szCs w:val="22"/>
        </w:rPr>
        <w:t>Fica eleito o foro da Vara da Fazenda Pública Estadual da Comarca de Manaus/AM para dirimir quaisquer controvérsias decorrentes do presente Termo, observada a competência absoluta em razão da pessoa (art. 109, CF, a contrario sensu).</w:t>
      </w:r>
    </w:p>
    <w:p>
      <w:pPr>
        <w:spacing w:before="300" w:after="140" w:line="336" w:lineRule="auto"/>
        <w:jc w:val="both"/>
      </w:pPr>
      <w:r>
        <w:rPr>
          <w:rFonts w:ascii="Garamond" w:hAnsi="Garamond" w:eastAsia="Garamond" w:cs="Times New Roman"/>
          <w:b/>
          <w:bCs/>
          <w:smallCaps/>
          <w:color w:val="2D2D2D"/>
          <w:sz w:val="22"/>
          <w:szCs w:val="22"/>
        </w:rPr>
        <w:t>VIII — Das Disposições Finais</w:t>
      </w:r>
    </w:p>
    <w:p>
      <w:pPr>
        <w:spacing w:after="140" w:line="360" w:lineRule="auto"/>
        <w:ind w:firstLine="709"/>
        <w:jc w:val="both"/>
      </w:pPr>
      <w:r>
        <w:rPr>
          <w:rFonts w:ascii="Garamond" w:hAnsi="Garamond" w:eastAsia="Garamond" w:cs="Times New Roman"/>
          <w:color w:val="2D2D2D"/>
          <w:sz w:val="22"/>
          <w:szCs w:val="22"/>
        </w:rPr>
        <w:t>8.1. O presente Termo é firmado em caráter irrevogável e irretratável, obrigando as partes, seus sucessores e cessionários a qualquer título.</w:t>
      </w:r>
    </w:p>
    <w:p>
      <w:pPr>
        <w:spacing w:after="140" w:line="360" w:lineRule="auto"/>
        <w:ind w:firstLine="709"/>
        <w:jc w:val="both"/>
      </w:pPr>
      <w:r>
        <w:rPr>
          <w:rFonts w:ascii="Garamond" w:hAnsi="Garamond" w:eastAsia="Garamond" w:cs="Times New Roman"/>
          <w:color w:val="2D2D2D"/>
          <w:sz w:val="22"/>
          <w:szCs w:val="22"/>
        </w:rPr>
        <w:t>8.2. Qualquer alteração deste instrumento será formalizada exclusivamente por aditivo escrito, firmado pelos representantes legais das partes.</w:t>
      </w:r>
    </w:p>
    <w:p>
      <w:pPr>
        <w:spacing w:after="140" w:line="360" w:lineRule="auto"/>
        <w:ind w:firstLine="709"/>
        <w:jc w:val="both"/>
      </w:pPr>
      <w:r>
        <w:rPr>
          <w:rFonts w:ascii="Garamond" w:hAnsi="Garamond" w:eastAsia="Garamond" w:cs="Times New Roman"/>
          <w:color w:val="2D2D2D"/>
          <w:sz w:val="22"/>
          <w:szCs w:val="22"/>
        </w:rPr>
        <w:t>8.3. As partes declaram a perfeição, validade e eficácia deste Termo, dispensada a presença de testemunhas, em atenção à força probatória dos documentos públicos da DEVEDORA (REsp 487.913/MG).</w:t>
      </w:r>
    </w:p>
    <w:p>
      <w:pPr>
        <w:spacing w:after="140" w:line="360" w:lineRule="auto"/>
        <w:ind w:firstLine="709"/>
        <w:jc w:val="both"/>
      </w:pPr>
      <w:r>
        <w:rPr>
          <w:rFonts w:ascii="Garamond" w:hAnsi="Garamond" w:eastAsia="Garamond" w:cs="Times New Roman"/>
          <w:color w:val="2D2D2D"/>
          <w:sz w:val="22"/>
          <w:szCs w:val="22"/>
        </w:rPr>
        <w:t>8.4. Este instrumento e seu Anexo I integram um único documento jurídico indissociável.</w:t>
      </w:r>
    </w:p>
    <w:p>
      <w:pPr>
        <w:spacing w:after="140" w:line="360" w:lineRule="auto"/>
        <w:ind w:firstLine="709"/>
        <w:jc w:val="both"/>
      </w:pPr>
      <w:r>
        <w:rPr>
          <w:rFonts w:ascii="Garamond" w:hAnsi="Garamond" w:eastAsia="Garamond" w:cs="Times New Roman"/>
          <w:color w:val="2D2D2D"/>
          <w:sz w:val="22"/>
          <w:szCs w:val="22"/>
        </w:rPr>
        <w:t>Manaus/AM, 12 de maio de 2026.</w:t>
      </w:r>
    </w:p>
    <w:p>
      <w:pPr>
        <w:spacing w:before="40" w:after="240" w:line="240" w:lineRule="auto"/>
        <w:jc w:val="center"/>
      </w:pPr>
      <w:r>
        <w:rPr>
          <w:rFonts w:ascii="Garamond" w:hAnsi="Garamond" w:eastAsia="Garamond" w:cs="Times New Roman"/>
          <w:color w:val="D9AB00"/>
          <w:sz w:val="20"/>
          <w:szCs w:val="20"/>
        </w:rPr>
        <w:t>— · — · —</w:t>
      </w:r>
    </w:p>
    <w:p>
      <w:pPr>
        <w:spacing w:after="140" w:line="360" w:lineRule="auto"/>
        <w:ind w:firstLine="709"/>
        <w:jc w:val="both"/>
      </w:pPr>
      <w:r>
        <w:rPr>
          <w:rFonts w:ascii="Garamond" w:hAnsi="Garamond" w:eastAsia="Garamond" w:cs="Times New Roman"/>
          <w:b/>
          <w:bCs/>
          <w:color w:val="2D2D2D"/>
          <w:sz w:val="22"/>
          <w:szCs w:val="22"/>
        </w:rPr>
        <w:t>CREDORA:</w:t>
      </w:r>
    </w:p>
    <w:p>
      <w:pPr>
        <w:pBdr>
          <w:bottom w:val="single" w:sz="8" w:space="1" w:color="2D2D2D"/>
        </w:pBdr>
        <w:spacing w:before="120" w:after="40" w:line="240" w:lineRule="auto"/>
        <w:ind w:left="2400" w:right="2400"/>
        <w:jc w:val="center"/>
      </w:pPr>
    </w:p>
    <w:p>
      <w:pPr>
        <w:spacing w:after="20" w:line="240" w:lineRule="auto"/>
        <w:jc w:val="center"/>
      </w:pPr>
      <w:r>
        <w:rPr>
          <w:rFonts w:ascii="Garamond" w:hAnsi="Garamond" w:eastAsia="Garamond" w:cs="Times New Roman"/>
          <w:b/>
          <w:bCs/>
          <w:color w:val="2D2D2D"/>
          <w:sz w:val="22"/>
          <w:szCs w:val="22"/>
        </w:rPr>
        <w:t>PRODAM S.A. — PROCESSAMENTO DE DADOS AMAZONAS</w:t>
      </w:r>
    </w:p>
    <w:p>
      <w:pPr>
        <w:spacing w:after="200" w:line="240" w:lineRule="auto"/>
        <w:jc w:val="center"/>
      </w:pPr>
      <w:r>
        <w:rPr>
          <w:rFonts w:ascii="Garamond" w:hAnsi="Garamond" w:eastAsia="Garamond" w:cs="Times New Roman"/>
          <w:color w:val="2D2D2D"/>
          <w:sz w:val="18"/>
          <w:szCs w:val="18"/>
        </w:rPr>
        <w:t>CNPJ 04.407.920/0001-80   ·   Representante legal: [a preencher]</w:t>
      </w:r>
    </w:p>
    <w:p>
      <w:pPr>
        <w:spacing w:after="140" w:line="360" w:lineRule="auto"/>
        <w:ind w:firstLine="709"/>
        <w:jc w:val="both"/>
      </w:pPr>
      <w:r>
        <w:rPr>
          <w:rFonts w:ascii="Garamond" w:hAnsi="Garamond" w:eastAsia="Garamond" w:cs="Times New Roman"/>
          <w:b/>
          <w:bCs/>
          <w:color w:val="2D2D2D"/>
          <w:sz w:val="22"/>
          <w:szCs w:val="22"/>
        </w:rPr>
        <w:t>DEVEDORA:</w:t>
      </w:r>
    </w:p>
    <w:p>
      <w:pPr>
        <w:pBdr>
          <w:bottom w:val="single" w:sz="8" w:space="1" w:color="2D2D2D"/>
        </w:pBdr>
        <w:spacing w:before="120" w:after="40" w:line="240" w:lineRule="auto"/>
        <w:ind w:left="2400" w:right="2400"/>
        <w:jc w:val="center"/>
      </w:pPr>
    </w:p>
    <w:p>
      <w:pPr>
        <w:spacing w:after="20" w:line="240" w:lineRule="auto"/>
        <w:jc w:val="center"/>
      </w:pPr>
      <w:r>
        <w:rPr>
          <w:rFonts w:ascii="Garamond" w:hAnsi="Garamond" w:eastAsia="Garamond" w:cs="Times New Roman"/>
          <w:b/>
          <w:bCs/>
          <w:color w:val="2D2D2D"/>
          <w:sz w:val="22"/>
          <w:szCs w:val="22"/>
        </w:rPr>
        <w:t>SECRETARIA DE ESTADO DE SAÚDE DO AMAZONAS / SUSAM</w:t>
      </w:r>
    </w:p>
    <w:p>
      <w:pPr>
        <w:spacing w:after="200" w:line="240" w:lineRule="auto"/>
        <w:jc w:val="center"/>
      </w:pPr>
      <w:r>
        <w:rPr>
          <w:rFonts w:ascii="Garamond" w:hAnsi="Garamond" w:eastAsia="Garamond" w:cs="Times New Roman"/>
          <w:color w:val="2D2D2D"/>
          <w:sz w:val="18"/>
          <w:szCs w:val="18"/>
        </w:rPr>
        <w:t>CNPJ 00.697.295/0001-05   ·   Representante legal: [a preencher]</w:t>
      </w:r>
    </w:p>
    <w:p>
      <w:pPr>
        <w:spacing w:after="140" w:line="360" w:lineRule="auto"/>
        <w:ind w:firstLine="709"/>
        <w:jc w:val="both"/>
      </w:pPr>
      <w:r>
        <w:rPr>
          <w:rFonts w:ascii="Garamond" w:hAnsi="Garamond" w:eastAsia="Garamond" w:cs="Times New Roman"/>
          <w:b/>
          <w:bCs/>
          <w:color w:val="2D2D2D"/>
          <w:sz w:val="22"/>
          <w:szCs w:val="22"/>
        </w:rPr>
        <w:t>INTERVENIENTE-MANDATÁRIO DA CREDORA:</w:t>
      </w:r>
    </w:p>
    <w:p>
      <w:pPr>
        <w:pBdr>
          <w:bottom w:val="single" w:sz="8" w:space="1" w:color="2D2D2D"/>
        </w:pBdr>
        <w:spacing w:before="120" w:after="40" w:line="240" w:lineRule="auto"/>
        <w:ind w:left="2400" w:right="2400"/>
        <w:jc w:val="center"/>
      </w:pPr>
    </w:p>
    <w:p>
      <w:pPr>
        <w:spacing w:after="20" w:line="240" w:lineRule="auto"/>
        <w:jc w:val="center"/>
      </w:pPr>
      <w:r>
        <w:rPr>
          <w:rFonts w:ascii="Garamond" w:hAnsi="Garamond" w:eastAsia="Garamond" w:cs="Times New Roman"/>
          <w:b/>
          <w:bCs/>
          <w:color w:val="2D2D2D"/>
          <w:sz w:val="22"/>
          <w:szCs w:val="22"/>
        </w:rPr>
        <w:t>GABRIEL MAR</w:t>
      </w:r>
    </w:p>
    <w:p>
      <w:pPr>
        <w:spacing w:after="20" w:line="240" w:lineRule="auto"/>
        <w:jc w:val="center"/>
      </w:pPr>
      <w:r>
        <w:rPr>
          <w:rFonts w:ascii="Garamond" w:hAnsi="Garamond" w:eastAsia="Garamond" w:cs="Times New Roman"/>
          <w:color w:val="2D2D2D"/>
          <w:sz w:val="18"/>
          <w:szCs w:val="18"/>
        </w:rPr>
        <w:t>OAB/AM 15.697   ·   Contrato de Inexigibilidade nº 002/2026</w:t>
      </w:r>
    </w:p>
    <w:p>
      <w:pPr>
        <w:spacing w:before="80" w:after="200" w:line="240" w:lineRule="auto"/>
        <w:jc w:val="center"/>
      </w:pPr>
      <w:r>
        <w:rPr>
          <w:rFonts w:ascii="Garamond" w:hAnsi="Garamond" w:eastAsia="Garamond" w:cs="Times New Roman"/>
          <w:b/>
          <w:bCs/>
          <w:smallCaps/>
          <w:color w:val="D9AB00"/>
          <w:sz w:val="20"/>
          <w:szCs w:val="20"/>
        </w:rPr>
        <w:t>Brandão Ozores Advogados</w:t>
      </w:r>
    </w:p>
    <w:p>
      <w:pPr>
        <w:spacing w:before="40" w:after="240" w:line="240" w:lineRule="auto"/>
        <w:jc w:val="center"/>
      </w:pPr>
      <w:r>
        <w:rPr>
          <w:rFonts w:ascii="Garamond" w:hAnsi="Garamond" w:eastAsia="Garamond" w:cs="Times New Roman"/>
          <w:color w:val="D9AB00"/>
          <w:sz w:val="20"/>
          <w:szCs w:val="20"/>
        </w:rPr>
        <w:t>— · — · —</w:t>
      </w:r>
    </w:p>
    <w:p>
      <w:pPr>
        <w:spacing w:before="300" w:after="140" w:line="336" w:lineRule="auto"/>
        <w:jc w:val="both"/>
      </w:pPr>
      <w:r>
        <w:rPr>
          <w:rFonts w:ascii="Garamond" w:hAnsi="Garamond" w:eastAsia="Garamond" w:cs="Times New Roman"/>
          <w:b/>
          <w:bCs/>
          <w:smallCaps/>
          <w:color w:val="2D2D2D"/>
          <w:sz w:val="22"/>
          <w:szCs w:val="22"/>
        </w:rPr>
        <w:t>Anexo I — Memorial Preliminar de Cálculo</w:t>
      </w:r>
    </w:p>
    <w:p>
      <w:pPr>
        <w:spacing w:after="140" w:line="360" w:lineRule="auto"/>
        <w:ind w:firstLine="709"/>
        <w:jc w:val="both"/>
      </w:pPr>
      <w:r>
        <w:rPr>
          <w:rFonts w:ascii="Garamond" w:hAnsi="Garamond" w:eastAsia="Garamond" w:cs="Times New Roman"/>
          <w:color w:val="2D2D2D"/>
          <w:sz w:val="22"/>
          <w:szCs w:val="22"/>
        </w:rPr>
        <w:t>Constitui Anexo I deste Termo, com força de parte integrante e inseparável, o arquivo MEMORIAL_PRELIMINAR_SES_SUSAM_2026-05-12.md e sua versão XLSX, elaborados em 12/05/2026, contendo: fundamentação da atualização monetária (EC 113/2021, art. 406 CC, REsp 793.969/RJ); universo de 82 faturas com discriminação por tier (3 Tier 1 + 79 Tier 2); tabela fatura-a-fatura com NF, contrato, competência, vencimento, valor bruto, fator SELIC e valor atualizado; totais consolidados e fator SELIC médio ponderado; declaração de caráter preliminar do memorial (não pericial).</w:t>
      </w:r>
    </w:p>
    <w:sectPr w:rsidR="00D01D46" w:rsidRPr="00D01D46">
      <w:headerReference w:type="even" r:id="rId7"/>
      <w:headerReference w:type="default" r:id="rId8"/>
      <w:footerReference w:type="even" r:id="rId9"/>
      <w:footerReference w:type="default" r:id="rId10"/>
      <w:headerReference w:type="first" r:id="rId11"/>
      <w:footerReference w:type="first" r:id="rId12"/>
      <w:pgSz w:w="11910" w:h="16840"/>
      <w:pgMar w:top="3460" w:right="900" w:bottom="1400" w:left="1020" w:header="659" w:footer="1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17FCB" w14:textId="77777777" w:rsidR="007D0AAB" w:rsidRDefault="007D0AAB">
      <w:r>
        <w:separator/>
      </w:r>
    </w:p>
  </w:endnote>
  <w:endnote w:type="continuationSeparator" w:id="0">
    <w:p w14:paraId="13331249" w14:textId="77777777" w:rsidR="007D0AAB" w:rsidRDefault="007D0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D239" w14:textId="77777777" w:rsidR="009456ED" w:rsidRDefault="009456ED">
    <w:pPr>
      <w:pStyle w:val="Rodap"/>
    </w:pPr>
  </w:p>
</w:ftr>
</file>

<file path=word/footer2.xml><?xml version="1.0" encoding="utf-8"?>
<w:ftr xmlns:w="http://schemas.openxmlformats.org/wordprocessingml/2006/main" xmlns:r="http://schemas.openxmlformats.org/officeDocument/2006/relationships">
  <w:p>
    <w:pPr>
      <w:pBdr>
        <w:top w:val="single" w:sz="12" w:space="1" w:color="D9AB00"/>
      </w:pBdr>
      <w:spacing w:before="0" w:after="0"/>
    </w:pPr>
  </w:p>
  <w:p>
    <w:pPr>
      <w:spacing w:before="120" w:after="0"/>
      <w:jc w:val="center"/>
    </w:pPr>
    <w:r>
      <w:rPr>
        <w:rFonts w:ascii="Garamond" w:hAnsi="Garamond" w:eastAsia="Garamond" w:cs="Times New Roman"/>
        <w:i/>
        <w:iCs/>
        <w:color w:val="D9AB00"/>
        <w:sz w:val="18"/>
        <w:szCs w:val="18"/>
      </w:rPr>
      <w:t xml:space="preserve">— </w:t>
    </w:r>
    <w:r>
      <w:rPr>
        <w:rFonts w:ascii="Garamond" w:hAnsi="Garamond" w:eastAsia="Garamond" w:cs="Times New Roman"/>
        <w:i/>
        <w:iCs/>
        <w:color w:val="D9AB00"/>
        <w:sz w:val="18"/>
        <w:szCs w:val="18"/>
      </w:rPr>
      <w:fldChar w:fldCharType="begin"/>
    </w:r>
    <w:r>
      <w:rPr>
        <w:rFonts w:ascii="Garamond" w:hAnsi="Garamond" w:eastAsia="Garamond" w:cs="Times New Roman"/>
        <w:i/>
        <w:iCs/>
        <w:color w:val="D9AB00"/>
        <w:sz w:val="18"/>
        <w:szCs w:val="18"/>
      </w:rPr>
      <w:instrText xml:space="preserve"> PAGE </w:instrText>
    </w:r>
    <w:r>
      <w:rPr>
        <w:rFonts w:ascii="Garamond" w:hAnsi="Garamond" w:eastAsia="Garamond" w:cs="Times New Roman"/>
        <w:i/>
        <w:iCs/>
        <w:color w:val="D9AB00"/>
        <w:sz w:val="18"/>
        <w:szCs w:val="18"/>
      </w:rPr>
      <w:fldChar w:fldCharType="end"/>
    </w:r>
    <w:r>
      <w:rPr>
        <w:rFonts w:ascii="Garamond" w:hAnsi="Garamond" w:eastAsia="Garamond" w:cs="Times New Roman"/>
        <w:i/>
        <w:iCs/>
        <w:color w:val="D9AB00"/>
        <w:sz w:val="18"/>
        <w:szCs w:val="18"/>
      </w:rPr>
      <w:t xml:space="preserve"> · </w:t>
    </w:r>
    <w:r>
      <w:rPr>
        <w:rFonts w:ascii="Garamond" w:hAnsi="Garamond" w:eastAsia="Garamond" w:cs="Times New Roman"/>
        <w:i/>
        <w:iCs/>
        <w:color w:val="D9AB00"/>
        <w:sz w:val="18"/>
        <w:szCs w:val="18"/>
      </w:rPr>
      <w:fldChar w:fldCharType="begin"/>
    </w:r>
    <w:r>
      <w:rPr>
        <w:rFonts w:ascii="Garamond" w:hAnsi="Garamond" w:eastAsia="Garamond" w:cs="Times New Roman"/>
        <w:i/>
        <w:iCs/>
        <w:color w:val="D9AB00"/>
        <w:sz w:val="18"/>
        <w:szCs w:val="18"/>
      </w:rPr>
      <w:instrText xml:space="preserve"> NUMPAGES </w:instrText>
    </w:r>
    <w:r>
      <w:rPr>
        <w:rFonts w:ascii="Garamond" w:hAnsi="Garamond" w:eastAsia="Garamond" w:cs="Times New Roman"/>
        <w:i/>
        <w:iCs/>
        <w:color w:val="D9AB00"/>
        <w:sz w:val="18"/>
        <w:szCs w:val="18"/>
      </w:rPr>
      <w:fldChar w:fldCharType="end"/>
    </w:r>
    <w:r>
      <w:rPr>
        <w:rFonts w:ascii="Garamond" w:hAnsi="Garamond" w:eastAsia="Garamond" w:cs="Times New Roman"/>
        <w:i/>
        <w:iCs/>
        <w:color w:val="D9AB00"/>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B39AE" w14:textId="77777777" w:rsidR="009456ED" w:rsidRDefault="009456E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B811E" w14:textId="77777777" w:rsidR="007D0AAB" w:rsidRDefault="007D0AAB">
      <w:r>
        <w:separator/>
      </w:r>
    </w:p>
  </w:footnote>
  <w:footnote w:type="continuationSeparator" w:id="0">
    <w:p w14:paraId="02B5486C" w14:textId="77777777" w:rsidR="007D0AAB" w:rsidRDefault="007D0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D0B8" w14:textId="77777777" w:rsidR="009456ED" w:rsidRDefault="009456E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6E4D" w14:textId="77777777" w:rsidR="00832672" w:rsidRDefault="007D0AAB">
    <w:pPr>
      <w:pStyle w:val="Corpodetexto"/>
      <w:spacing w:line="14" w:lineRule="auto"/>
      <w:rPr>
        <w:sz w:val="20"/>
      </w:rPr>
    </w:pPr>
    <w:r>
      <w:rPr>
        <w:noProof/>
      </w:rPr>
      <w:drawing>
        <wp:anchor distT="0" distB="0" distL="0" distR="0" simplePos="0" relativeHeight="486897664" behindDoc="1" locked="0" layoutInCell="1" allowOverlap="1" wp14:anchorId="087D03E0" wp14:editId="4EAAC2A5">
          <wp:simplePos x="0" y="0"/>
          <wp:positionH relativeFrom="page">
            <wp:posOffset>712848</wp:posOffset>
          </wp:positionH>
          <wp:positionV relativeFrom="page">
            <wp:posOffset>418474</wp:posOffset>
          </wp:positionV>
          <wp:extent cx="6104905" cy="774239"/>
          <wp:effectExtent l="0" t="0" r="0" b="0"/>
          <wp:wrapNone/>
          <wp:docPr id="6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jpeg"/>
                  <pic:cNvPicPr/>
                </pic:nvPicPr>
                <pic:blipFill>
                  <a:blip r:embed="rId1" cstate="print"/>
                  <a:stretch>
                    <a:fillRect/>
                  </a:stretch>
                </pic:blipFill>
                <pic:spPr>
                  <a:xfrm>
                    <a:off x="0" y="0"/>
                    <a:ext cx="6104905" cy="77423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068F" w14:textId="77777777" w:rsidR="009456ED" w:rsidRDefault="009456E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5A2A"/>
    <w:multiLevelType w:val="multilevel"/>
    <w:tmpl w:val="72EA16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A589B"/>
    <w:multiLevelType w:val="hybridMultilevel"/>
    <w:tmpl w:val="13888D68"/>
    <w:lvl w:ilvl="0" w:tplc="6D4C6F62">
      <w:start w:val="1"/>
      <w:numFmt w:val="decimal"/>
      <w:lvlText w:val="%1."/>
      <w:lvlJc w:val="left"/>
      <w:pPr>
        <w:ind w:left="1811" w:hanging="424"/>
        <w:jc w:val="left"/>
      </w:pPr>
      <w:rPr>
        <w:rFonts w:ascii="Calibri Light" w:eastAsia="Calibri Light" w:hAnsi="Calibri Light" w:cs="Calibri Light" w:hint="default"/>
        <w:spacing w:val="-2"/>
        <w:w w:val="100"/>
        <w:sz w:val="23"/>
        <w:szCs w:val="23"/>
        <w:lang w:val="pt-PT" w:eastAsia="en-US" w:bidi="ar-SA"/>
      </w:rPr>
    </w:lvl>
    <w:lvl w:ilvl="1" w:tplc="813E8F98">
      <w:numFmt w:val="bullet"/>
      <w:lvlText w:val="•"/>
      <w:lvlJc w:val="left"/>
      <w:pPr>
        <w:ind w:left="2636" w:hanging="424"/>
      </w:pPr>
      <w:rPr>
        <w:rFonts w:hint="default"/>
        <w:lang w:val="pt-PT" w:eastAsia="en-US" w:bidi="ar-SA"/>
      </w:rPr>
    </w:lvl>
    <w:lvl w:ilvl="2" w:tplc="3CD2C16A">
      <w:numFmt w:val="bullet"/>
      <w:lvlText w:val="•"/>
      <w:lvlJc w:val="left"/>
      <w:pPr>
        <w:ind w:left="3453" w:hanging="424"/>
      </w:pPr>
      <w:rPr>
        <w:rFonts w:hint="default"/>
        <w:lang w:val="pt-PT" w:eastAsia="en-US" w:bidi="ar-SA"/>
      </w:rPr>
    </w:lvl>
    <w:lvl w:ilvl="3" w:tplc="9134E9BE">
      <w:numFmt w:val="bullet"/>
      <w:lvlText w:val="•"/>
      <w:lvlJc w:val="left"/>
      <w:pPr>
        <w:ind w:left="4270" w:hanging="424"/>
      </w:pPr>
      <w:rPr>
        <w:rFonts w:hint="default"/>
        <w:lang w:val="pt-PT" w:eastAsia="en-US" w:bidi="ar-SA"/>
      </w:rPr>
    </w:lvl>
    <w:lvl w:ilvl="4" w:tplc="CCEAD4E8">
      <w:numFmt w:val="bullet"/>
      <w:lvlText w:val="•"/>
      <w:lvlJc w:val="left"/>
      <w:pPr>
        <w:ind w:left="5087" w:hanging="424"/>
      </w:pPr>
      <w:rPr>
        <w:rFonts w:hint="default"/>
        <w:lang w:val="pt-PT" w:eastAsia="en-US" w:bidi="ar-SA"/>
      </w:rPr>
    </w:lvl>
    <w:lvl w:ilvl="5" w:tplc="5008AD0A">
      <w:numFmt w:val="bullet"/>
      <w:lvlText w:val="•"/>
      <w:lvlJc w:val="left"/>
      <w:pPr>
        <w:ind w:left="5904" w:hanging="424"/>
      </w:pPr>
      <w:rPr>
        <w:rFonts w:hint="default"/>
        <w:lang w:val="pt-PT" w:eastAsia="en-US" w:bidi="ar-SA"/>
      </w:rPr>
    </w:lvl>
    <w:lvl w:ilvl="6" w:tplc="FD38F668">
      <w:numFmt w:val="bullet"/>
      <w:lvlText w:val="•"/>
      <w:lvlJc w:val="left"/>
      <w:pPr>
        <w:ind w:left="6720" w:hanging="424"/>
      </w:pPr>
      <w:rPr>
        <w:rFonts w:hint="default"/>
        <w:lang w:val="pt-PT" w:eastAsia="en-US" w:bidi="ar-SA"/>
      </w:rPr>
    </w:lvl>
    <w:lvl w:ilvl="7" w:tplc="8042DF0A">
      <w:numFmt w:val="bullet"/>
      <w:lvlText w:val="•"/>
      <w:lvlJc w:val="left"/>
      <w:pPr>
        <w:ind w:left="7537" w:hanging="424"/>
      </w:pPr>
      <w:rPr>
        <w:rFonts w:hint="default"/>
        <w:lang w:val="pt-PT" w:eastAsia="en-US" w:bidi="ar-SA"/>
      </w:rPr>
    </w:lvl>
    <w:lvl w:ilvl="8" w:tplc="15605A0E">
      <w:numFmt w:val="bullet"/>
      <w:lvlText w:val="•"/>
      <w:lvlJc w:val="left"/>
      <w:pPr>
        <w:ind w:left="8354" w:hanging="424"/>
      </w:pPr>
      <w:rPr>
        <w:rFonts w:hint="default"/>
        <w:lang w:val="pt-PT" w:eastAsia="en-US" w:bidi="ar-SA"/>
      </w:rPr>
    </w:lvl>
  </w:abstractNum>
  <w:abstractNum w:abstractNumId="2" w15:restartNumberingAfterBreak="0">
    <w:nsid w:val="0B3C3B2B"/>
    <w:multiLevelType w:val="hybridMultilevel"/>
    <w:tmpl w:val="206C2144"/>
    <w:lvl w:ilvl="0" w:tplc="ACC47DB8">
      <w:numFmt w:val="bullet"/>
      <w:lvlText w:val="-"/>
      <w:lvlJc w:val="left"/>
      <w:pPr>
        <w:ind w:left="963" w:hanging="124"/>
      </w:pPr>
      <w:rPr>
        <w:rFonts w:ascii="Calibri Light" w:eastAsia="Calibri Light" w:hAnsi="Calibri Light" w:cs="Calibri Light" w:hint="default"/>
        <w:w w:val="100"/>
        <w:sz w:val="23"/>
        <w:szCs w:val="23"/>
        <w:lang w:val="pt-PT" w:eastAsia="en-US" w:bidi="ar-SA"/>
      </w:rPr>
    </w:lvl>
    <w:lvl w:ilvl="1" w:tplc="869EC6E6">
      <w:numFmt w:val="bullet"/>
      <w:lvlText w:val="•"/>
      <w:lvlJc w:val="left"/>
      <w:pPr>
        <w:ind w:left="1862" w:hanging="124"/>
      </w:pPr>
      <w:rPr>
        <w:rFonts w:hint="default"/>
        <w:lang w:val="pt-PT" w:eastAsia="en-US" w:bidi="ar-SA"/>
      </w:rPr>
    </w:lvl>
    <w:lvl w:ilvl="2" w:tplc="DAE4FD5A">
      <w:numFmt w:val="bullet"/>
      <w:lvlText w:val="•"/>
      <w:lvlJc w:val="left"/>
      <w:pPr>
        <w:ind w:left="2765" w:hanging="124"/>
      </w:pPr>
      <w:rPr>
        <w:rFonts w:hint="default"/>
        <w:lang w:val="pt-PT" w:eastAsia="en-US" w:bidi="ar-SA"/>
      </w:rPr>
    </w:lvl>
    <w:lvl w:ilvl="3" w:tplc="0FD83710">
      <w:numFmt w:val="bullet"/>
      <w:lvlText w:val="•"/>
      <w:lvlJc w:val="left"/>
      <w:pPr>
        <w:ind w:left="3668" w:hanging="124"/>
      </w:pPr>
      <w:rPr>
        <w:rFonts w:hint="default"/>
        <w:lang w:val="pt-PT" w:eastAsia="en-US" w:bidi="ar-SA"/>
      </w:rPr>
    </w:lvl>
    <w:lvl w:ilvl="4" w:tplc="D8E8E97E">
      <w:numFmt w:val="bullet"/>
      <w:lvlText w:val="•"/>
      <w:lvlJc w:val="left"/>
      <w:pPr>
        <w:ind w:left="4571" w:hanging="124"/>
      </w:pPr>
      <w:rPr>
        <w:rFonts w:hint="default"/>
        <w:lang w:val="pt-PT" w:eastAsia="en-US" w:bidi="ar-SA"/>
      </w:rPr>
    </w:lvl>
    <w:lvl w:ilvl="5" w:tplc="48F4104C">
      <w:numFmt w:val="bullet"/>
      <w:lvlText w:val="•"/>
      <w:lvlJc w:val="left"/>
      <w:pPr>
        <w:ind w:left="5474" w:hanging="124"/>
      </w:pPr>
      <w:rPr>
        <w:rFonts w:hint="default"/>
        <w:lang w:val="pt-PT" w:eastAsia="en-US" w:bidi="ar-SA"/>
      </w:rPr>
    </w:lvl>
    <w:lvl w:ilvl="6" w:tplc="A4302D36">
      <w:numFmt w:val="bullet"/>
      <w:lvlText w:val="•"/>
      <w:lvlJc w:val="left"/>
      <w:pPr>
        <w:ind w:left="6376" w:hanging="124"/>
      </w:pPr>
      <w:rPr>
        <w:rFonts w:hint="default"/>
        <w:lang w:val="pt-PT" w:eastAsia="en-US" w:bidi="ar-SA"/>
      </w:rPr>
    </w:lvl>
    <w:lvl w:ilvl="7" w:tplc="D090AA72">
      <w:numFmt w:val="bullet"/>
      <w:lvlText w:val="•"/>
      <w:lvlJc w:val="left"/>
      <w:pPr>
        <w:ind w:left="7279" w:hanging="124"/>
      </w:pPr>
      <w:rPr>
        <w:rFonts w:hint="default"/>
        <w:lang w:val="pt-PT" w:eastAsia="en-US" w:bidi="ar-SA"/>
      </w:rPr>
    </w:lvl>
    <w:lvl w:ilvl="8" w:tplc="6DE8FAD2">
      <w:numFmt w:val="bullet"/>
      <w:lvlText w:val="•"/>
      <w:lvlJc w:val="left"/>
      <w:pPr>
        <w:ind w:left="8182" w:hanging="124"/>
      </w:pPr>
      <w:rPr>
        <w:rFonts w:hint="default"/>
        <w:lang w:val="pt-PT" w:eastAsia="en-US" w:bidi="ar-SA"/>
      </w:rPr>
    </w:lvl>
  </w:abstractNum>
  <w:abstractNum w:abstractNumId="3" w15:restartNumberingAfterBreak="0">
    <w:nsid w:val="175D10F4"/>
    <w:multiLevelType w:val="hybridMultilevel"/>
    <w:tmpl w:val="09426C74"/>
    <w:lvl w:ilvl="0" w:tplc="3C8C2BF2">
      <w:start w:val="1"/>
      <w:numFmt w:val="decimal"/>
      <w:lvlText w:val="%1."/>
      <w:lvlJc w:val="left"/>
      <w:pPr>
        <w:ind w:left="1812" w:hanging="224"/>
        <w:jc w:val="left"/>
      </w:pPr>
      <w:rPr>
        <w:rFonts w:ascii="Calibri Light" w:eastAsia="Calibri Light" w:hAnsi="Calibri Light" w:cs="Calibri Light" w:hint="default"/>
        <w:spacing w:val="-2"/>
        <w:w w:val="100"/>
        <w:sz w:val="23"/>
        <w:szCs w:val="23"/>
        <w:lang w:val="pt-PT" w:eastAsia="en-US" w:bidi="ar-SA"/>
      </w:rPr>
    </w:lvl>
    <w:lvl w:ilvl="1" w:tplc="4C384F64">
      <w:numFmt w:val="bullet"/>
      <w:lvlText w:val="•"/>
      <w:lvlJc w:val="left"/>
      <w:pPr>
        <w:ind w:left="2636" w:hanging="224"/>
      </w:pPr>
      <w:rPr>
        <w:rFonts w:hint="default"/>
        <w:lang w:val="pt-PT" w:eastAsia="en-US" w:bidi="ar-SA"/>
      </w:rPr>
    </w:lvl>
    <w:lvl w:ilvl="2" w:tplc="0C0C7C76">
      <w:numFmt w:val="bullet"/>
      <w:lvlText w:val="•"/>
      <w:lvlJc w:val="left"/>
      <w:pPr>
        <w:ind w:left="3453" w:hanging="224"/>
      </w:pPr>
      <w:rPr>
        <w:rFonts w:hint="default"/>
        <w:lang w:val="pt-PT" w:eastAsia="en-US" w:bidi="ar-SA"/>
      </w:rPr>
    </w:lvl>
    <w:lvl w:ilvl="3" w:tplc="280E27DC">
      <w:numFmt w:val="bullet"/>
      <w:lvlText w:val="•"/>
      <w:lvlJc w:val="left"/>
      <w:pPr>
        <w:ind w:left="4270" w:hanging="224"/>
      </w:pPr>
      <w:rPr>
        <w:rFonts w:hint="default"/>
        <w:lang w:val="pt-PT" w:eastAsia="en-US" w:bidi="ar-SA"/>
      </w:rPr>
    </w:lvl>
    <w:lvl w:ilvl="4" w:tplc="A060E94E">
      <w:numFmt w:val="bullet"/>
      <w:lvlText w:val="•"/>
      <w:lvlJc w:val="left"/>
      <w:pPr>
        <w:ind w:left="5087" w:hanging="224"/>
      </w:pPr>
      <w:rPr>
        <w:rFonts w:hint="default"/>
        <w:lang w:val="pt-PT" w:eastAsia="en-US" w:bidi="ar-SA"/>
      </w:rPr>
    </w:lvl>
    <w:lvl w:ilvl="5" w:tplc="1C147C60">
      <w:numFmt w:val="bullet"/>
      <w:lvlText w:val="•"/>
      <w:lvlJc w:val="left"/>
      <w:pPr>
        <w:ind w:left="5904" w:hanging="224"/>
      </w:pPr>
      <w:rPr>
        <w:rFonts w:hint="default"/>
        <w:lang w:val="pt-PT" w:eastAsia="en-US" w:bidi="ar-SA"/>
      </w:rPr>
    </w:lvl>
    <w:lvl w:ilvl="6" w:tplc="CF64E374">
      <w:numFmt w:val="bullet"/>
      <w:lvlText w:val="•"/>
      <w:lvlJc w:val="left"/>
      <w:pPr>
        <w:ind w:left="6720" w:hanging="224"/>
      </w:pPr>
      <w:rPr>
        <w:rFonts w:hint="default"/>
        <w:lang w:val="pt-PT" w:eastAsia="en-US" w:bidi="ar-SA"/>
      </w:rPr>
    </w:lvl>
    <w:lvl w:ilvl="7" w:tplc="9384B9F6">
      <w:numFmt w:val="bullet"/>
      <w:lvlText w:val="•"/>
      <w:lvlJc w:val="left"/>
      <w:pPr>
        <w:ind w:left="7537" w:hanging="224"/>
      </w:pPr>
      <w:rPr>
        <w:rFonts w:hint="default"/>
        <w:lang w:val="pt-PT" w:eastAsia="en-US" w:bidi="ar-SA"/>
      </w:rPr>
    </w:lvl>
    <w:lvl w:ilvl="8" w:tplc="9544D5E8">
      <w:numFmt w:val="bullet"/>
      <w:lvlText w:val="•"/>
      <w:lvlJc w:val="left"/>
      <w:pPr>
        <w:ind w:left="8354" w:hanging="224"/>
      </w:pPr>
      <w:rPr>
        <w:rFonts w:hint="default"/>
        <w:lang w:val="pt-PT" w:eastAsia="en-US" w:bidi="ar-SA"/>
      </w:rPr>
    </w:lvl>
  </w:abstractNum>
  <w:abstractNum w:abstractNumId="4" w15:restartNumberingAfterBreak="0">
    <w:nsid w:val="1CC156AF"/>
    <w:multiLevelType w:val="multilevel"/>
    <w:tmpl w:val="5F2CB774"/>
    <w:lvl w:ilvl="0">
      <w:start w:val="5"/>
      <w:numFmt w:val="decimal"/>
      <w:lvlText w:val="%1"/>
      <w:lvlJc w:val="left"/>
      <w:pPr>
        <w:ind w:left="2383" w:hanging="572"/>
        <w:jc w:val="left"/>
      </w:pPr>
      <w:rPr>
        <w:rFonts w:hint="default"/>
        <w:lang w:val="pt-PT" w:eastAsia="en-US" w:bidi="ar-SA"/>
      </w:rPr>
    </w:lvl>
    <w:lvl w:ilvl="1">
      <w:start w:val="2"/>
      <w:numFmt w:val="decimal"/>
      <w:lvlText w:val="%1.%2"/>
      <w:lvlJc w:val="left"/>
      <w:pPr>
        <w:ind w:left="2383" w:hanging="572"/>
        <w:jc w:val="left"/>
      </w:pPr>
      <w:rPr>
        <w:rFonts w:hint="default"/>
        <w:lang w:val="pt-PT" w:eastAsia="en-US" w:bidi="ar-SA"/>
      </w:rPr>
    </w:lvl>
    <w:lvl w:ilvl="2">
      <w:start w:val="2"/>
      <w:numFmt w:val="decimal"/>
      <w:lvlText w:val="%1.%2.%3."/>
      <w:lvlJc w:val="left"/>
      <w:pPr>
        <w:ind w:left="2383" w:hanging="572"/>
        <w:jc w:val="left"/>
      </w:pPr>
      <w:rPr>
        <w:rFonts w:ascii="Calibri Light" w:eastAsia="Calibri Light" w:hAnsi="Calibri Light" w:cs="Calibri Light" w:hint="default"/>
        <w:i/>
        <w:iCs/>
        <w:spacing w:val="-2"/>
        <w:w w:val="96"/>
        <w:sz w:val="24"/>
        <w:szCs w:val="24"/>
        <w:lang w:val="pt-PT" w:eastAsia="en-US" w:bidi="ar-SA"/>
      </w:rPr>
    </w:lvl>
    <w:lvl w:ilvl="3">
      <w:start w:val="1"/>
      <w:numFmt w:val="decimal"/>
      <w:lvlText w:val="%1.%2.%3.%4."/>
      <w:lvlJc w:val="left"/>
      <w:pPr>
        <w:ind w:left="1811" w:hanging="690"/>
        <w:jc w:val="left"/>
      </w:pPr>
      <w:rPr>
        <w:rFonts w:ascii="Calibri Light" w:eastAsia="Calibri Light" w:hAnsi="Calibri Light" w:cs="Calibri Light" w:hint="default"/>
        <w:i/>
        <w:iCs/>
        <w:spacing w:val="-2"/>
        <w:w w:val="100"/>
        <w:sz w:val="21"/>
        <w:szCs w:val="21"/>
        <w:lang w:val="pt-PT" w:eastAsia="en-US" w:bidi="ar-SA"/>
      </w:rPr>
    </w:lvl>
    <w:lvl w:ilvl="4">
      <w:numFmt w:val="bullet"/>
      <w:lvlText w:val="•"/>
      <w:lvlJc w:val="left"/>
      <w:pPr>
        <w:ind w:left="4916" w:hanging="690"/>
      </w:pPr>
      <w:rPr>
        <w:rFonts w:hint="default"/>
        <w:lang w:val="pt-PT" w:eastAsia="en-US" w:bidi="ar-SA"/>
      </w:rPr>
    </w:lvl>
    <w:lvl w:ilvl="5">
      <w:numFmt w:val="bullet"/>
      <w:lvlText w:val="•"/>
      <w:lvlJc w:val="left"/>
      <w:pPr>
        <w:ind w:left="5761" w:hanging="690"/>
      </w:pPr>
      <w:rPr>
        <w:rFonts w:hint="default"/>
        <w:lang w:val="pt-PT" w:eastAsia="en-US" w:bidi="ar-SA"/>
      </w:rPr>
    </w:lvl>
    <w:lvl w:ilvl="6">
      <w:numFmt w:val="bullet"/>
      <w:lvlText w:val="•"/>
      <w:lvlJc w:val="left"/>
      <w:pPr>
        <w:ind w:left="6606" w:hanging="690"/>
      </w:pPr>
      <w:rPr>
        <w:rFonts w:hint="default"/>
        <w:lang w:val="pt-PT" w:eastAsia="en-US" w:bidi="ar-SA"/>
      </w:rPr>
    </w:lvl>
    <w:lvl w:ilvl="7">
      <w:numFmt w:val="bullet"/>
      <w:lvlText w:val="•"/>
      <w:lvlJc w:val="left"/>
      <w:pPr>
        <w:ind w:left="7452" w:hanging="690"/>
      </w:pPr>
      <w:rPr>
        <w:rFonts w:hint="default"/>
        <w:lang w:val="pt-PT" w:eastAsia="en-US" w:bidi="ar-SA"/>
      </w:rPr>
    </w:lvl>
    <w:lvl w:ilvl="8">
      <w:numFmt w:val="bullet"/>
      <w:lvlText w:val="•"/>
      <w:lvlJc w:val="left"/>
      <w:pPr>
        <w:ind w:left="8297" w:hanging="690"/>
      </w:pPr>
      <w:rPr>
        <w:rFonts w:hint="default"/>
        <w:lang w:val="pt-PT" w:eastAsia="en-US" w:bidi="ar-SA"/>
      </w:rPr>
    </w:lvl>
  </w:abstractNum>
  <w:abstractNum w:abstractNumId="5" w15:restartNumberingAfterBreak="0">
    <w:nsid w:val="22EA2A76"/>
    <w:multiLevelType w:val="hybridMultilevel"/>
    <w:tmpl w:val="620CFDBC"/>
    <w:lvl w:ilvl="0" w:tplc="A7141E56">
      <w:numFmt w:val="bullet"/>
      <w:lvlText w:val="-"/>
      <w:lvlJc w:val="left"/>
      <w:pPr>
        <w:ind w:left="963" w:hanging="124"/>
      </w:pPr>
      <w:rPr>
        <w:rFonts w:ascii="Calibri Light" w:eastAsia="Calibri Light" w:hAnsi="Calibri Light" w:cs="Calibri Light" w:hint="default"/>
        <w:w w:val="100"/>
        <w:sz w:val="23"/>
        <w:szCs w:val="23"/>
        <w:lang w:val="pt-PT" w:eastAsia="en-US" w:bidi="ar-SA"/>
      </w:rPr>
    </w:lvl>
    <w:lvl w:ilvl="1" w:tplc="1F1CD5B8">
      <w:numFmt w:val="bullet"/>
      <w:lvlText w:val="•"/>
      <w:lvlJc w:val="left"/>
      <w:pPr>
        <w:ind w:left="1862" w:hanging="124"/>
      </w:pPr>
      <w:rPr>
        <w:rFonts w:hint="default"/>
        <w:lang w:val="pt-PT" w:eastAsia="en-US" w:bidi="ar-SA"/>
      </w:rPr>
    </w:lvl>
    <w:lvl w:ilvl="2" w:tplc="A772664A">
      <w:numFmt w:val="bullet"/>
      <w:lvlText w:val="•"/>
      <w:lvlJc w:val="left"/>
      <w:pPr>
        <w:ind w:left="2765" w:hanging="124"/>
      </w:pPr>
      <w:rPr>
        <w:rFonts w:hint="default"/>
        <w:lang w:val="pt-PT" w:eastAsia="en-US" w:bidi="ar-SA"/>
      </w:rPr>
    </w:lvl>
    <w:lvl w:ilvl="3" w:tplc="C15EC8BA">
      <w:numFmt w:val="bullet"/>
      <w:lvlText w:val="•"/>
      <w:lvlJc w:val="left"/>
      <w:pPr>
        <w:ind w:left="3668" w:hanging="124"/>
      </w:pPr>
      <w:rPr>
        <w:rFonts w:hint="default"/>
        <w:lang w:val="pt-PT" w:eastAsia="en-US" w:bidi="ar-SA"/>
      </w:rPr>
    </w:lvl>
    <w:lvl w:ilvl="4" w:tplc="3DE4CA58">
      <w:numFmt w:val="bullet"/>
      <w:lvlText w:val="•"/>
      <w:lvlJc w:val="left"/>
      <w:pPr>
        <w:ind w:left="4571" w:hanging="124"/>
      </w:pPr>
      <w:rPr>
        <w:rFonts w:hint="default"/>
        <w:lang w:val="pt-PT" w:eastAsia="en-US" w:bidi="ar-SA"/>
      </w:rPr>
    </w:lvl>
    <w:lvl w:ilvl="5" w:tplc="283E4B36">
      <w:numFmt w:val="bullet"/>
      <w:lvlText w:val="•"/>
      <w:lvlJc w:val="left"/>
      <w:pPr>
        <w:ind w:left="5474" w:hanging="124"/>
      </w:pPr>
      <w:rPr>
        <w:rFonts w:hint="default"/>
        <w:lang w:val="pt-PT" w:eastAsia="en-US" w:bidi="ar-SA"/>
      </w:rPr>
    </w:lvl>
    <w:lvl w:ilvl="6" w:tplc="D87A565A">
      <w:numFmt w:val="bullet"/>
      <w:lvlText w:val="•"/>
      <w:lvlJc w:val="left"/>
      <w:pPr>
        <w:ind w:left="6376" w:hanging="124"/>
      </w:pPr>
      <w:rPr>
        <w:rFonts w:hint="default"/>
        <w:lang w:val="pt-PT" w:eastAsia="en-US" w:bidi="ar-SA"/>
      </w:rPr>
    </w:lvl>
    <w:lvl w:ilvl="7" w:tplc="456E0CEC">
      <w:numFmt w:val="bullet"/>
      <w:lvlText w:val="•"/>
      <w:lvlJc w:val="left"/>
      <w:pPr>
        <w:ind w:left="7279" w:hanging="124"/>
      </w:pPr>
      <w:rPr>
        <w:rFonts w:hint="default"/>
        <w:lang w:val="pt-PT" w:eastAsia="en-US" w:bidi="ar-SA"/>
      </w:rPr>
    </w:lvl>
    <w:lvl w:ilvl="8" w:tplc="15BC55E8">
      <w:numFmt w:val="bullet"/>
      <w:lvlText w:val="•"/>
      <w:lvlJc w:val="left"/>
      <w:pPr>
        <w:ind w:left="8182" w:hanging="124"/>
      </w:pPr>
      <w:rPr>
        <w:rFonts w:hint="default"/>
        <w:lang w:val="pt-PT" w:eastAsia="en-US" w:bidi="ar-SA"/>
      </w:rPr>
    </w:lvl>
  </w:abstractNum>
  <w:abstractNum w:abstractNumId="6" w15:restartNumberingAfterBreak="0">
    <w:nsid w:val="2FEE751B"/>
    <w:multiLevelType w:val="hybridMultilevel"/>
    <w:tmpl w:val="9D204142"/>
    <w:lvl w:ilvl="0" w:tplc="DB8047B2">
      <w:start w:val="2"/>
      <w:numFmt w:val="lowerLetter"/>
      <w:lvlText w:val="%1)"/>
      <w:lvlJc w:val="left"/>
      <w:pPr>
        <w:ind w:left="1812" w:hanging="424"/>
        <w:jc w:val="left"/>
      </w:pPr>
      <w:rPr>
        <w:rFonts w:ascii="Calibri Light" w:eastAsia="Calibri Light" w:hAnsi="Calibri Light" w:cs="Calibri Light" w:hint="default"/>
        <w:spacing w:val="-1"/>
        <w:w w:val="100"/>
        <w:sz w:val="23"/>
        <w:szCs w:val="23"/>
        <w:lang w:val="pt-PT" w:eastAsia="en-US" w:bidi="ar-SA"/>
      </w:rPr>
    </w:lvl>
    <w:lvl w:ilvl="1" w:tplc="D49297EC">
      <w:numFmt w:val="bullet"/>
      <w:lvlText w:val="•"/>
      <w:lvlJc w:val="left"/>
      <w:pPr>
        <w:ind w:left="2636" w:hanging="424"/>
      </w:pPr>
      <w:rPr>
        <w:rFonts w:hint="default"/>
        <w:lang w:val="pt-PT" w:eastAsia="en-US" w:bidi="ar-SA"/>
      </w:rPr>
    </w:lvl>
    <w:lvl w:ilvl="2" w:tplc="AB36CF18">
      <w:numFmt w:val="bullet"/>
      <w:lvlText w:val="•"/>
      <w:lvlJc w:val="left"/>
      <w:pPr>
        <w:ind w:left="3453" w:hanging="424"/>
      </w:pPr>
      <w:rPr>
        <w:rFonts w:hint="default"/>
        <w:lang w:val="pt-PT" w:eastAsia="en-US" w:bidi="ar-SA"/>
      </w:rPr>
    </w:lvl>
    <w:lvl w:ilvl="3" w:tplc="8102CABC">
      <w:numFmt w:val="bullet"/>
      <w:lvlText w:val="•"/>
      <w:lvlJc w:val="left"/>
      <w:pPr>
        <w:ind w:left="4270" w:hanging="424"/>
      </w:pPr>
      <w:rPr>
        <w:rFonts w:hint="default"/>
        <w:lang w:val="pt-PT" w:eastAsia="en-US" w:bidi="ar-SA"/>
      </w:rPr>
    </w:lvl>
    <w:lvl w:ilvl="4" w:tplc="37CAA636">
      <w:numFmt w:val="bullet"/>
      <w:lvlText w:val="•"/>
      <w:lvlJc w:val="left"/>
      <w:pPr>
        <w:ind w:left="5087" w:hanging="424"/>
      </w:pPr>
      <w:rPr>
        <w:rFonts w:hint="default"/>
        <w:lang w:val="pt-PT" w:eastAsia="en-US" w:bidi="ar-SA"/>
      </w:rPr>
    </w:lvl>
    <w:lvl w:ilvl="5" w:tplc="DC089CC8">
      <w:numFmt w:val="bullet"/>
      <w:lvlText w:val="•"/>
      <w:lvlJc w:val="left"/>
      <w:pPr>
        <w:ind w:left="5904" w:hanging="424"/>
      </w:pPr>
      <w:rPr>
        <w:rFonts w:hint="default"/>
        <w:lang w:val="pt-PT" w:eastAsia="en-US" w:bidi="ar-SA"/>
      </w:rPr>
    </w:lvl>
    <w:lvl w:ilvl="6" w:tplc="55DE953E">
      <w:numFmt w:val="bullet"/>
      <w:lvlText w:val="•"/>
      <w:lvlJc w:val="left"/>
      <w:pPr>
        <w:ind w:left="6720" w:hanging="424"/>
      </w:pPr>
      <w:rPr>
        <w:rFonts w:hint="default"/>
        <w:lang w:val="pt-PT" w:eastAsia="en-US" w:bidi="ar-SA"/>
      </w:rPr>
    </w:lvl>
    <w:lvl w:ilvl="7" w:tplc="E1B43520">
      <w:numFmt w:val="bullet"/>
      <w:lvlText w:val="•"/>
      <w:lvlJc w:val="left"/>
      <w:pPr>
        <w:ind w:left="7537" w:hanging="424"/>
      </w:pPr>
      <w:rPr>
        <w:rFonts w:hint="default"/>
        <w:lang w:val="pt-PT" w:eastAsia="en-US" w:bidi="ar-SA"/>
      </w:rPr>
    </w:lvl>
    <w:lvl w:ilvl="8" w:tplc="851CEC5E">
      <w:numFmt w:val="bullet"/>
      <w:lvlText w:val="•"/>
      <w:lvlJc w:val="left"/>
      <w:pPr>
        <w:ind w:left="8354" w:hanging="424"/>
      </w:pPr>
      <w:rPr>
        <w:rFonts w:hint="default"/>
        <w:lang w:val="pt-PT" w:eastAsia="en-US" w:bidi="ar-SA"/>
      </w:rPr>
    </w:lvl>
  </w:abstractNum>
  <w:abstractNum w:abstractNumId="7" w15:restartNumberingAfterBreak="0">
    <w:nsid w:val="3BEA4FF5"/>
    <w:multiLevelType w:val="hybridMultilevel"/>
    <w:tmpl w:val="623E5074"/>
    <w:lvl w:ilvl="0" w:tplc="D44058C2">
      <w:start w:val="1"/>
      <w:numFmt w:val="lowerLetter"/>
      <w:lvlText w:val="%1)"/>
      <w:lvlJc w:val="left"/>
      <w:pPr>
        <w:ind w:left="1812" w:hanging="187"/>
        <w:jc w:val="left"/>
      </w:pPr>
      <w:rPr>
        <w:rFonts w:ascii="Calibri Light" w:eastAsia="Calibri Light" w:hAnsi="Calibri Light" w:cs="Calibri Light" w:hint="default"/>
        <w:i/>
        <w:iCs/>
        <w:spacing w:val="-2"/>
        <w:w w:val="100"/>
        <w:sz w:val="21"/>
        <w:szCs w:val="21"/>
        <w:lang w:val="pt-PT" w:eastAsia="en-US" w:bidi="ar-SA"/>
      </w:rPr>
    </w:lvl>
    <w:lvl w:ilvl="1" w:tplc="866680E0">
      <w:numFmt w:val="bullet"/>
      <w:lvlText w:val="•"/>
      <w:lvlJc w:val="left"/>
      <w:pPr>
        <w:ind w:left="2636" w:hanging="187"/>
      </w:pPr>
      <w:rPr>
        <w:rFonts w:hint="default"/>
        <w:lang w:val="pt-PT" w:eastAsia="en-US" w:bidi="ar-SA"/>
      </w:rPr>
    </w:lvl>
    <w:lvl w:ilvl="2" w:tplc="9E80FBA6">
      <w:numFmt w:val="bullet"/>
      <w:lvlText w:val="•"/>
      <w:lvlJc w:val="left"/>
      <w:pPr>
        <w:ind w:left="3453" w:hanging="187"/>
      </w:pPr>
      <w:rPr>
        <w:rFonts w:hint="default"/>
        <w:lang w:val="pt-PT" w:eastAsia="en-US" w:bidi="ar-SA"/>
      </w:rPr>
    </w:lvl>
    <w:lvl w:ilvl="3" w:tplc="93DABF2A">
      <w:numFmt w:val="bullet"/>
      <w:lvlText w:val="•"/>
      <w:lvlJc w:val="left"/>
      <w:pPr>
        <w:ind w:left="4270" w:hanging="187"/>
      </w:pPr>
      <w:rPr>
        <w:rFonts w:hint="default"/>
        <w:lang w:val="pt-PT" w:eastAsia="en-US" w:bidi="ar-SA"/>
      </w:rPr>
    </w:lvl>
    <w:lvl w:ilvl="4" w:tplc="4B88FEA4">
      <w:numFmt w:val="bullet"/>
      <w:lvlText w:val="•"/>
      <w:lvlJc w:val="left"/>
      <w:pPr>
        <w:ind w:left="5087" w:hanging="187"/>
      </w:pPr>
      <w:rPr>
        <w:rFonts w:hint="default"/>
        <w:lang w:val="pt-PT" w:eastAsia="en-US" w:bidi="ar-SA"/>
      </w:rPr>
    </w:lvl>
    <w:lvl w:ilvl="5" w:tplc="635C59AC">
      <w:numFmt w:val="bullet"/>
      <w:lvlText w:val="•"/>
      <w:lvlJc w:val="left"/>
      <w:pPr>
        <w:ind w:left="5904" w:hanging="187"/>
      </w:pPr>
      <w:rPr>
        <w:rFonts w:hint="default"/>
        <w:lang w:val="pt-PT" w:eastAsia="en-US" w:bidi="ar-SA"/>
      </w:rPr>
    </w:lvl>
    <w:lvl w:ilvl="6" w:tplc="94726F94">
      <w:numFmt w:val="bullet"/>
      <w:lvlText w:val="•"/>
      <w:lvlJc w:val="left"/>
      <w:pPr>
        <w:ind w:left="6720" w:hanging="187"/>
      </w:pPr>
      <w:rPr>
        <w:rFonts w:hint="default"/>
        <w:lang w:val="pt-PT" w:eastAsia="en-US" w:bidi="ar-SA"/>
      </w:rPr>
    </w:lvl>
    <w:lvl w:ilvl="7" w:tplc="F116591A">
      <w:numFmt w:val="bullet"/>
      <w:lvlText w:val="•"/>
      <w:lvlJc w:val="left"/>
      <w:pPr>
        <w:ind w:left="7537" w:hanging="187"/>
      </w:pPr>
      <w:rPr>
        <w:rFonts w:hint="default"/>
        <w:lang w:val="pt-PT" w:eastAsia="en-US" w:bidi="ar-SA"/>
      </w:rPr>
    </w:lvl>
    <w:lvl w:ilvl="8" w:tplc="B9E03E72">
      <w:numFmt w:val="bullet"/>
      <w:lvlText w:val="•"/>
      <w:lvlJc w:val="left"/>
      <w:pPr>
        <w:ind w:left="8354" w:hanging="187"/>
      </w:pPr>
      <w:rPr>
        <w:rFonts w:hint="default"/>
        <w:lang w:val="pt-PT" w:eastAsia="en-US" w:bidi="ar-SA"/>
      </w:rPr>
    </w:lvl>
  </w:abstractNum>
  <w:abstractNum w:abstractNumId="8" w15:restartNumberingAfterBreak="0">
    <w:nsid w:val="46876A94"/>
    <w:multiLevelType w:val="multilevel"/>
    <w:tmpl w:val="EF56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F36FE"/>
    <w:multiLevelType w:val="multilevel"/>
    <w:tmpl w:val="F3BC0626"/>
    <w:lvl w:ilvl="0">
      <w:start w:val="2"/>
      <w:numFmt w:val="lowerLetter"/>
      <w:lvlText w:val="%1)"/>
      <w:lvlJc w:val="left"/>
      <w:pPr>
        <w:ind w:left="112" w:hanging="429"/>
        <w:jc w:val="left"/>
      </w:pPr>
      <w:rPr>
        <w:rFonts w:ascii="Calibri Light" w:eastAsia="Calibri Light" w:hAnsi="Calibri Light" w:cs="Calibri Light" w:hint="default"/>
        <w:spacing w:val="-1"/>
        <w:w w:val="100"/>
        <w:sz w:val="23"/>
        <w:szCs w:val="23"/>
        <w:lang w:val="pt-PT" w:eastAsia="en-US" w:bidi="ar-SA"/>
      </w:rPr>
    </w:lvl>
    <w:lvl w:ilvl="1">
      <w:start w:val="1"/>
      <w:numFmt w:val="decimal"/>
      <w:lvlText w:val="%2."/>
      <w:lvlJc w:val="left"/>
      <w:pPr>
        <w:ind w:left="832" w:hanging="360"/>
        <w:jc w:val="left"/>
      </w:pPr>
      <w:rPr>
        <w:rFonts w:ascii="Calibri Light" w:eastAsia="Calibri Light" w:hAnsi="Calibri Light" w:cs="Calibri Light" w:hint="default"/>
        <w:spacing w:val="-2"/>
        <w:w w:val="100"/>
        <w:sz w:val="23"/>
        <w:szCs w:val="23"/>
        <w:lang w:val="pt-PT" w:eastAsia="en-US" w:bidi="ar-SA"/>
      </w:rPr>
    </w:lvl>
    <w:lvl w:ilvl="2">
      <w:start w:val="1"/>
      <w:numFmt w:val="lowerLetter"/>
      <w:lvlText w:val="%3)"/>
      <w:lvlJc w:val="left"/>
      <w:pPr>
        <w:ind w:left="2380" w:hanging="272"/>
        <w:jc w:val="left"/>
      </w:pPr>
      <w:rPr>
        <w:rFonts w:ascii="Calibri Light" w:eastAsia="Calibri Light" w:hAnsi="Calibri Light" w:cs="Calibri Light" w:hint="default"/>
        <w:spacing w:val="-2"/>
        <w:w w:val="100"/>
        <w:sz w:val="23"/>
        <w:szCs w:val="23"/>
        <w:lang w:val="pt-PT" w:eastAsia="en-US" w:bidi="ar-SA"/>
      </w:rPr>
    </w:lvl>
    <w:lvl w:ilvl="3">
      <w:start w:val="1"/>
      <w:numFmt w:val="decimal"/>
      <w:lvlText w:val="%3.%4)"/>
      <w:lvlJc w:val="left"/>
      <w:pPr>
        <w:ind w:left="2380" w:hanging="580"/>
        <w:jc w:val="left"/>
      </w:pPr>
      <w:rPr>
        <w:rFonts w:ascii="Calibri Light" w:eastAsia="Calibri Light" w:hAnsi="Calibri Light" w:cs="Calibri Light" w:hint="default"/>
        <w:spacing w:val="-2"/>
        <w:w w:val="100"/>
        <w:sz w:val="23"/>
        <w:szCs w:val="23"/>
        <w:lang w:val="pt-PT" w:eastAsia="en-US" w:bidi="ar-SA"/>
      </w:rPr>
    </w:lvl>
    <w:lvl w:ilvl="4">
      <w:numFmt w:val="bullet"/>
      <w:lvlText w:val="•"/>
      <w:lvlJc w:val="left"/>
      <w:pPr>
        <w:ind w:left="4282" w:hanging="580"/>
      </w:pPr>
      <w:rPr>
        <w:rFonts w:hint="default"/>
        <w:lang w:val="pt-PT" w:eastAsia="en-US" w:bidi="ar-SA"/>
      </w:rPr>
    </w:lvl>
    <w:lvl w:ilvl="5">
      <w:numFmt w:val="bullet"/>
      <w:lvlText w:val="•"/>
      <w:lvlJc w:val="left"/>
      <w:pPr>
        <w:ind w:left="5233" w:hanging="580"/>
      </w:pPr>
      <w:rPr>
        <w:rFonts w:hint="default"/>
        <w:lang w:val="pt-PT" w:eastAsia="en-US" w:bidi="ar-SA"/>
      </w:rPr>
    </w:lvl>
    <w:lvl w:ilvl="6">
      <w:numFmt w:val="bullet"/>
      <w:lvlText w:val="•"/>
      <w:lvlJc w:val="left"/>
      <w:pPr>
        <w:ind w:left="6184" w:hanging="580"/>
      </w:pPr>
      <w:rPr>
        <w:rFonts w:hint="default"/>
        <w:lang w:val="pt-PT" w:eastAsia="en-US" w:bidi="ar-SA"/>
      </w:rPr>
    </w:lvl>
    <w:lvl w:ilvl="7">
      <w:numFmt w:val="bullet"/>
      <w:lvlText w:val="•"/>
      <w:lvlJc w:val="left"/>
      <w:pPr>
        <w:ind w:left="7135" w:hanging="580"/>
      </w:pPr>
      <w:rPr>
        <w:rFonts w:hint="default"/>
        <w:lang w:val="pt-PT" w:eastAsia="en-US" w:bidi="ar-SA"/>
      </w:rPr>
    </w:lvl>
    <w:lvl w:ilvl="8">
      <w:numFmt w:val="bullet"/>
      <w:lvlText w:val="•"/>
      <w:lvlJc w:val="left"/>
      <w:pPr>
        <w:ind w:left="8086" w:hanging="580"/>
      </w:pPr>
      <w:rPr>
        <w:rFonts w:hint="default"/>
        <w:lang w:val="pt-PT" w:eastAsia="en-US" w:bidi="ar-SA"/>
      </w:rPr>
    </w:lvl>
  </w:abstractNum>
  <w:abstractNum w:abstractNumId="10" w15:restartNumberingAfterBreak="0">
    <w:nsid w:val="4A124B43"/>
    <w:multiLevelType w:val="multilevel"/>
    <w:tmpl w:val="403EF836"/>
    <w:lvl w:ilvl="0">
      <w:start w:val="1"/>
      <w:numFmt w:val="lowerLetter"/>
      <w:lvlText w:val="%1)"/>
      <w:lvlJc w:val="left"/>
      <w:pPr>
        <w:ind w:left="1812" w:hanging="424"/>
        <w:jc w:val="left"/>
      </w:pPr>
      <w:rPr>
        <w:rFonts w:ascii="Calibri Light" w:eastAsia="Calibri Light" w:hAnsi="Calibri Light" w:cs="Calibri Light" w:hint="default"/>
        <w:spacing w:val="-2"/>
        <w:w w:val="100"/>
        <w:sz w:val="23"/>
        <w:szCs w:val="23"/>
        <w:lang w:val="pt-PT" w:eastAsia="en-US" w:bidi="ar-SA"/>
      </w:rPr>
    </w:lvl>
    <w:lvl w:ilvl="1">
      <w:start w:val="1"/>
      <w:numFmt w:val="lowerLetter"/>
      <w:lvlText w:val="%2)"/>
      <w:lvlJc w:val="left"/>
      <w:pPr>
        <w:ind w:left="2380" w:hanging="272"/>
        <w:jc w:val="left"/>
      </w:pPr>
      <w:rPr>
        <w:rFonts w:ascii="Calibri Light" w:eastAsia="Calibri Light" w:hAnsi="Calibri Light" w:cs="Calibri Light" w:hint="default"/>
        <w:spacing w:val="-2"/>
        <w:w w:val="100"/>
        <w:sz w:val="23"/>
        <w:szCs w:val="23"/>
        <w:lang w:val="pt-PT" w:eastAsia="en-US" w:bidi="ar-SA"/>
      </w:rPr>
    </w:lvl>
    <w:lvl w:ilvl="2">
      <w:start w:val="1"/>
      <w:numFmt w:val="decimal"/>
      <w:lvlText w:val="%2.%3)"/>
      <w:lvlJc w:val="left"/>
      <w:pPr>
        <w:ind w:left="2380" w:hanging="580"/>
        <w:jc w:val="left"/>
      </w:pPr>
      <w:rPr>
        <w:rFonts w:ascii="Calibri Light" w:eastAsia="Calibri Light" w:hAnsi="Calibri Light" w:cs="Calibri Light" w:hint="default"/>
        <w:spacing w:val="-2"/>
        <w:w w:val="100"/>
        <w:sz w:val="23"/>
        <w:szCs w:val="23"/>
        <w:lang w:val="pt-PT" w:eastAsia="en-US" w:bidi="ar-SA"/>
      </w:rPr>
    </w:lvl>
    <w:lvl w:ilvl="3">
      <w:numFmt w:val="bullet"/>
      <w:lvlText w:val="•"/>
      <w:lvlJc w:val="left"/>
      <w:pPr>
        <w:ind w:left="4070" w:hanging="580"/>
      </w:pPr>
      <w:rPr>
        <w:rFonts w:hint="default"/>
        <w:lang w:val="pt-PT" w:eastAsia="en-US" w:bidi="ar-SA"/>
      </w:rPr>
    </w:lvl>
    <w:lvl w:ilvl="4">
      <w:numFmt w:val="bullet"/>
      <w:lvlText w:val="•"/>
      <w:lvlJc w:val="left"/>
      <w:pPr>
        <w:ind w:left="4916" w:hanging="580"/>
      </w:pPr>
      <w:rPr>
        <w:rFonts w:hint="default"/>
        <w:lang w:val="pt-PT" w:eastAsia="en-US" w:bidi="ar-SA"/>
      </w:rPr>
    </w:lvl>
    <w:lvl w:ilvl="5">
      <w:numFmt w:val="bullet"/>
      <w:lvlText w:val="•"/>
      <w:lvlJc w:val="left"/>
      <w:pPr>
        <w:ind w:left="5761" w:hanging="580"/>
      </w:pPr>
      <w:rPr>
        <w:rFonts w:hint="default"/>
        <w:lang w:val="pt-PT" w:eastAsia="en-US" w:bidi="ar-SA"/>
      </w:rPr>
    </w:lvl>
    <w:lvl w:ilvl="6">
      <w:numFmt w:val="bullet"/>
      <w:lvlText w:val="•"/>
      <w:lvlJc w:val="left"/>
      <w:pPr>
        <w:ind w:left="6606" w:hanging="580"/>
      </w:pPr>
      <w:rPr>
        <w:rFonts w:hint="default"/>
        <w:lang w:val="pt-PT" w:eastAsia="en-US" w:bidi="ar-SA"/>
      </w:rPr>
    </w:lvl>
    <w:lvl w:ilvl="7">
      <w:numFmt w:val="bullet"/>
      <w:lvlText w:val="•"/>
      <w:lvlJc w:val="left"/>
      <w:pPr>
        <w:ind w:left="7452" w:hanging="580"/>
      </w:pPr>
      <w:rPr>
        <w:rFonts w:hint="default"/>
        <w:lang w:val="pt-PT" w:eastAsia="en-US" w:bidi="ar-SA"/>
      </w:rPr>
    </w:lvl>
    <w:lvl w:ilvl="8">
      <w:numFmt w:val="bullet"/>
      <w:lvlText w:val="•"/>
      <w:lvlJc w:val="left"/>
      <w:pPr>
        <w:ind w:left="8297" w:hanging="580"/>
      </w:pPr>
      <w:rPr>
        <w:rFonts w:hint="default"/>
        <w:lang w:val="pt-PT" w:eastAsia="en-US" w:bidi="ar-SA"/>
      </w:rPr>
    </w:lvl>
  </w:abstractNum>
  <w:abstractNum w:abstractNumId="11" w15:restartNumberingAfterBreak="0">
    <w:nsid w:val="56C62D6E"/>
    <w:multiLevelType w:val="multilevel"/>
    <w:tmpl w:val="1892DB5A"/>
    <w:lvl w:ilvl="0">
      <w:start w:val="1"/>
      <w:numFmt w:val="lowerLetter"/>
      <w:lvlText w:val="%1"/>
      <w:lvlJc w:val="left"/>
      <w:pPr>
        <w:ind w:left="112" w:hanging="433"/>
        <w:jc w:val="left"/>
      </w:pPr>
      <w:rPr>
        <w:rFonts w:hint="default"/>
        <w:lang w:val="pt-PT" w:eastAsia="en-US" w:bidi="ar-SA"/>
      </w:rPr>
    </w:lvl>
    <w:lvl w:ilvl="1">
      <w:start w:val="1"/>
      <w:numFmt w:val="decimal"/>
      <w:lvlText w:val="%1.%2)"/>
      <w:lvlJc w:val="left"/>
      <w:pPr>
        <w:ind w:left="112" w:hanging="433"/>
        <w:jc w:val="left"/>
      </w:pPr>
      <w:rPr>
        <w:rFonts w:ascii="Calibri Light" w:eastAsia="Calibri Light" w:hAnsi="Calibri Light" w:cs="Calibri Light" w:hint="default"/>
        <w:spacing w:val="-2"/>
        <w:w w:val="100"/>
        <w:sz w:val="23"/>
        <w:szCs w:val="23"/>
        <w:lang w:val="pt-PT" w:eastAsia="en-US" w:bidi="ar-SA"/>
      </w:rPr>
    </w:lvl>
    <w:lvl w:ilvl="2">
      <w:start w:val="1"/>
      <w:numFmt w:val="lowerLetter"/>
      <w:lvlText w:val="(%3)"/>
      <w:lvlJc w:val="left"/>
      <w:pPr>
        <w:ind w:left="1167" w:hanging="296"/>
        <w:jc w:val="left"/>
      </w:pPr>
      <w:rPr>
        <w:rFonts w:ascii="Calibri Light" w:eastAsia="Calibri Light" w:hAnsi="Calibri Light" w:cs="Calibri Light" w:hint="default"/>
        <w:spacing w:val="-2"/>
        <w:w w:val="100"/>
        <w:sz w:val="23"/>
        <w:szCs w:val="23"/>
        <w:lang w:val="pt-PT" w:eastAsia="en-US" w:bidi="ar-SA"/>
      </w:rPr>
    </w:lvl>
    <w:lvl w:ilvl="3">
      <w:numFmt w:val="bullet"/>
      <w:lvlText w:val="•"/>
      <w:lvlJc w:val="left"/>
      <w:pPr>
        <w:ind w:left="3121" w:hanging="296"/>
      </w:pPr>
      <w:rPr>
        <w:rFonts w:hint="default"/>
        <w:lang w:val="pt-PT" w:eastAsia="en-US" w:bidi="ar-SA"/>
      </w:rPr>
    </w:lvl>
    <w:lvl w:ilvl="4">
      <w:numFmt w:val="bullet"/>
      <w:lvlText w:val="•"/>
      <w:lvlJc w:val="left"/>
      <w:pPr>
        <w:ind w:left="4102" w:hanging="296"/>
      </w:pPr>
      <w:rPr>
        <w:rFonts w:hint="default"/>
        <w:lang w:val="pt-PT" w:eastAsia="en-US" w:bidi="ar-SA"/>
      </w:rPr>
    </w:lvl>
    <w:lvl w:ilvl="5">
      <w:numFmt w:val="bullet"/>
      <w:lvlText w:val="•"/>
      <w:lvlJc w:val="left"/>
      <w:pPr>
        <w:ind w:left="5083" w:hanging="296"/>
      </w:pPr>
      <w:rPr>
        <w:rFonts w:hint="default"/>
        <w:lang w:val="pt-PT" w:eastAsia="en-US" w:bidi="ar-SA"/>
      </w:rPr>
    </w:lvl>
    <w:lvl w:ilvl="6">
      <w:numFmt w:val="bullet"/>
      <w:lvlText w:val="•"/>
      <w:lvlJc w:val="left"/>
      <w:pPr>
        <w:ind w:left="6064" w:hanging="296"/>
      </w:pPr>
      <w:rPr>
        <w:rFonts w:hint="default"/>
        <w:lang w:val="pt-PT" w:eastAsia="en-US" w:bidi="ar-SA"/>
      </w:rPr>
    </w:lvl>
    <w:lvl w:ilvl="7">
      <w:numFmt w:val="bullet"/>
      <w:lvlText w:val="•"/>
      <w:lvlJc w:val="left"/>
      <w:pPr>
        <w:ind w:left="7045" w:hanging="296"/>
      </w:pPr>
      <w:rPr>
        <w:rFonts w:hint="default"/>
        <w:lang w:val="pt-PT" w:eastAsia="en-US" w:bidi="ar-SA"/>
      </w:rPr>
    </w:lvl>
    <w:lvl w:ilvl="8">
      <w:numFmt w:val="bullet"/>
      <w:lvlText w:val="•"/>
      <w:lvlJc w:val="left"/>
      <w:pPr>
        <w:ind w:left="8026" w:hanging="296"/>
      </w:pPr>
      <w:rPr>
        <w:rFonts w:hint="default"/>
        <w:lang w:val="pt-PT" w:eastAsia="en-US" w:bidi="ar-SA"/>
      </w:rPr>
    </w:lvl>
  </w:abstractNum>
  <w:abstractNum w:abstractNumId="12" w15:restartNumberingAfterBreak="0">
    <w:nsid w:val="5841737B"/>
    <w:multiLevelType w:val="multilevel"/>
    <w:tmpl w:val="0450E7D4"/>
    <w:lvl w:ilvl="0">
      <w:start w:val="1"/>
      <w:numFmt w:val="lowerLetter"/>
      <w:lvlText w:val="%1"/>
      <w:lvlJc w:val="left"/>
      <w:pPr>
        <w:ind w:left="1363" w:hanging="400"/>
        <w:jc w:val="left"/>
      </w:pPr>
      <w:rPr>
        <w:rFonts w:hint="default"/>
        <w:lang w:val="pt-PT" w:eastAsia="en-US" w:bidi="ar-SA"/>
      </w:rPr>
    </w:lvl>
    <w:lvl w:ilvl="1">
      <w:start w:val="1"/>
      <w:numFmt w:val="decimal"/>
      <w:lvlText w:val="%1.%2)"/>
      <w:lvlJc w:val="left"/>
      <w:pPr>
        <w:ind w:left="1363" w:hanging="400"/>
        <w:jc w:val="left"/>
      </w:pPr>
      <w:rPr>
        <w:rFonts w:ascii="Calibri Light" w:eastAsia="Calibri Light" w:hAnsi="Calibri Light" w:cs="Calibri Light" w:hint="default"/>
        <w:spacing w:val="-2"/>
        <w:w w:val="100"/>
        <w:sz w:val="23"/>
        <w:szCs w:val="23"/>
        <w:lang w:val="pt-PT" w:eastAsia="en-US" w:bidi="ar-SA"/>
      </w:rPr>
    </w:lvl>
    <w:lvl w:ilvl="2">
      <w:numFmt w:val="bullet"/>
      <w:lvlText w:val="•"/>
      <w:lvlJc w:val="left"/>
      <w:pPr>
        <w:ind w:left="3085" w:hanging="400"/>
      </w:pPr>
      <w:rPr>
        <w:rFonts w:hint="default"/>
        <w:lang w:val="pt-PT" w:eastAsia="en-US" w:bidi="ar-SA"/>
      </w:rPr>
    </w:lvl>
    <w:lvl w:ilvl="3">
      <w:numFmt w:val="bullet"/>
      <w:lvlText w:val="•"/>
      <w:lvlJc w:val="left"/>
      <w:pPr>
        <w:ind w:left="3948" w:hanging="400"/>
      </w:pPr>
      <w:rPr>
        <w:rFonts w:hint="default"/>
        <w:lang w:val="pt-PT" w:eastAsia="en-US" w:bidi="ar-SA"/>
      </w:rPr>
    </w:lvl>
    <w:lvl w:ilvl="4">
      <w:numFmt w:val="bullet"/>
      <w:lvlText w:val="•"/>
      <w:lvlJc w:val="left"/>
      <w:pPr>
        <w:ind w:left="4811" w:hanging="400"/>
      </w:pPr>
      <w:rPr>
        <w:rFonts w:hint="default"/>
        <w:lang w:val="pt-PT" w:eastAsia="en-US" w:bidi="ar-SA"/>
      </w:rPr>
    </w:lvl>
    <w:lvl w:ilvl="5">
      <w:numFmt w:val="bullet"/>
      <w:lvlText w:val="•"/>
      <w:lvlJc w:val="left"/>
      <w:pPr>
        <w:ind w:left="5674" w:hanging="400"/>
      </w:pPr>
      <w:rPr>
        <w:rFonts w:hint="default"/>
        <w:lang w:val="pt-PT" w:eastAsia="en-US" w:bidi="ar-SA"/>
      </w:rPr>
    </w:lvl>
    <w:lvl w:ilvl="6">
      <w:numFmt w:val="bullet"/>
      <w:lvlText w:val="•"/>
      <w:lvlJc w:val="left"/>
      <w:pPr>
        <w:ind w:left="6536" w:hanging="400"/>
      </w:pPr>
      <w:rPr>
        <w:rFonts w:hint="default"/>
        <w:lang w:val="pt-PT" w:eastAsia="en-US" w:bidi="ar-SA"/>
      </w:rPr>
    </w:lvl>
    <w:lvl w:ilvl="7">
      <w:numFmt w:val="bullet"/>
      <w:lvlText w:val="•"/>
      <w:lvlJc w:val="left"/>
      <w:pPr>
        <w:ind w:left="7399" w:hanging="400"/>
      </w:pPr>
      <w:rPr>
        <w:rFonts w:hint="default"/>
        <w:lang w:val="pt-PT" w:eastAsia="en-US" w:bidi="ar-SA"/>
      </w:rPr>
    </w:lvl>
    <w:lvl w:ilvl="8">
      <w:numFmt w:val="bullet"/>
      <w:lvlText w:val="•"/>
      <w:lvlJc w:val="left"/>
      <w:pPr>
        <w:ind w:left="8262" w:hanging="400"/>
      </w:pPr>
      <w:rPr>
        <w:rFonts w:hint="default"/>
        <w:lang w:val="pt-PT" w:eastAsia="en-US" w:bidi="ar-SA"/>
      </w:rPr>
    </w:lvl>
  </w:abstractNum>
  <w:abstractNum w:abstractNumId="13" w15:restartNumberingAfterBreak="0">
    <w:nsid w:val="5B436848"/>
    <w:multiLevelType w:val="hybridMultilevel"/>
    <w:tmpl w:val="A614D310"/>
    <w:lvl w:ilvl="0" w:tplc="B0A41AD2">
      <w:numFmt w:val="bullet"/>
      <w:lvlText w:val="-"/>
      <w:lvlJc w:val="left"/>
      <w:pPr>
        <w:ind w:left="1087" w:hanging="124"/>
      </w:pPr>
      <w:rPr>
        <w:rFonts w:ascii="Calibri Light" w:eastAsia="Calibri Light" w:hAnsi="Calibri Light" w:cs="Calibri Light" w:hint="default"/>
        <w:w w:val="100"/>
        <w:sz w:val="23"/>
        <w:szCs w:val="23"/>
        <w:lang w:val="pt-PT" w:eastAsia="en-US" w:bidi="ar-SA"/>
      </w:rPr>
    </w:lvl>
    <w:lvl w:ilvl="1" w:tplc="42CAA0B0">
      <w:numFmt w:val="bullet"/>
      <w:lvlText w:val="•"/>
      <w:lvlJc w:val="left"/>
      <w:pPr>
        <w:ind w:left="1970" w:hanging="124"/>
      </w:pPr>
      <w:rPr>
        <w:rFonts w:hint="default"/>
        <w:lang w:val="pt-PT" w:eastAsia="en-US" w:bidi="ar-SA"/>
      </w:rPr>
    </w:lvl>
    <w:lvl w:ilvl="2" w:tplc="25EE9222">
      <w:numFmt w:val="bullet"/>
      <w:lvlText w:val="•"/>
      <w:lvlJc w:val="left"/>
      <w:pPr>
        <w:ind w:left="2861" w:hanging="124"/>
      </w:pPr>
      <w:rPr>
        <w:rFonts w:hint="default"/>
        <w:lang w:val="pt-PT" w:eastAsia="en-US" w:bidi="ar-SA"/>
      </w:rPr>
    </w:lvl>
    <w:lvl w:ilvl="3" w:tplc="84F8C80A">
      <w:numFmt w:val="bullet"/>
      <w:lvlText w:val="•"/>
      <w:lvlJc w:val="left"/>
      <w:pPr>
        <w:ind w:left="3752" w:hanging="124"/>
      </w:pPr>
      <w:rPr>
        <w:rFonts w:hint="default"/>
        <w:lang w:val="pt-PT" w:eastAsia="en-US" w:bidi="ar-SA"/>
      </w:rPr>
    </w:lvl>
    <w:lvl w:ilvl="4" w:tplc="B6C2DD9A">
      <w:numFmt w:val="bullet"/>
      <w:lvlText w:val="•"/>
      <w:lvlJc w:val="left"/>
      <w:pPr>
        <w:ind w:left="4643" w:hanging="124"/>
      </w:pPr>
      <w:rPr>
        <w:rFonts w:hint="default"/>
        <w:lang w:val="pt-PT" w:eastAsia="en-US" w:bidi="ar-SA"/>
      </w:rPr>
    </w:lvl>
    <w:lvl w:ilvl="5" w:tplc="207C9C6E">
      <w:numFmt w:val="bullet"/>
      <w:lvlText w:val="•"/>
      <w:lvlJc w:val="left"/>
      <w:pPr>
        <w:ind w:left="5534" w:hanging="124"/>
      </w:pPr>
      <w:rPr>
        <w:rFonts w:hint="default"/>
        <w:lang w:val="pt-PT" w:eastAsia="en-US" w:bidi="ar-SA"/>
      </w:rPr>
    </w:lvl>
    <w:lvl w:ilvl="6" w:tplc="CE10BFC4">
      <w:numFmt w:val="bullet"/>
      <w:lvlText w:val="•"/>
      <w:lvlJc w:val="left"/>
      <w:pPr>
        <w:ind w:left="6424" w:hanging="124"/>
      </w:pPr>
      <w:rPr>
        <w:rFonts w:hint="default"/>
        <w:lang w:val="pt-PT" w:eastAsia="en-US" w:bidi="ar-SA"/>
      </w:rPr>
    </w:lvl>
    <w:lvl w:ilvl="7" w:tplc="4E0C766E">
      <w:numFmt w:val="bullet"/>
      <w:lvlText w:val="•"/>
      <w:lvlJc w:val="left"/>
      <w:pPr>
        <w:ind w:left="7315" w:hanging="124"/>
      </w:pPr>
      <w:rPr>
        <w:rFonts w:hint="default"/>
        <w:lang w:val="pt-PT" w:eastAsia="en-US" w:bidi="ar-SA"/>
      </w:rPr>
    </w:lvl>
    <w:lvl w:ilvl="8" w:tplc="DDEE71EA">
      <w:numFmt w:val="bullet"/>
      <w:lvlText w:val="•"/>
      <w:lvlJc w:val="left"/>
      <w:pPr>
        <w:ind w:left="8206" w:hanging="124"/>
      </w:pPr>
      <w:rPr>
        <w:rFonts w:hint="default"/>
        <w:lang w:val="pt-PT" w:eastAsia="en-US" w:bidi="ar-SA"/>
      </w:rPr>
    </w:lvl>
  </w:abstractNum>
  <w:abstractNum w:abstractNumId="14" w15:restartNumberingAfterBreak="0">
    <w:nsid w:val="5D170DBE"/>
    <w:multiLevelType w:val="hybridMultilevel"/>
    <w:tmpl w:val="CC10247E"/>
    <w:lvl w:ilvl="0" w:tplc="41D60088">
      <w:numFmt w:val="bullet"/>
      <w:lvlText w:val="-"/>
      <w:lvlJc w:val="left"/>
      <w:pPr>
        <w:ind w:left="963" w:hanging="124"/>
      </w:pPr>
      <w:rPr>
        <w:rFonts w:ascii="Calibri Light" w:eastAsia="Calibri Light" w:hAnsi="Calibri Light" w:cs="Calibri Light" w:hint="default"/>
        <w:w w:val="100"/>
        <w:sz w:val="23"/>
        <w:szCs w:val="23"/>
        <w:lang w:val="pt-PT" w:eastAsia="en-US" w:bidi="ar-SA"/>
      </w:rPr>
    </w:lvl>
    <w:lvl w:ilvl="1" w:tplc="BB588EEE">
      <w:numFmt w:val="bullet"/>
      <w:lvlText w:val="•"/>
      <w:lvlJc w:val="left"/>
      <w:pPr>
        <w:ind w:left="1862" w:hanging="124"/>
      </w:pPr>
      <w:rPr>
        <w:rFonts w:hint="default"/>
        <w:lang w:val="pt-PT" w:eastAsia="en-US" w:bidi="ar-SA"/>
      </w:rPr>
    </w:lvl>
    <w:lvl w:ilvl="2" w:tplc="D05E535A">
      <w:numFmt w:val="bullet"/>
      <w:lvlText w:val="•"/>
      <w:lvlJc w:val="left"/>
      <w:pPr>
        <w:ind w:left="2765" w:hanging="124"/>
      </w:pPr>
      <w:rPr>
        <w:rFonts w:hint="default"/>
        <w:lang w:val="pt-PT" w:eastAsia="en-US" w:bidi="ar-SA"/>
      </w:rPr>
    </w:lvl>
    <w:lvl w:ilvl="3" w:tplc="F5FA253C">
      <w:numFmt w:val="bullet"/>
      <w:lvlText w:val="•"/>
      <w:lvlJc w:val="left"/>
      <w:pPr>
        <w:ind w:left="3668" w:hanging="124"/>
      </w:pPr>
      <w:rPr>
        <w:rFonts w:hint="default"/>
        <w:lang w:val="pt-PT" w:eastAsia="en-US" w:bidi="ar-SA"/>
      </w:rPr>
    </w:lvl>
    <w:lvl w:ilvl="4" w:tplc="DF7C1C5A">
      <w:numFmt w:val="bullet"/>
      <w:lvlText w:val="•"/>
      <w:lvlJc w:val="left"/>
      <w:pPr>
        <w:ind w:left="4571" w:hanging="124"/>
      </w:pPr>
      <w:rPr>
        <w:rFonts w:hint="default"/>
        <w:lang w:val="pt-PT" w:eastAsia="en-US" w:bidi="ar-SA"/>
      </w:rPr>
    </w:lvl>
    <w:lvl w:ilvl="5" w:tplc="2122877A">
      <w:numFmt w:val="bullet"/>
      <w:lvlText w:val="•"/>
      <w:lvlJc w:val="left"/>
      <w:pPr>
        <w:ind w:left="5474" w:hanging="124"/>
      </w:pPr>
      <w:rPr>
        <w:rFonts w:hint="default"/>
        <w:lang w:val="pt-PT" w:eastAsia="en-US" w:bidi="ar-SA"/>
      </w:rPr>
    </w:lvl>
    <w:lvl w:ilvl="6" w:tplc="C994B37A">
      <w:numFmt w:val="bullet"/>
      <w:lvlText w:val="•"/>
      <w:lvlJc w:val="left"/>
      <w:pPr>
        <w:ind w:left="6376" w:hanging="124"/>
      </w:pPr>
      <w:rPr>
        <w:rFonts w:hint="default"/>
        <w:lang w:val="pt-PT" w:eastAsia="en-US" w:bidi="ar-SA"/>
      </w:rPr>
    </w:lvl>
    <w:lvl w:ilvl="7" w:tplc="C3A06D82">
      <w:numFmt w:val="bullet"/>
      <w:lvlText w:val="•"/>
      <w:lvlJc w:val="left"/>
      <w:pPr>
        <w:ind w:left="7279" w:hanging="124"/>
      </w:pPr>
      <w:rPr>
        <w:rFonts w:hint="default"/>
        <w:lang w:val="pt-PT" w:eastAsia="en-US" w:bidi="ar-SA"/>
      </w:rPr>
    </w:lvl>
    <w:lvl w:ilvl="8" w:tplc="6BDEB9D8">
      <w:numFmt w:val="bullet"/>
      <w:lvlText w:val="•"/>
      <w:lvlJc w:val="left"/>
      <w:pPr>
        <w:ind w:left="8182" w:hanging="124"/>
      </w:pPr>
      <w:rPr>
        <w:rFonts w:hint="default"/>
        <w:lang w:val="pt-PT" w:eastAsia="en-US" w:bidi="ar-SA"/>
      </w:rPr>
    </w:lvl>
  </w:abstractNum>
  <w:abstractNum w:abstractNumId="15" w15:restartNumberingAfterBreak="0">
    <w:nsid w:val="6564753F"/>
    <w:multiLevelType w:val="multilevel"/>
    <w:tmpl w:val="8240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136AE"/>
    <w:multiLevelType w:val="multilevel"/>
    <w:tmpl w:val="F96C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972B2C"/>
    <w:multiLevelType w:val="hybridMultilevel"/>
    <w:tmpl w:val="037AA94A"/>
    <w:lvl w:ilvl="0" w:tplc="29BEC136">
      <w:start w:val="2"/>
      <w:numFmt w:val="lowerLetter"/>
      <w:lvlText w:val="%1)"/>
      <w:lvlJc w:val="left"/>
      <w:pPr>
        <w:ind w:left="1203" w:hanging="240"/>
        <w:jc w:val="left"/>
      </w:pPr>
      <w:rPr>
        <w:rFonts w:ascii="Calibri Light" w:eastAsia="Calibri Light" w:hAnsi="Calibri Light" w:cs="Calibri Light" w:hint="default"/>
        <w:spacing w:val="-1"/>
        <w:w w:val="100"/>
        <w:sz w:val="23"/>
        <w:szCs w:val="23"/>
        <w:lang w:val="pt-PT" w:eastAsia="en-US" w:bidi="ar-SA"/>
      </w:rPr>
    </w:lvl>
    <w:lvl w:ilvl="1" w:tplc="B03C9D1C">
      <w:numFmt w:val="bullet"/>
      <w:lvlText w:val="•"/>
      <w:lvlJc w:val="left"/>
      <w:pPr>
        <w:ind w:left="2078" w:hanging="240"/>
      </w:pPr>
      <w:rPr>
        <w:rFonts w:hint="default"/>
        <w:lang w:val="pt-PT" w:eastAsia="en-US" w:bidi="ar-SA"/>
      </w:rPr>
    </w:lvl>
    <w:lvl w:ilvl="2" w:tplc="B2D8A3DE">
      <w:numFmt w:val="bullet"/>
      <w:lvlText w:val="•"/>
      <w:lvlJc w:val="left"/>
      <w:pPr>
        <w:ind w:left="2957" w:hanging="240"/>
      </w:pPr>
      <w:rPr>
        <w:rFonts w:hint="default"/>
        <w:lang w:val="pt-PT" w:eastAsia="en-US" w:bidi="ar-SA"/>
      </w:rPr>
    </w:lvl>
    <w:lvl w:ilvl="3" w:tplc="E5F2F29E">
      <w:numFmt w:val="bullet"/>
      <w:lvlText w:val="•"/>
      <w:lvlJc w:val="left"/>
      <w:pPr>
        <w:ind w:left="3836" w:hanging="240"/>
      </w:pPr>
      <w:rPr>
        <w:rFonts w:hint="default"/>
        <w:lang w:val="pt-PT" w:eastAsia="en-US" w:bidi="ar-SA"/>
      </w:rPr>
    </w:lvl>
    <w:lvl w:ilvl="4" w:tplc="1A6621F6">
      <w:numFmt w:val="bullet"/>
      <w:lvlText w:val="•"/>
      <w:lvlJc w:val="left"/>
      <w:pPr>
        <w:ind w:left="4715" w:hanging="240"/>
      </w:pPr>
      <w:rPr>
        <w:rFonts w:hint="default"/>
        <w:lang w:val="pt-PT" w:eastAsia="en-US" w:bidi="ar-SA"/>
      </w:rPr>
    </w:lvl>
    <w:lvl w:ilvl="5" w:tplc="3A263D9A">
      <w:numFmt w:val="bullet"/>
      <w:lvlText w:val="•"/>
      <w:lvlJc w:val="left"/>
      <w:pPr>
        <w:ind w:left="5594" w:hanging="240"/>
      </w:pPr>
      <w:rPr>
        <w:rFonts w:hint="default"/>
        <w:lang w:val="pt-PT" w:eastAsia="en-US" w:bidi="ar-SA"/>
      </w:rPr>
    </w:lvl>
    <w:lvl w:ilvl="6" w:tplc="C20E2FB0">
      <w:numFmt w:val="bullet"/>
      <w:lvlText w:val="•"/>
      <w:lvlJc w:val="left"/>
      <w:pPr>
        <w:ind w:left="6472" w:hanging="240"/>
      </w:pPr>
      <w:rPr>
        <w:rFonts w:hint="default"/>
        <w:lang w:val="pt-PT" w:eastAsia="en-US" w:bidi="ar-SA"/>
      </w:rPr>
    </w:lvl>
    <w:lvl w:ilvl="7" w:tplc="B7B8A1D8">
      <w:numFmt w:val="bullet"/>
      <w:lvlText w:val="•"/>
      <w:lvlJc w:val="left"/>
      <w:pPr>
        <w:ind w:left="7351" w:hanging="240"/>
      </w:pPr>
      <w:rPr>
        <w:rFonts w:hint="default"/>
        <w:lang w:val="pt-PT" w:eastAsia="en-US" w:bidi="ar-SA"/>
      </w:rPr>
    </w:lvl>
    <w:lvl w:ilvl="8" w:tplc="5CC695A2">
      <w:numFmt w:val="bullet"/>
      <w:lvlText w:val="•"/>
      <w:lvlJc w:val="left"/>
      <w:pPr>
        <w:ind w:left="8230" w:hanging="240"/>
      </w:pPr>
      <w:rPr>
        <w:rFonts w:hint="default"/>
        <w:lang w:val="pt-PT" w:eastAsia="en-US" w:bidi="ar-SA"/>
      </w:rPr>
    </w:lvl>
  </w:abstractNum>
  <w:num w:numId="1" w16cid:durableId="353386073">
    <w:abstractNumId w:val="17"/>
  </w:num>
  <w:num w:numId="2" w16cid:durableId="880049049">
    <w:abstractNumId w:val="14"/>
  </w:num>
  <w:num w:numId="3" w16cid:durableId="315690399">
    <w:abstractNumId w:val="12"/>
  </w:num>
  <w:num w:numId="4" w16cid:durableId="1714186357">
    <w:abstractNumId w:val="13"/>
  </w:num>
  <w:num w:numId="5" w16cid:durableId="1795246576">
    <w:abstractNumId w:val="3"/>
  </w:num>
  <w:num w:numId="6" w16cid:durableId="1019233578">
    <w:abstractNumId w:val="7"/>
  </w:num>
  <w:num w:numId="7" w16cid:durableId="81802686">
    <w:abstractNumId w:val="4"/>
  </w:num>
  <w:num w:numId="8" w16cid:durableId="1742872643">
    <w:abstractNumId w:val="9"/>
  </w:num>
  <w:num w:numId="9" w16cid:durableId="1345672604">
    <w:abstractNumId w:val="5"/>
  </w:num>
  <w:num w:numId="10" w16cid:durableId="1575818005">
    <w:abstractNumId w:val="2"/>
  </w:num>
  <w:num w:numId="11" w16cid:durableId="1188910647">
    <w:abstractNumId w:val="11"/>
  </w:num>
  <w:num w:numId="12" w16cid:durableId="1315834237">
    <w:abstractNumId w:val="10"/>
  </w:num>
  <w:num w:numId="13" w16cid:durableId="512232317">
    <w:abstractNumId w:val="6"/>
  </w:num>
  <w:num w:numId="14" w16cid:durableId="437719282">
    <w:abstractNumId w:val="1"/>
  </w:num>
  <w:num w:numId="15" w16cid:durableId="1129544984">
    <w:abstractNumId w:val="15"/>
  </w:num>
  <w:num w:numId="16" w16cid:durableId="199900652">
    <w:abstractNumId w:val="16"/>
  </w:num>
  <w:num w:numId="17" w16cid:durableId="1637829756">
    <w:abstractNumId w:val="8"/>
  </w:num>
  <w:num w:numId="18" w16cid:durableId="141794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456ED"/>
    <w:rsid w:val="003F7E35"/>
    <w:rsid w:val="005722CB"/>
    <w:rsid w:val="00582234"/>
    <w:rsid w:val="007D0AAB"/>
    <w:rsid w:val="00832672"/>
    <w:rsid w:val="0088565D"/>
    <w:rsid w:val="009456ED"/>
    <w:rsid w:val="00D01D46"/>
    <w:rsid w:val="00F92F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E338C"/>
  <w15:docId w15:val="{9B92F632-321A-427B-8843-0E311CB9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lang w:val="pt-PT"/>
    </w:rPr>
  </w:style>
  <w:style w:type="paragraph" w:styleId="Ttulo1">
    <w:name w:val="heading 1"/>
    <w:basedOn w:val="Normal"/>
    <w:uiPriority w:val="9"/>
    <w:qFormat/>
    <w:pPr>
      <w:ind w:left="20"/>
      <w:jc w:val="both"/>
      <w:outlineLvl w:val="0"/>
    </w:pPr>
    <w:rPr>
      <w:i/>
      <w:i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3"/>
      <w:szCs w:val="23"/>
    </w:rPr>
  </w:style>
  <w:style w:type="paragraph" w:styleId="PargrafodaLista">
    <w:name w:val="List Paragraph"/>
    <w:basedOn w:val="Normal"/>
    <w:uiPriority w:val="1"/>
    <w:qFormat/>
    <w:pPr>
      <w:ind w:left="963"/>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5722CB"/>
    <w:pPr>
      <w:tabs>
        <w:tab w:val="center" w:pos="4252"/>
        <w:tab w:val="right" w:pos="8504"/>
      </w:tabs>
    </w:pPr>
  </w:style>
  <w:style w:type="character" w:customStyle="1" w:styleId="CabealhoChar">
    <w:name w:val="Cabeçalho Char"/>
    <w:basedOn w:val="Fontepargpadro"/>
    <w:link w:val="Cabealho"/>
    <w:uiPriority w:val="99"/>
    <w:rsid w:val="005722CB"/>
    <w:rPr>
      <w:rFonts w:ascii="Calibri Light" w:eastAsia="Calibri Light" w:hAnsi="Calibri Light" w:cs="Calibri Light"/>
      <w:lang w:val="pt-PT"/>
    </w:rPr>
  </w:style>
  <w:style w:type="paragraph" w:styleId="Rodap">
    <w:name w:val="footer"/>
    <w:basedOn w:val="Normal"/>
    <w:link w:val="RodapChar"/>
    <w:uiPriority w:val="99"/>
    <w:unhideWhenUsed/>
    <w:rsid w:val="005722CB"/>
    <w:pPr>
      <w:tabs>
        <w:tab w:val="center" w:pos="4252"/>
        <w:tab w:val="right" w:pos="8504"/>
      </w:tabs>
    </w:pPr>
  </w:style>
  <w:style w:type="character" w:customStyle="1" w:styleId="RodapChar">
    <w:name w:val="Rodapé Char"/>
    <w:basedOn w:val="Fontepargpadro"/>
    <w:link w:val="Rodap"/>
    <w:uiPriority w:val="99"/>
    <w:rsid w:val="005722CB"/>
    <w:rPr>
      <w:rFonts w:ascii="Calibri Light" w:eastAsia="Calibri Light" w:hAnsi="Calibri Light" w:cs="Calibri Light"/>
      <w:lang w:val="pt-PT"/>
    </w:rPr>
  </w:style>
  <w:style w:type="paragraph" w:styleId="NormalWeb">
    <w:name w:val="Normal (Web)"/>
    <w:basedOn w:val="Normal"/>
    <w:uiPriority w:val="99"/>
    <w:semiHidden/>
    <w:unhideWhenUsed/>
    <w:rsid w:val="00D01D46"/>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D01D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Papel timbrado Brandão Ozores</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Silva</dc:creator>
  <cp:lastModifiedBy>Gabriel Silva</cp:lastModifiedBy>
  <cp:revision>1</cp:revision>
  <dcterms:created xsi:type="dcterms:W3CDTF">2026-04-08T17:31:00Z</dcterms:created>
  <dcterms:modified xsi:type="dcterms:W3CDTF">2026-04-08T17:32:00Z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2024-09-18T00:00:00Z</vt:filetime>
  </property>
  <property fmtid="{D5CDD505-2E9C-101B-9397-08002B2CF9AE}" pid="3" name="Creator">
    <vt:lpwstr>Acrobat PDFMaker 11 para Word</vt:lpwstr>
  </property>
  <property fmtid="{D5CDD505-2E9C-101B-9397-08002B2CF9AE}" pid="4" name="LastSaved">
    <vt:filetime>2024-09-19T00:00:00Z</vt:filetime>
  </property>
</Properties>
</file>