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i w:val="0"/>
          <w:color w:val="1F3864"/>
          <w:sz w:val="36"/>
        </w:rPr>
        <w:t>RELATÓRIO QUINZENAL Nº [005/2026] — CONTRATO 002/2026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B8963E"/>
          <w:sz w:val="24"/>
        </w:rPr>
        <w:t>Recuperação de Créditos — PRODAM S.A. × Brandão Ozores Advogados</w:t>
      </w:r>
    </w:p>
    <w:p>
      <w:r>
        <w:rPr>
          <w:rFonts w:ascii="Calibri" w:hAnsi="Calibri"/>
          <w:b/>
          <w:i w:val="0"/>
          <w:color w:val="1F3864"/>
          <w:sz w:val="22"/>
        </w:rPr>
        <w:t xml:space="preserve">Cliente: </w:t>
      </w:r>
      <w:r>
        <w:rPr>
          <w:rFonts w:ascii="Calibri" w:hAnsi="Calibri"/>
          <w:b w:val="0"/>
          <w:i w:val="0"/>
          <w:color w:val="2D2D2D"/>
          <w:sz w:val="22"/>
        </w:rPr>
        <w:t>PRODAM — Processamento de Dados Amazonas S.A. (CNPJ 04.407.920/0001-80)</w:t>
      </w:r>
    </w:p>
    <w:p>
      <w:r>
        <w:rPr>
          <w:rFonts w:ascii="Calibri" w:hAnsi="Calibri"/>
          <w:b/>
          <w:i w:val="0"/>
          <w:color w:val="1F3864"/>
          <w:sz w:val="22"/>
        </w:rPr>
        <w:t xml:space="preserve">Contratante: </w:t>
      </w:r>
      <w:r>
        <w:rPr>
          <w:rFonts w:ascii="Calibri" w:hAnsi="Calibri"/>
          <w:b w:val="0"/>
          <w:i w:val="0"/>
          <w:color w:val="2D2D2D"/>
          <w:sz w:val="22"/>
        </w:rPr>
        <w:t>Brandão Ozores Advogados</w:t>
      </w:r>
    </w:p>
    <w:p>
      <w:r>
        <w:rPr>
          <w:rFonts w:ascii="Calibri" w:hAnsi="Calibri"/>
          <w:b/>
          <w:i w:val="0"/>
          <w:color w:val="1F3864"/>
          <w:sz w:val="22"/>
        </w:rPr>
        <w:t xml:space="preserve">Elaboração: </w:t>
      </w:r>
      <w:r>
        <w:rPr>
          <w:rFonts w:ascii="Calibri" w:hAnsi="Calibri"/>
          <w:b w:val="0"/>
          <w:i w:val="0"/>
          <w:color w:val="2D2D2D"/>
          <w:sz w:val="22"/>
        </w:rPr>
        <w:t>Gabriel Mar — OAB/AM 15.697</w:t>
      </w:r>
    </w:p>
    <w:p>
      <w:r>
        <w:rPr>
          <w:rFonts w:ascii="Calibri" w:hAnsi="Calibri"/>
          <w:b/>
          <w:i w:val="0"/>
          <w:color w:val="1F3864"/>
          <w:sz w:val="22"/>
        </w:rPr>
        <w:t xml:space="preserve">Período de referência: </w:t>
      </w:r>
      <w:r>
        <w:rPr>
          <w:rFonts w:ascii="Calibri" w:hAnsi="Calibri"/>
          <w:b w:val="0"/>
          <w:i w:val="0"/>
          <w:color w:val="2D2D2D"/>
          <w:sz w:val="22"/>
        </w:rPr>
        <w:t>[28/05/2026 a 11/06/2026]</w:t>
      </w:r>
    </w:p>
    <w:p>
      <w:r>
        <w:rPr>
          <w:rFonts w:ascii="Calibri" w:hAnsi="Calibri"/>
          <w:b/>
          <w:i w:val="0"/>
          <w:color w:val="1F3864"/>
          <w:sz w:val="22"/>
        </w:rPr>
        <w:t xml:space="preserve">Data de emissão: </w:t>
      </w:r>
      <w:r>
        <w:rPr>
          <w:rFonts w:ascii="Calibri" w:hAnsi="Calibri"/>
          <w:b w:val="0"/>
          <w:i w:val="0"/>
          <w:color w:val="2D2D2D"/>
          <w:sz w:val="22"/>
        </w:rPr>
        <w:t>11/06/2026</w:t>
      </w:r>
    </w:p>
    <w:p>
      <w:r>
        <w:rPr>
          <w:rFonts w:ascii="Calibri" w:hAnsi="Calibri"/>
          <w:b w:val="0"/>
          <w:i w:val="0"/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0"/>
        </w:rPr>
        <w:t>1. SUMÁRIO EXECUTIVO</w:t>
      </w:r>
    </w:p>
    <w:p>
      <w:r>
        <w:rPr>
          <w:rFonts w:ascii="Calibri" w:hAnsi="Calibri"/>
          <w:b w:val="0"/>
          <w:i w:val="0"/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 w:val="0"/>
          <w:i w:val="0"/>
          <w:color w:val="2D2D2D"/>
          <w:sz w:val="22"/>
        </w:rPr>
        <w:t>O portfólio sob gestão compreende 69 devedores, com crédito exigível de R$ 83.668.078,44 e valor atualizado de R$ 125.245.390,64 (65/69 devedores com atualização monetária calculada). O universo de faturas soma 3.477 documentos: 2.326 exigíveis, 1.082 prescritas e 69 fora do universo de cobrança (canceladas/excluídas). (*)</w:t>
      </w:r>
    </w:p>
    <w:p>
      <w:pPr>
        <w:spacing w:after="160"/>
      </w:pPr>
      <w:r>
        <w:rPr>
          <w:rFonts w:ascii="Calibri" w:hAnsi="Calibri"/>
          <w:b w:val="0"/>
          <w:i w:val="0"/>
          <w:color w:val="2D2D2D"/>
          <w:sz w:val="22"/>
        </w:rPr>
        <w:t>Destaques da quinzena: (i) restauração do arquivo-mestre de dados do portfólio (profiles.json), detectado corrompido em 10/06, com validação integral pós-restauração; (ii) recálculo das datas de prescrição, individualizando prazos antes registrados com data-placeholder; (iii) organização não-destrutiva de todo o acervo documental (70.298 cópias verificadas por hash MD5); e (iv) início do memorial preliminar de cálculo da SEDUC, maior crédito do portfólio (R$ 49,2 milhões exigíveis), em andamento nesta data.</w:t>
      </w:r>
    </w:p>
    <w:p>
      <w:pPr>
        <w:spacing w:after="160"/>
      </w:pPr>
      <w:r>
        <w:rPr>
          <w:rFonts w:ascii="Calibri" w:hAnsi="Calibri"/>
          <w:b w:val="0"/>
          <w:i w:val="0"/>
          <w:color w:val="2D2D2D"/>
          <w:sz w:val="22"/>
        </w:rPr>
        <w:t>Pontos de atenção imediata: SSP e SUHAB têm prescrição projetada para 30/06/2026 (seção 3). Não houve recuperação de valores no período.</w:t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0"/>
        </w:rPr>
        <w:t>2. PANORAMA DO PORTFÓLIO</w:t>
      </w:r>
    </w:p>
    <w:p>
      <w:r>
        <w:rPr>
          <w:rFonts w:ascii="Calibri" w:hAnsi="Calibri"/>
          <w:b w:val="0"/>
          <w:i w:val="0"/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i w:val="0"/>
          <w:color w:val="1F3864"/>
          <w:sz w:val="24"/>
        </w:rPr>
        <w:t>2.1 Composição por categoria, força probatória e fase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4703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Devedores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Governo — Adm. Direta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Governo — Adm. Indireta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21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Empresas Privadas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22</w:t>
            </w:r>
          </w:p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Força probatória</w:t>
            </w:r>
          </w:p>
        </w:tc>
        <w:tc>
          <w:tcPr>
            <w:tcW w:type="dxa" w:w="4703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Devedores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FORTE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MÉDIA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15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FRACA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42</w:t>
            </w:r>
          </w:p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 do pipeline</w:t>
            </w:r>
          </w:p>
        </w:tc>
        <w:tc>
          <w:tcPr>
            <w:tcW w:type="dxa" w:w="4703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Devedores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F0 (diagnóstico/documentação)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51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F0_DIAGNOSTICO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4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F3 (TRD)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F5 (petição pronta)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5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3864"/>
          <w:sz w:val="24"/>
        </w:rPr>
        <w:t>2.2 Pipeline — próximo passo por devedor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Próximo passo</w:t>
            </w:r>
          </w:p>
        </w:tc>
        <w:tc>
          <w:tcPr>
            <w:tcW w:type="dxa" w:w="4703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Devedores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ANALISAR_DOCUMENTACAO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36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CLASSIFICAR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17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ENVIAR_TRD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PROTOCOLAR_PETICAO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5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AVALIAR_SUCESSAO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HABILITAÇÃO DE CRÉDITO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1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F3864"/>
          <w:sz w:val="24"/>
        </w:rPr>
        <w:t>2.3 Cinco maiores devedores (por valor exigível)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Devedor</w:t>
            </w:r>
          </w:p>
        </w:tc>
        <w:tc>
          <w:tcPr>
            <w:tcW w:type="dxa" w:w="1568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Exigível</w:t>
            </w:r>
          </w:p>
        </w:tc>
        <w:tc>
          <w:tcPr>
            <w:tcW w:type="dxa" w:w="1568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Atualizado</w:t>
            </w:r>
          </w:p>
        </w:tc>
        <w:tc>
          <w:tcPr>
            <w:tcW w:type="dxa" w:w="1568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Força</w:t>
            </w:r>
          </w:p>
        </w:tc>
        <w:tc>
          <w:tcPr>
            <w:tcW w:type="dxa" w:w="1568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Próximo passo</w:t>
            </w:r>
          </w:p>
        </w:tc>
        <w:tc>
          <w:tcPr>
            <w:tcW w:type="dxa" w:w="1568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Prescrição</w:t>
            </w:r>
          </w:p>
        </w:tc>
      </w:tr>
      <w:tr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SEDUC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R$ 49.215.512,48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R$ 50.263.263,56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FORTE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ANALISAR_DOCUMENTACAO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751 dias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SES/SUSAM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R$ 4.783.356,52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R$ 8.230.061,40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FORTE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ENVIAR_TRD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112 dias</w:t>
            </w:r>
          </w:p>
        </w:tc>
      </w:tr>
      <w:tr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SSP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R$ 4.553.230,80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R$ 29.034.062,63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FORTE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PROTOCOLAR_PETICAO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🔴 30/06/2026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SEJUSC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R$ 2.589.660,12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R$ 5.262.537,82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MÉDIA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ANALISAR_DOCUMENTACAO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🟡 31/08/2026</w:t>
            </w:r>
          </w:p>
        </w:tc>
      </w:tr>
      <w:tr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SEAD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R$ 2.339.702,20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R$ 4.296.278,76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FORTE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ENVIAR_TRD</w:t>
            </w:r>
          </w:p>
        </w:tc>
        <w:tc>
          <w:tcPr>
            <w:tcW w:type="dxa" w:w="1568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477 dias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2D2D2D"/>
          <w:sz w:val="22"/>
        </w:rPr>
        <w:t>Lista completa dos 69 devedores em STATUS_DEVEDORES.md (anexo de referência, seção 6).</w:t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0"/>
        </w:rPr>
        <w:t>3. ALERTAS DE PRESCRIÇÃO</w:t>
      </w:r>
    </w:p>
    <w:p>
      <w:r>
        <w:rPr>
          <w:rFonts w:ascii="Calibri" w:hAnsi="Calibri"/>
          <w:b w:val="0"/>
          <w:i w:val="0"/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 w:val="0"/>
          <w:i w:val="0"/>
          <w:color w:val="2D2D2D"/>
          <w:sz w:val="22"/>
        </w:rPr>
        <w:t>A prescrição é apurada por fatura individual, contada do vencimento (arts. 189 e 206, §5º, I, do Código Civil). Os marcos abaixo são as datas críticas registradas na base do projeto: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Devedor</w:t>
            </w:r>
          </w:p>
        </w:tc>
        <w:tc>
          <w:tcPr>
            <w:tcW w:type="dxa" w:w="2351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crítica</w:t>
            </w:r>
          </w:p>
        </w:tc>
        <w:tc>
          <w:tcPr>
            <w:tcW w:type="dxa" w:w="2351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 exigível</w:t>
            </w:r>
          </w:p>
        </w:tc>
        <w:tc>
          <w:tcPr>
            <w:tcW w:type="dxa" w:w="2351"/>
            <w:shd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Providência</w:t>
            </w:r>
          </w:p>
        </w:tc>
      </w:tr>
      <w:tr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🔴 SSP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30/06/2026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R$ 4.553.230,80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Petição pronta (fase F5). Protocolar antes do prazo, com blindagem pré-execução, checklist de 20 itens e verificação das exceções do Decreto Estadual AM nº 53.464/2026 (art. 1º, §§1º–4º).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🔴 SUHAB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30/06/2026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R$ 840.061,15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Em ANALISAR_DOCUMENTACAO. Acelerar análise e adotar medida interruptiva da prescrição antes do prazo.</w:t>
            </w:r>
          </w:p>
        </w:tc>
      </w:tr>
      <w:tr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🟡 SEJUSC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31/08/2026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R$ 2.589.660,12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Concluir análise documental até o prazo.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🛡️ DETRAN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marco interruptivo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Protegido por marco interruptivo (Art. 202, VI, CC) com data registrada no passado — marco prevalece; reconfirmar e atualizar a data. Monitorar cutoff da NF 110654 (CT 179/2018): 19/08/2026.</w:t>
            </w:r>
          </w:p>
        </w:tc>
      </w:tr>
    </w:tbl>
    <w:p/>
    <w:p>
      <w:pPr>
        <w:spacing w:before="120" w:after="200"/>
      </w:pPr>
      <w:r>
        <w:rPr>
          <w:rFonts w:ascii="Calibri" w:hAnsi="Calibri"/>
          <w:b/>
          <w:i w:val="0"/>
          <w:color w:val="B00000"/>
          <w:sz w:val="22"/>
        </w:rPr>
        <w:t>ATENÇÃO: SSP (R$ 4.553.230,80) e SUHAB (R$ 840.061,15) prescrevem em 30/06/2026 — ação interruptiva impreterível dentro do mês corrente.</w:t>
      </w:r>
    </w:p>
    <w:p>
      <w:pPr>
        <w:spacing w:after="160"/>
      </w:pPr>
      <w:r>
        <w:rPr>
          <w:rFonts w:ascii="Calibri" w:hAnsi="Calibri"/>
          <w:b w:val="0"/>
          <w:i w:val="0"/>
          <w:color w:val="2D2D2D"/>
          <w:sz w:val="22"/>
        </w:rPr>
        <w:t>9 devedores sem data de prescrição registrada (AADESAM, BRADESCO, CASA MILITAR, CGE, FJJA, FMPES, SEJEL, SETRAB, UGPI) — levantamento de vencimentos pendente.</w:t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0"/>
        </w:rPr>
        <w:t>4. AÇÕES REALIZADAS NA QUINZENA</w:t>
      </w:r>
    </w:p>
    <w:p>
      <w:r>
        <w:rPr>
          <w:rFonts w:ascii="Calibri" w:hAnsi="Calibri"/>
          <w:b w:val="0"/>
          <w:i w:val="0"/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 w:val="0"/>
          <w:i w:val="0"/>
          <w:color w:val="2D2D2D"/>
          <w:sz w:val="22"/>
        </w:rPr>
        <w:t>Período de referência: [28/05/2026 a 11/06/2026]. Relacionam-se apenas fatos com registro nos arquivos do projeto (fonte indicada entre parênteses); itens sem registro documental estão marcados "[a confirmar com o advogado]".</w:t>
      </w:r>
    </w:p>
    <w:p>
      <w:pPr>
        <w:spacing w:before="200" w:after="80"/>
      </w:pPr>
      <w:r>
        <w:rPr>
          <w:rFonts w:ascii="Calibri" w:hAnsi="Calibri"/>
          <w:b/>
          <w:i w:val="0"/>
          <w:color w:val="1F3864"/>
          <w:sz w:val="24"/>
        </w:rPr>
        <w:t>4.1 Gestão do portfólio e prescrição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09/06 — Diagnóstico integral do portfólio (somente leitura): mapeamento pronto × pendente por devedor, identificação de 14 devedores acionáveis (5 com petição pronta, 9 com TRD pronto/recomendado), gaps de reconciliação SPCF × exigível e priorização P1–P7 com a SSP em primeiro lugar (fonte: registros internos de trabalho, sessão de 09/06).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09/06 — Recálculo das datas de prescrição no profiles.json: cerca de 30 devedores saíram da data-placeholder 2026-03-20 para datas individualizadas, com backup pré-recálculo preservado; a metodologia do recálculo segue em conferência (fonte: registros internos de trabalho, sessão de 10/06).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10/06 — Panorama do portfólio com números conferidos entre profiles.json, TASKS.md e STATUS_DEVEDORES.md; geração de dashboard HTML autocontido e de minuta de relatório quinzenal em .docx (documento de gestão, datado de 10/06); o envio desse documento à PRODAM está [a confirmar com o advogado] (fonte: registros internos de trabalho, sessão de 10/06).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10/06 — Programação de 3 alertas pontuais de prazo: 24/06 (prescrição SSP + SUHAB em 30/06), 01/08 (SEJUSC em 31/08) e 05/08 (DETRAN — marco interruptivo e cutoff NF 110654 em 19/08) (fonte: registros internos de trabalho, sessão de 10/06).</w:t>
      </w:r>
    </w:p>
    <w:p>
      <w:pPr>
        <w:spacing w:before="200" w:after="80"/>
      </w:pPr>
      <w:r>
        <w:rPr>
          <w:rFonts w:ascii="Calibri" w:hAnsi="Calibri"/>
          <w:b/>
          <w:i w:val="0"/>
          <w:color w:val="1F3864"/>
          <w:sz w:val="24"/>
        </w:rPr>
        <w:t>4.2 Integridade de dados e acervo documental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28/05 — Saneamento de qualidade de código e dados (3 commits): eliminação de usos de float em valores monetários (regra Decimal), consolidação dos helpers de formatação BRL e auditoria forense da reversão de drift de 13/05 no profiles.json, com 113 testes automatizados aprovados (fonte: registros internos de trabalho, sessão de 28/05).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10/06 — Detecção e restauração do profiles.json (SSOT) corrompido/truncado: restaurado a partir de snapshot íntegro de 09/06, com backup do arquivo corrompido preservado e validação pós-restauração (69 devedores; soma R$ 83.668.078,44); satélites do projeto (CLAUDE.md, STATUS_DEVEDORES.md) regenerados às 17:45 (fonte: registros internos de trabalho, sessão de 10/06).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10/06 — Organização não-destrutiva do acervo completo do projeto: 91.256 arquivos inventariados (32,4 GB), 70.298 cópias organizadas por devedor/tipo com verificação de integridade MD5 em 100% das cópias, 20.958 duplicatas exatas identificadas (não recopiadas) e manifesto auditável de 91.256 linhas; originais intactos (fonte: registros internos de trabalho, relatório de organização de 10/06).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10/06 — DETRAN (Sessão 2): renomeação forense de 229 CSVs do subprojeto DETRAN_AUDITORIA_COMPLETA com hash MD5 pré-ação, índice de auditoria (CSV+JSON) e rollback integral possível; nenhum PDF tocado; alterações sincronizadas com o GitHub (commit 031b20a0) (fonte: registros internos de trabalho, sessão de 10/06).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09/06 — Organização da pasta "Arquivos Principais Projeto PRODAM" em modo cópia (16 arquivos copiados com conferência MD5; 3 duplicatas detectadas), com identificação documental relevante: o PDF "Canal Comunicação Oficial" é, na verdade, o Ofício PRESI/045/2026 da PRODAM (resposta ao Ofício 001/2026), reclassificado para a pasta de ofícios (fonte: registros internos de trabalho, sessão de 09/06).</w:t>
      </w:r>
    </w:p>
    <w:p>
      <w:pPr>
        <w:spacing w:before="200" w:after="80"/>
      </w:pPr>
      <w:r>
        <w:rPr>
          <w:rFonts w:ascii="Calibri" w:hAnsi="Calibri"/>
          <w:b/>
          <w:i w:val="0"/>
          <w:color w:val="1F3864"/>
          <w:sz w:val="24"/>
        </w:rPr>
        <w:t>4.3 Governança e controles internos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08–10/06 — Aprimoramento contínuo das ferramentas internas de auditoria, organização documental e controle de prazos do escritório aplicadas ao portfólio (auditoria do ferramental, automação de painéis de acompanhamento e rotinas de verificação de integridade de dados) (fonte: registros internos de trabalho, sessões de 08 a 10/06).</w:t>
      </w:r>
    </w:p>
    <w:p>
      <w:pPr>
        <w:spacing w:before="200" w:after="80"/>
      </w:pPr>
      <w:r>
        <w:rPr>
          <w:rFonts w:ascii="Calibri" w:hAnsi="Calibri"/>
          <w:b/>
          <w:i w:val="0"/>
          <w:color w:val="1F3864"/>
          <w:sz w:val="24"/>
        </w:rPr>
        <w:t>4.4 Em andamento nesta data (11/06/2026)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SEDUC — Memorial preliminar de cálculo em elaboração sobre o universo recente do SPCF (106 faturas; base R$ 54.535.717,29), com atualização monetária pela SELIC/EC 113 até a competência 04/2026 e ressalvas expressas de regime presumido (índice contratual por contrato ainda em confirmação). O universo SPCF recente supera o snapshot consolidado de mar/2026 (84 faturas; R$ 49.215.512,48 exigíveis) por critérios de corte distintos — conciliação detalhada na Seção 2 do memorial.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SEDUC — Plano de auditoria documental do acervo (DPCON, pendrive e SPCF) em elaboração, para suprir a cadeia probatória (Contrato + NE + NF + Atesto) do maior crédito do portfólio.</w:t>
      </w:r>
    </w:p>
    <w:p>
      <w:pPr>
        <w:spacing w:before="200" w:after="80"/>
      </w:pPr>
      <w:r>
        <w:rPr>
          <w:rFonts w:ascii="Calibri" w:hAnsi="Calibri"/>
          <w:b/>
          <w:i w:val="0"/>
          <w:color w:val="1F3864"/>
          <w:sz w:val="24"/>
        </w:rPr>
        <w:t>4.5 Registro negativo (transparência)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Não há, nos arquivos do repositório relativos ao período, registro de protocolos judiciais, notificações extrajudiciais enviadas a devedores ou reuniões externas nesta quinzena [a confirmar com o advogado].</w:t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0"/>
        </w:rPr>
        <w:t>5. PRÓXIMOS PASSOS</w:t>
      </w:r>
    </w:p>
    <w:p>
      <w:r>
        <w:rPr>
          <w:rFonts w:ascii="Calibri" w:hAnsi="Calibri"/>
          <w:b w:val="0"/>
          <w:i w:val="0"/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p>
      <w:pPr>
        <w:pStyle w:val="ListBullet"/>
      </w:pPr>
      <w:r>
        <w:rPr>
          <w:rFonts w:ascii="Calibri" w:hAnsi="Calibri"/>
          <w:b/>
          <w:i w:val="0"/>
          <w:color w:val="1F3864"/>
          <w:sz w:val="22"/>
        </w:rPr>
        <w:t xml:space="preserve">SSP — até 30/06/2026 (crítico) — </w:t>
      </w:r>
      <w:r>
        <w:rPr>
          <w:rFonts w:ascii="Calibri" w:hAnsi="Calibri"/>
          <w:b w:val="0"/>
          <w:i w:val="0"/>
          <w:color w:val="2D2D2D"/>
          <w:sz w:val="22"/>
        </w:rPr>
        <w:t>Protocolar a petição pronta antes da prescrição de 30/06/2026 (R$ 4.553.230,80 em risco): rodar blindagem pré-execução, checklist de 20 itens e verificar as exceções do Decreto Estadual AM nº 53.464/2026 (art. 1º, §§1º–4º).</w:t>
      </w:r>
    </w:p>
    <w:p>
      <w:pPr>
        <w:pStyle w:val="ListBullet"/>
      </w:pPr>
      <w:r>
        <w:rPr>
          <w:rFonts w:ascii="Calibri" w:hAnsi="Calibri"/>
          <w:b/>
          <w:i w:val="0"/>
          <w:color w:val="1F3864"/>
          <w:sz w:val="22"/>
        </w:rPr>
        <w:t xml:space="preserve">SUHAB — até 30/06/2026 (crítico) — </w:t>
      </w:r>
      <w:r>
        <w:rPr>
          <w:rFonts w:ascii="Calibri" w:hAnsi="Calibri"/>
          <w:b w:val="0"/>
          <w:i w:val="0"/>
          <w:color w:val="2D2D2D"/>
          <w:sz w:val="22"/>
        </w:rPr>
        <w:t>Acelerar a análise documental e adotar medida interruptiva da prescrição antes de 30/06/2026 (R$ 840.061,15 em risco).</w:t>
      </w:r>
    </w:p>
    <w:p>
      <w:pPr>
        <w:pStyle w:val="ListBullet"/>
      </w:pPr>
      <w:r>
        <w:rPr>
          <w:rFonts w:ascii="Calibri" w:hAnsi="Calibri"/>
          <w:b/>
          <w:i w:val="0"/>
          <w:color w:val="1F3864"/>
          <w:sz w:val="22"/>
        </w:rPr>
        <w:t xml:space="preserve">SEDUC — maior crédito (R$ 49,2 mi) — </w:t>
      </w:r>
      <w:r>
        <w:rPr>
          <w:rFonts w:ascii="Calibri" w:hAnsi="Calibri"/>
          <w:b w:val="0"/>
          <w:i w:val="0"/>
          <w:color w:val="2D2D2D"/>
          <w:sz w:val="22"/>
        </w:rPr>
        <w:t>Finalizar o memorial preliminar de cálculo (106 faturas SPCF; SELIC/EC 113 até 04/2026) e executar o plano de auditoria documental do acervo (DPCON/pendrive/SPCF), inclusive reconciliação da divergência SPCF × exigível apontada no diagnóstico de 09/06.</w:t>
      </w:r>
    </w:p>
    <w:p>
      <w:pPr>
        <w:pStyle w:val="ListBullet"/>
      </w:pPr>
      <w:r>
        <w:rPr>
          <w:rFonts w:ascii="Calibri" w:hAnsi="Calibri"/>
          <w:b/>
          <w:i w:val="0"/>
          <w:color w:val="1F3864"/>
          <w:sz w:val="22"/>
        </w:rPr>
        <w:t xml:space="preserve">DETRAN — destravar protocolo — </w:t>
      </w:r>
      <w:r>
        <w:rPr>
          <w:rFonts w:ascii="Calibri" w:hAnsi="Calibri"/>
          <w:b w:val="0"/>
          <w:i w:val="0"/>
          <w:color w:val="2D2D2D"/>
          <w:sz w:val="22"/>
        </w:rPr>
        <w:t>Concluir a revisão interna da notificação extrajudicial (crédito apurado de R$ 28.196.572,22) e requisitar à PRODAM, via LAI/ofício, os contratos-base faltantes; monitorar o marco de 19/08/2026.</w:t>
      </w:r>
    </w:p>
    <w:p>
      <w:pPr>
        <w:pStyle w:val="ListBullet"/>
      </w:pPr>
      <w:r>
        <w:rPr>
          <w:rFonts w:ascii="Calibri" w:hAnsi="Calibri"/>
          <w:b/>
          <w:i w:val="0"/>
          <w:color w:val="1F3864"/>
          <w:sz w:val="22"/>
        </w:rPr>
        <w:t xml:space="preserve">SES/SUSAM e SEAD — TRDs — </w:t>
      </w:r>
      <w:r>
        <w:rPr>
          <w:rFonts w:ascii="Calibri" w:hAnsi="Calibri"/>
          <w:b w:val="0"/>
          <w:i w:val="0"/>
          <w:color w:val="2D2D2D"/>
          <w:sz w:val="22"/>
        </w:rPr>
        <w:t>Emitir e enviar os Termos de Reconhecimento de Dívida (SES/SUSAM: R$ 4.783.356,52, prescrição em ~112 dias; SEAD: R$ 2.339.702,20).</w:t>
      </w:r>
    </w:p>
    <w:p>
      <w:pPr>
        <w:pStyle w:val="ListBullet"/>
      </w:pPr>
      <w:r>
        <w:rPr>
          <w:rFonts w:ascii="Calibri" w:hAnsi="Calibri"/>
          <w:b/>
          <w:i w:val="0"/>
          <w:color w:val="1F3864"/>
          <w:sz w:val="22"/>
        </w:rPr>
        <w:t xml:space="preserve">SEJUSC — até 31/08/2026 — </w:t>
      </w:r>
      <w:r>
        <w:rPr>
          <w:rFonts w:ascii="Calibri" w:hAnsi="Calibri"/>
          <w:b w:val="0"/>
          <w:i w:val="0"/>
          <w:color w:val="2D2D2D"/>
          <w:sz w:val="22"/>
        </w:rPr>
        <w:t>Concluir a análise documental (R$ 2.589.660,12).</w:t>
      </w:r>
    </w:p>
    <w:p>
      <w:pPr>
        <w:pStyle w:val="ListBullet"/>
      </w:pPr>
      <w:r>
        <w:rPr>
          <w:rFonts w:ascii="Calibri" w:hAnsi="Calibri"/>
          <w:b/>
          <w:i w:val="0"/>
          <w:color w:val="1F3864"/>
          <w:sz w:val="22"/>
        </w:rPr>
        <w:t xml:space="preserve">Higiene de dados — </w:t>
      </w:r>
      <w:r>
        <w:rPr>
          <w:rFonts w:ascii="Calibri" w:hAnsi="Calibri"/>
          <w:b w:val="0"/>
          <w:i w:val="0"/>
          <w:color w:val="2D2D2D"/>
          <w:sz w:val="22"/>
        </w:rPr>
        <w:t>Levantar vencimentos dos 9 devedores sem data de prescrição registrada; conferir a metodologia do recálculo de prescrição de 09/06; investigar a causa do truncamento do profiles.json e adotar escrita atômica com validação.</w:t>
      </w:r>
    </w:p>
    <w:p>
      <w:pPr>
        <w:pStyle w:val="ListBullet"/>
      </w:pPr>
      <w:r>
        <w:rPr>
          <w:rFonts w:ascii="Calibri" w:hAnsi="Calibri"/>
          <w:b/>
          <w:i w:val="0"/>
          <w:color w:val="1F3864"/>
          <w:sz w:val="22"/>
        </w:rPr>
        <w:t xml:space="preserve">Obrigação contratual — </w:t>
      </w:r>
      <w:r>
        <w:rPr>
          <w:rFonts w:ascii="Calibri" w:hAnsi="Calibri"/>
          <w:b w:val="0"/>
          <w:i w:val="0"/>
          <w:color w:val="2D2D2D"/>
          <w:sz w:val="22"/>
        </w:rPr>
        <w:t>Manter a cadência dos relatórios quinzenais à PRODAM (multa contratual de R$ 500,00/dia de atraso).</w:t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0"/>
        </w:rPr>
        <w:t>6. ANEXOS E REFERÊNCIAS</w:t>
      </w:r>
    </w:p>
    <w:p>
      <w:r>
        <w:rPr>
          <w:rFonts w:ascii="Calibri" w:hAnsi="Calibri"/>
          <w:b w:val="0"/>
          <w:i w:val="0"/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 w:val="0"/>
          <w:i w:val="0"/>
          <w:color w:val="2D2D2D"/>
          <w:sz w:val="22"/>
        </w:rPr>
        <w:t>Documentos e bases que lastreiam este relatório (disponíveis no repositório do projeto):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Base consolidada de devedores do projeto (SSOT), restaurada e validada em 10/06/2026.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Painéis consolidados do portfólio regenerados em 10/06/2026 17:45 (KPIs, alertas de prescrição e pipeline).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Registros internos de trabalho do período 28/05–11/06/2026 — disponíveis para auditoria da PRODAM mediante solicitação.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D2D2D"/>
          <w:sz w:val="22"/>
        </w:rPr>
        <w:t>Memorial preliminar de cálculo SEDUC (em elaboração, 11/06/2026).</w:t>
      </w:r>
    </w:p>
    <w:p>
      <w:pPr>
        <w:spacing w:before="200" w:after="80"/>
      </w:pPr>
      <w:r>
        <w:rPr>
          <w:rFonts w:ascii="Calibri" w:hAnsi="Calibri"/>
          <w:b/>
          <w:i w:val="0"/>
          <w:color w:val="1F3864"/>
          <w:sz w:val="24"/>
        </w:rPr>
        <w:t>Nota de rodapé</w:t>
      </w:r>
    </w:p>
    <w:p>
      <w:r>
        <w:rPr>
          <w:rFonts w:ascii="Calibri" w:hAnsi="Calibri"/>
          <w:b w:val="0"/>
          <w:i/>
          <w:color w:val="777777"/>
          <w:sz w:val="18"/>
        </w:rPr>
        <w:t>(*) Conferência de KPIs: o único profiles.json disponível neste clone do repositório (_ARQUIVO/Melhorar ainda mais esse dashboard/profiles.json) é um snapshot antigo e diverge da SSOT viva — soma 70 registros, R$ 121.512.497,26 exigível, R$ 195.448.326,85 atualizado e 2.958 faturas (1.873 exigíveis / 1.085 prescritas). Os números do corpo deste relatório seguem os painéis oficiais regenerados em 10/06/2026 17:45 a partir da base consolidada restaurada. O exigível consolidado não inclui o crédito do DETRAN (R$ 28.196.572,22, apurado em notificação extrajudicial em revisão final), registrado por R$ 0,00 no consolidado-mãe; com sua inclusão, o portfólio exigível é da ordem de R$ 111,9 milhões. Reconciliação em curso.</w:t>
      </w:r>
    </w:p>
    <w:p/>
    <w:p>
      <w:pPr>
        <w:jc w:val="center"/>
      </w:pPr>
      <w:r>
        <w:rPr>
          <w:rFonts w:ascii="Calibri" w:hAnsi="Calibri"/>
          <w:b w:val="0"/>
          <w:i w:val="0"/>
          <w:color w:val="B8963E"/>
          <w:sz w:val="20"/>
        </w:rPr>
        <w:t>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i w:val="0"/>
          <w:color w:val="1F3864"/>
          <w:sz w:val="24"/>
        </w:rPr>
        <w:t>Gabriel Mar</w:t>
      </w:r>
    </w:p>
    <w:p>
      <w:pPr>
        <w:jc w:val="center"/>
      </w:pPr>
      <w:r>
        <w:rPr>
          <w:rFonts w:ascii="Calibri" w:hAnsi="Calibri"/>
          <w:b w:val="0"/>
          <w:i w:val="0"/>
          <w:color w:val="777777"/>
          <w:sz w:val="20"/>
        </w:rPr>
        <w:t>OAB/AM 15.697</w:t>
      </w:r>
    </w:p>
    <w:p>
      <w:pPr>
        <w:jc w:val="center"/>
      </w:pPr>
      <w:r>
        <w:rPr>
          <w:rFonts w:ascii="Calibri" w:hAnsi="Calibri"/>
          <w:b w:val="0"/>
          <w:i w:val="0"/>
          <w:color w:val="777777"/>
          <w:sz w:val="20"/>
        </w:rPr>
        <w:t>Gabriel Mar Sociedade Individual de Advocacia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