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 w:val="0"/>
          <w:color w:val="2D2D2D"/>
          <w:sz w:val="22"/>
        </w:rPr>
      </w:r>
    </w:p>
    <w:p>
      <w:r>
        <w:rPr>
          <w:rFonts w:ascii="Calibri" w:hAnsi="Calibri"/>
          <w:b w:val="0"/>
          <w:i w:val="0"/>
          <w:color w:val="2D2D2D"/>
          <w:sz w:val="22"/>
        </w:rPr>
      </w:r>
    </w:p>
    <w:p>
      <w:pPr>
        <w:jc w:val="center"/>
      </w:pPr>
      <w:r>
        <w:rPr>
          <w:b/>
          <w:color w:val="B8963E"/>
          <w:sz w:val="28"/>
        </w:rPr>
        <w:t>DIAGNÓSTICO TÉCNICO</w:t>
      </w:r>
    </w:p>
    <w:p>
      <w:pPr>
        <w:jc w:val="center"/>
      </w:pPr>
      <w:r>
        <w:rPr>
          <w:b/>
          <w:color w:val="1F3864"/>
          <w:sz w:val="52"/>
        </w:rPr>
        <w:t>PASTA-MÃE PROJETO_PRODAM</w:t>
      </w:r>
    </w:p>
    <w:p>
      <w:pPr>
        <w:jc w:val="center"/>
      </w:pPr>
      <w:r>
        <w:rPr>
          <w:i/>
          <w:color w:val="777777"/>
          <w:sz w:val="28"/>
        </w:rPr>
        <w:t>Análise de Cientista de Dados</w:t>
      </w:r>
    </w:p>
    <w:p>
      <w:r>
        <w:rPr>
          <w:rFonts w:ascii="Calibri" w:hAnsi="Calibri"/>
          <w:b w:val="0"/>
          <w:i w:val="0"/>
          <w:color w:val="2D2D2D"/>
          <w:sz w:val="22"/>
        </w:rPr>
      </w:r>
    </w:p>
    <w:p>
      <w:r>
        <w:rPr>
          <w:rFonts w:ascii="Calibri" w:hAnsi="Calibri"/>
          <w:b w:val="0"/>
          <w:i w:val="0"/>
          <w:color w:val="2D2D2D"/>
          <w:sz w:val="22"/>
        </w:rPr>
      </w:r>
    </w:p>
    <w:p>
      <w:pPr>
        <w:jc w:val="center"/>
      </w:pPr>
      <w:r>
        <w:rPr>
          <w:color w:val="B8963E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2D2D2D"/>
          <w:sz w:val="22"/>
        </w:rPr>
        <w:t>Gerado em: 2026-04-22 02:34:09</w:t>
      </w:r>
    </w:p>
    <w:p>
      <w:pPr>
        <w:jc w:val="center"/>
      </w:pPr>
      <w:r>
        <w:rPr>
          <w:color w:val="2D2D2D"/>
          <w:sz w:val="22"/>
        </w:rPr>
        <w:t>Contrato 002/2026 — PRODAM S.A. × Brandão Ozores Advogados</w:t>
      </w:r>
    </w:p>
    <w:p>
      <w:pPr>
        <w:jc w:val="center"/>
      </w:pPr>
      <w:r>
        <w:rPr>
          <w:i/>
          <w:color w:val="777777"/>
          <w:sz w:val="20"/>
        </w:rPr>
        <w:t>Gabriel Mar Sociedade Individual de Advocacia — OAB/AM 15.697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F3864"/>
          <w:sz w:val="36"/>
        </w:rPr>
        <w:t>1. SUMÁRIO EXECUTIVO</w:t>
      </w:r>
    </w:p>
    <w:p>
      <w:r>
        <w:rPr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2D2D2D"/>
          <w:sz w:val="22"/>
        </w:rPr>
        <w:t>A pasta PROJETO_PRODAM funciona como data lake jurídico estruturado, desenhado para alimentar 78 pastas-filhas (uma por devedor), cada uma com nove subpastas padronizadas (de 01_CONTRATOS a 09_RELATORIOS). Este relatório analisa a pasta mãe sob a ótica de um cientista de dados: arquitetura, qualidade, cobertura, padrões replicáveis e gaps críticos.</w:t>
      </w:r>
    </w:p>
    <w:p>
      <w:r>
        <w:rPr>
          <w:rFonts w:ascii="Calibri" w:hAnsi="Calibri"/>
          <w:b/>
          <w:color w:val="1F3864"/>
          <w:sz w:val="26"/>
        </w:rPr>
        <w:t>Números-chave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Pasta-mãe (raiz)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/sessions/gallant-focused-brahmagupta/mnt/PROJETO_PRODAM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Devedores com pasta _CONSOLIDADO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78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Devedores em profiles.json (SSOT)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70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Divergência estrutural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8 pastas sem correspondência no SSOT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Valor exigível (total portfólio)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R$ 93.632.770,88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Valor atualizado (total portfólio)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R$ 160.936.948,41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Base prodam.db (tamanho)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91.46 MB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Base prodam.db (registros)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78.590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Base OCR_CONSOLIDADO.db (tamanho)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579 MB — 24 tabelas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Benchmark DETRAN (arquivos)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455 no _CONSOLIDADO | cobertura 88,9%</w:t>
            </w:r>
          </w:p>
        </w:tc>
      </w:tr>
    </w:tbl>
    <w:p>
      <w:r>
        <w:rPr>
          <w:rFonts w:ascii="Calibri" w:hAnsi="Calibri"/>
          <w:b/>
          <w:color w:val="1F3864"/>
          <w:sz w:val="26"/>
        </w:rPr>
        <w:t>Três descobertas críticas</w:t>
      </w:r>
    </w:p>
    <w:p>
      <w:r>
        <w:rPr>
          <w:rFonts w:ascii="Calibri" w:hAnsi="Calibri"/>
          <w:b w:val="0"/>
          <w:i w:val="0"/>
          <w:color w:val="2D2D2D"/>
          <w:sz w:val="22"/>
        </w:rPr>
        <w:t>1. Sucesso comprovado mas isolado. Apenas o DETRAN atinge cobertura documental ≥ 80% (88,9%). Os outros 77 devedores estão em estágios iniciais — 59% têm cobertura entre 20% e 49%, e 33% têm menos de 20% de cobertura. A pasta mãe nasceu como projeto-piloto DETRAN e só começou a escalar.</w:t>
      </w:r>
    </w:p>
    <w:p>
      <w:r>
        <w:rPr>
          <w:rFonts w:ascii="Calibri" w:hAnsi="Calibri"/>
          <w:b w:val="0"/>
          <w:i w:val="0"/>
          <w:color w:val="2D2D2D"/>
          <w:sz w:val="22"/>
        </w:rPr>
        <w:t>2. Divergência SSOT × Pastas. CLAUDE.md reporta 71 devedores; profiles.json tem 70; há 78 pastas _CONSOLIDADO no disco. Existem 8 pastas sem correspondência no SSOT — possivelmente pastas-fantasma de iterações anteriores. Isso quebra a premissa de 'profiles.json é a SSOT' fixada na regra #15 do CLAUDE.md.</w:t>
      </w:r>
    </w:p>
    <w:p>
      <w:r>
        <w:rPr>
          <w:rFonts w:ascii="Calibri" w:hAnsi="Calibri"/>
          <w:b w:val="0"/>
          <w:i w:val="0"/>
          <w:color w:val="2D2D2D"/>
          <w:sz w:val="22"/>
        </w:rPr>
        <w:t>3. Pipeline pronta, execução pendente. Os scripts orgao_pipeline_completa.py (605 linhas) e auditoria_completude_devedor.py (453 linhas) implementam uma pipeline parametrizada ('--orgao SIGLA') aplicável a qualquer devedor. O gargalo não é técnico — é execução: precisa rodar a pipeline para cada um dos 77 devedores restantes.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F3864"/>
          <w:sz w:val="36"/>
        </w:rPr>
        <w:t>2. ARQUITETURA DA PASTA-MÃE</w:t>
      </w:r>
    </w:p>
    <w:p>
      <w:r>
        <w:rPr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2D2D2D"/>
          <w:sz w:val="22"/>
        </w:rPr>
        <w:t>A pasta PROJETO_PRODAM segue um padrão de data lake com cinco camadas lógicas. Entender essas camadas é pré-requisito para qualquer análise ou automação.</w:t>
      </w:r>
    </w:p>
    <w:p>
      <w:r>
        <w:rPr>
          <w:rFonts w:ascii="Calibri" w:hAnsi="Calibri"/>
          <w:b/>
          <w:color w:val="1F3864"/>
          <w:sz w:val="26"/>
        </w:rPr>
        <w:t>2.1 Camadas da pasta-mãe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3864"/>
          </w:tcPr>
          <w:p>
            <w:r/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118"/>
            <w:shd w:fill="1F3864"/>
          </w:tcPr>
          <w:p>
            <w:r/>
            <w:r>
              <w:rPr>
                <w:b/>
                <w:color w:val="FFFFFF"/>
                <w:sz w:val="20"/>
              </w:rPr>
              <w:t>Local</w:t>
            </w:r>
          </w:p>
        </w:tc>
        <w:tc>
          <w:tcPr>
            <w:tcW w:type="dxa" w:w="4535"/>
            <w:shd w:fill="1F3864"/>
          </w:tcPr>
          <w:p>
            <w:r/>
            <w:r>
              <w:rPr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BRUTO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SPCF_EXTRACAO/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color w:val="2D2D2D"/>
                <w:sz w:val="18"/>
              </w:rPr>
              <w:t>Documentos originais raspados do SPCF (HTML, PDF, OCR)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ESTRUTURADO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prodam.db, OCR_CONSOLIDADO.db</w:t>
            </w:r>
          </w:p>
        </w:tc>
        <w:tc>
          <w:tcPr>
            <w:tcW w:type="dxa" w:w="4535"/>
          </w:tcPr>
          <w:p>
            <w:r/>
            <w:r>
              <w:rPr>
                <w:color w:val="2D2D2D"/>
                <w:sz w:val="18"/>
              </w:rPr>
              <w:t>Dados normalizados em SQLite</w:t>
            </w:r>
          </w:p>
        </w:tc>
      </w:tr>
      <w:tr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SSOT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PRODAM_DOCS/profiles.json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color w:val="2D2D2D"/>
                <w:sz w:val="18"/>
              </w:rPr>
              <w:t>Fonte autoritativa única de verdade sobre devedores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PASTA-FILHA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PRODAM_DOCS/&lt;DEV&gt;_CONSOLIDADO/</w:t>
            </w:r>
          </w:p>
        </w:tc>
        <w:tc>
          <w:tcPr>
            <w:tcW w:type="dxa" w:w="4535"/>
          </w:tcPr>
          <w:p>
            <w:r/>
            <w:r>
              <w:rPr>
                <w:color w:val="2D2D2D"/>
                <w:sz w:val="18"/>
              </w:rPr>
              <w:t>Uma por devedor; 9 subpastas padronizadas</w:t>
            </w:r>
          </w:p>
        </w:tc>
      </w:tr>
      <w:tr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ENTREGÁVEL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PRODAM_DOCS/&lt;DEV&gt;_DOSSIE/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color w:val="2D2D2D"/>
                <w:sz w:val="18"/>
              </w:rPr>
              <w:t>Dossiês jurídicos finais (dashboard, CSV, LLM)</w:t>
            </w:r>
          </w:p>
        </w:tc>
      </w:tr>
    </w:tbl>
    <w:p>
      <w:r>
        <w:rPr>
          <w:rFonts w:ascii="Calibri" w:hAnsi="Calibri"/>
          <w:b/>
          <w:color w:val="1F3864"/>
          <w:sz w:val="26"/>
        </w:rPr>
        <w:t>2.2 Schema padronizado das pastas-filhas</w:t>
      </w:r>
    </w:p>
    <w:p>
      <w:r>
        <w:rPr>
          <w:rFonts w:ascii="Calibri" w:hAnsi="Calibri"/>
          <w:b w:val="0"/>
          <w:i w:val="0"/>
          <w:color w:val="2D2D2D"/>
          <w:sz w:val="22"/>
        </w:rPr>
        <w:t>Toda pasta-filha _CONSOLIDADO segue o mesmo schema de 9 subpastas. Isso é o que torna a pasta mãe 'replicável': ao adicionar um novo devedor, basta seguir o molde.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3864"/>
          </w:tcPr>
          <w:p>
            <w:r/>
            <w:r>
              <w:rPr>
                <w:b/>
                <w:color w:val="FFFFFF"/>
                <w:sz w:val="20"/>
              </w:rPr>
              <w:t>Subpasta</w:t>
            </w:r>
          </w:p>
        </w:tc>
        <w:tc>
          <w:tcPr>
            <w:tcW w:type="dxa" w:w="3685"/>
            <w:shd w:fill="1F3864"/>
          </w:tcPr>
          <w:p>
            <w:r/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2268"/>
            <w:shd w:fill="1F3864"/>
          </w:tcPr>
          <w:p>
            <w:r/>
            <w:r>
              <w:rPr>
                <w:b/>
                <w:color w:val="FFFFFF"/>
                <w:sz w:val="20"/>
              </w:rPr>
              <w:t>% devedores com arquivos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color w:val="2D2D2D"/>
                <w:sz w:val="18"/>
              </w:rPr>
              <w:t>01_CONTRATOS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color w:val="2D2D2D"/>
                <w:sz w:val="18"/>
              </w:rPr>
              <w:t>Contratos originais + Termos Aditivos (PDFs)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color w:val="2D2D2D"/>
                <w:sz w:val="18"/>
              </w:rPr>
              <w:t>7.7% (apenas 6 devedores)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2D2D"/>
                <w:sz w:val="18"/>
              </w:rPr>
              <w:t>02_EMPENHOS</w:t>
            </w:r>
          </w:p>
        </w:tc>
        <w:tc>
          <w:tcPr>
            <w:tcW w:type="dxa" w:w="3685"/>
          </w:tcPr>
          <w:p>
            <w:r/>
            <w:r>
              <w:rPr>
                <w:color w:val="2D2D2D"/>
                <w:sz w:val="18"/>
              </w:rPr>
              <w:t>Notas de Empenho (NE) — Art. 202 VI CC</w:t>
            </w:r>
          </w:p>
        </w:tc>
        <w:tc>
          <w:tcPr>
            <w:tcW w:type="dxa" w:w="2268"/>
          </w:tcPr>
          <w:p>
            <w:r/>
            <w:r>
              <w:rPr>
                <w:color w:val="2D2D2D"/>
                <w:sz w:val="18"/>
              </w:rPr>
              <w:t>3.8% (apenas 3)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color w:val="2D2D2D"/>
                <w:sz w:val="18"/>
              </w:rPr>
              <w:t>03_FATURAS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color w:val="2D2D2D"/>
                <w:sz w:val="18"/>
              </w:rPr>
              <w:t>Notas Fiscais emitidas pela PRODAM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color w:val="2D2D2D"/>
                <w:sz w:val="18"/>
              </w:rPr>
              <w:t>25.6% (20)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2D2D"/>
                <w:sz w:val="18"/>
              </w:rPr>
              <w:t>04_NOTAS_LIQUIDACAO</w:t>
            </w:r>
          </w:p>
        </w:tc>
        <w:tc>
          <w:tcPr>
            <w:tcW w:type="dxa" w:w="3685"/>
          </w:tcPr>
          <w:p>
            <w:r/>
            <w:r>
              <w:rPr>
                <w:color w:val="2D2D2D"/>
                <w:sz w:val="18"/>
              </w:rPr>
              <w:t>Liquidação formal (Lei 4.320/64)</w:t>
            </w:r>
          </w:p>
        </w:tc>
        <w:tc>
          <w:tcPr>
            <w:tcW w:type="dxa" w:w="2268"/>
          </w:tcPr>
          <w:p>
            <w:r/>
            <w:r>
              <w:rPr>
                <w:color w:val="2D2D2D"/>
                <w:sz w:val="18"/>
              </w:rPr>
              <w:t>3.8% (3)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color w:val="2D2D2D"/>
                <w:sz w:val="18"/>
              </w:rPr>
              <w:t>05_ACEITES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color w:val="2D2D2D"/>
                <w:sz w:val="18"/>
              </w:rPr>
              <w:t>Aceites técnicos do fiscal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color w:val="2D2D2D"/>
                <w:sz w:val="18"/>
              </w:rPr>
              <w:t>61.5% (48)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2D2D"/>
                <w:sz w:val="18"/>
              </w:rPr>
              <w:t>06_COBRANCAS</w:t>
            </w:r>
          </w:p>
        </w:tc>
        <w:tc>
          <w:tcPr>
            <w:tcW w:type="dxa" w:w="3685"/>
          </w:tcPr>
          <w:p>
            <w:r/>
            <w:r>
              <w:rPr>
                <w:color w:val="2D2D2D"/>
                <w:sz w:val="18"/>
              </w:rPr>
              <w:t>Cartas e ofícios de cobrança</w:t>
            </w:r>
          </w:p>
        </w:tc>
        <w:tc>
          <w:tcPr>
            <w:tcW w:type="dxa" w:w="2268"/>
          </w:tcPr>
          <w:p>
            <w:r/>
            <w:r>
              <w:rPr>
                <w:color w:val="2D2D2D"/>
                <w:sz w:val="18"/>
              </w:rPr>
              <w:t>80.8% (63)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color w:val="2D2D2D"/>
                <w:sz w:val="18"/>
              </w:rPr>
              <w:t>07_SCRAPING_SPCF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color w:val="2D2D2D"/>
                <w:sz w:val="18"/>
              </w:rPr>
              <w:t>Dados raspados do sistema SPCF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color w:val="2D2D2D"/>
                <w:sz w:val="18"/>
              </w:rPr>
              <w:t>1.3% (apenas 1)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2D2D"/>
                <w:sz w:val="18"/>
              </w:rPr>
              <w:t>08_PDFS_ORIGINAIS</w:t>
            </w:r>
          </w:p>
        </w:tc>
        <w:tc>
          <w:tcPr>
            <w:tcW w:type="dxa" w:w="3685"/>
          </w:tcPr>
          <w:p>
            <w:r/>
            <w:r>
              <w:rPr>
                <w:color w:val="2D2D2D"/>
                <w:sz w:val="18"/>
              </w:rPr>
              <w:t>PDFs brutos antes de catalogação</w:t>
            </w:r>
          </w:p>
        </w:tc>
        <w:tc>
          <w:tcPr>
            <w:tcW w:type="dxa" w:w="2268"/>
          </w:tcPr>
          <w:p>
            <w:r/>
            <w:r>
              <w:rPr>
                <w:color w:val="2D2D2D"/>
                <w:sz w:val="18"/>
              </w:rPr>
              <w:t>52.6% (41)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color w:val="2D2D2D"/>
                <w:sz w:val="18"/>
              </w:rPr>
              <w:t>09_RELATORIOS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color w:val="2D2D2D"/>
                <w:sz w:val="18"/>
              </w:rPr>
              <w:t>Relatórios consolidados do devedor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color w:val="2D2D2D"/>
                <w:sz w:val="18"/>
              </w:rPr>
              <w:t>1.3% (apenas 1)</w:t>
            </w:r>
          </w:p>
        </w:tc>
      </w:tr>
    </w:tbl>
    <w:p>
      <w:r>
        <w:rPr>
          <w:rFonts w:ascii="Calibri" w:hAnsi="Calibri"/>
          <w:b w:val="0"/>
          <w:i w:val="0"/>
          <w:color w:val="2D2D2D"/>
          <w:sz w:val="22"/>
        </w:rPr>
      </w:r>
    </w:p>
    <w:p>
      <w:r>
        <w:rPr>
          <w:rFonts w:ascii="Calibri" w:hAnsi="Calibri"/>
          <w:b w:val="0"/>
          <w:i/>
          <w:color w:val="777777"/>
          <w:sz w:val="20"/>
        </w:rPr>
        <w:t>Leitura crítica: três subpastas têm cobertura &lt; 10% (07_SCRAPING_SPCF, 09_RELATORIOS, 02_EMPENHOS, 04_NOTAS_LIQUIDACAO). Isso é grave porque empenhos (NE) e notas de liquidação (NL) são exatamente o material que interrompe prescrição (Art. 202 VI CC) e confirma serviço prestado (Lei 4.320/64). Sem esses documentos, a força probatória cai para FRACA.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F3864"/>
          <w:sz w:val="36"/>
        </w:rPr>
        <w:t>3. QUALIDADE DE DADOS</w:t>
      </w:r>
    </w:p>
    <w:p>
      <w:r>
        <w:rPr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1F3864"/>
          <w:sz w:val="26"/>
        </w:rPr>
        <w:t>3.1 Base prodam.db (91,5 MB, SQLite)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3864"/>
          </w:tcPr>
          <w:p>
            <w:r/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Registros</w:t>
            </w:r>
          </w:p>
        </w:tc>
        <w:tc>
          <w:tcPr>
            <w:tcW w:type="dxa" w:w="1134"/>
            <w:shd w:fill="1F3864"/>
          </w:tcPr>
          <w:p>
            <w:r/>
            <w:r>
              <w:rPr>
                <w:b/>
                <w:color w:val="FFFFFF"/>
                <w:sz w:val="20"/>
              </w:rPr>
              <w:t>Colunas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color w:val="2D2D2D"/>
                <w:sz w:val="18"/>
              </w:rPr>
              <w:t>spcf_contratos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374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color w:val="2D2D2D"/>
                <w:sz w:val="18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2D2D2D"/>
                <w:sz w:val="18"/>
              </w:rPr>
              <w:t>spcf_empenhos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16.789</w:t>
            </w:r>
          </w:p>
        </w:tc>
        <w:tc>
          <w:tcPr>
            <w:tcW w:type="dxa" w:w="1134"/>
          </w:tcPr>
          <w:p>
            <w:r/>
            <w:r>
              <w:rPr>
                <w:color w:val="2D2D2D"/>
                <w:sz w:val="18"/>
              </w:rPr>
              <w:t>11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color w:val="2D2D2D"/>
                <w:sz w:val="18"/>
              </w:rPr>
              <w:t>spcf_faturas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1.927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color w:val="2D2D2D"/>
                <w:sz w:val="18"/>
              </w:rPr>
              <w:t>13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2D2D2D"/>
                <w:sz w:val="18"/>
              </w:rPr>
              <w:t>spcf_nfs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52.998</w:t>
            </w:r>
          </w:p>
        </w:tc>
        <w:tc>
          <w:tcPr>
            <w:tcW w:type="dxa" w:w="1134"/>
          </w:tcPr>
          <w:p>
            <w:r/>
            <w:r>
              <w:rPr>
                <w:color w:val="2D2D2D"/>
                <w:sz w:val="18"/>
              </w:rPr>
              <w:t>4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color w:val="2D2D2D"/>
                <w:sz w:val="18"/>
              </w:rPr>
              <w:t>pendrive_docs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3.699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color w:val="2D2D2D"/>
                <w:sz w:val="18"/>
              </w:rPr>
              <w:t>14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2D2D2D"/>
                <w:sz w:val="18"/>
              </w:rPr>
              <w:t>devedores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81</w:t>
            </w:r>
          </w:p>
        </w:tc>
        <w:tc>
          <w:tcPr>
            <w:tcW w:type="dxa" w:w="1134"/>
          </w:tcPr>
          <w:p>
            <w:r/>
            <w:r>
              <w:rPr>
                <w:color w:val="2D2D2D"/>
                <w:sz w:val="18"/>
              </w:rPr>
              <w:t>10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color w:val="2D2D2D"/>
                <w:sz w:val="18"/>
              </w:rPr>
              <w:t>reclassificacao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1.261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color w:val="2D2D2D"/>
                <w:sz w:val="18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2D2D2D"/>
                <w:sz w:val="18"/>
              </w:rPr>
              <w:t>cruzamento_spcf_pendrive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1.460</w:t>
            </w:r>
          </w:p>
        </w:tc>
        <w:tc>
          <w:tcPr>
            <w:tcW w:type="dxa" w:w="1134"/>
          </w:tcPr>
          <w:p>
            <w:r/>
            <w:r>
              <w:rPr>
                <w:color w:val="2D2D2D"/>
                <w:sz w:val="18"/>
              </w:rPr>
              <w:t>8</w:t>
            </w:r>
          </w:p>
        </w:tc>
      </w:tr>
    </w:tbl>
    <w:p>
      <w:r>
        <w:rPr>
          <w:rFonts w:ascii="Calibri" w:hAnsi="Calibri"/>
          <w:b w:val="0"/>
          <w:i w:val="0"/>
          <w:color w:val="2D2D2D"/>
          <w:sz w:val="22"/>
        </w:rPr>
      </w:r>
    </w:p>
    <w:p>
      <w:r>
        <w:rPr>
          <w:rFonts w:ascii="Calibri" w:hAnsi="Calibri"/>
          <w:b w:val="0"/>
          <w:i w:val="0"/>
          <w:color w:val="2D2D2D"/>
          <w:sz w:val="20"/>
        </w:rPr>
        <w:t>Total de registros: 78.590. Views: v_fatura_sem_empenho, v_fatura_completa, v_nf_sem_pagamento, v_pendrive_por_devedor, v_cruzamento_nf.</w:t>
      </w:r>
    </w:p>
    <w:p>
      <w:r>
        <w:rPr>
          <w:rFonts w:ascii="Calibri" w:hAnsi="Calibri"/>
          <w:b/>
          <w:color w:val="1F3864"/>
          <w:sz w:val="26"/>
        </w:rPr>
        <w:t>3.2 profiles.json (SSOT de 70 devedores)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Total devedores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70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Campos por devedor (sample SES/SUSAM)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~120 campos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Tem CNPJ preenchido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69/70 (98,6%)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Tem data_prescricao_proxima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52/70 (74,3%)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Tem score_composto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51/70 (72,9%)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Tem p_recuperacao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51/70 (72,9%)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Título executivo = True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2/70 (2,9%)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Faturas totais (soma)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3.497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Faturas prescritas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1.085 (31,0%)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1F3864"/>
                <w:sz w:val="20"/>
              </w:rPr>
              <w:t>Faturas exigíveis</w:t>
            </w:r>
          </w:p>
        </w:tc>
        <w:tc>
          <w:tcPr>
            <w:tcW w:type="dxa" w:w="4703"/>
          </w:tcPr>
          <w:p>
            <w:r/>
            <w:r>
              <w:rPr>
                <w:color w:val="2D2D2D"/>
                <w:sz w:val="20"/>
              </w:rPr>
              <w:t>2.412 (69,0%)</w:t>
            </w:r>
          </w:p>
        </w:tc>
      </w:tr>
    </w:tbl>
    <w:p>
      <w:r>
        <w:rPr>
          <w:rFonts w:ascii="Calibri" w:hAnsi="Calibri"/>
          <w:b/>
          <w:color w:val="1F3864"/>
          <w:sz w:val="26"/>
        </w:rPr>
        <w:t>3.3 Distribuição por categoria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1F3864"/>
          </w:tcPr>
          <w:p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Devedores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% do portfólio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color w:val="2D2D2D"/>
                <w:sz w:val="18"/>
              </w:rPr>
              <w:t>GOV_DIRETA (secretarias)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37,1%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2D2D2D"/>
                <w:sz w:val="18"/>
              </w:rPr>
              <w:t>GOV_INDIRETA (autarquias, fundações)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21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30,0%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color w:val="2D2D2D"/>
                <w:sz w:val="18"/>
              </w:rPr>
              <w:t>EMPRESA_PRIVADA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22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31,4%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2D2D2D"/>
                <w:sz w:val="18"/>
              </w:rPr>
              <w:t>(sem classificação)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1,4%</w:t>
            </w:r>
          </w:p>
        </w:tc>
      </w:tr>
    </w:tbl>
    <w:p>
      <w:r>
        <w:rPr>
          <w:rFonts w:ascii="Calibri" w:hAnsi="Calibri"/>
          <w:b/>
          <w:color w:val="1F3864"/>
          <w:sz w:val="26"/>
        </w:rPr>
        <w:t>3.4 Distribuição por força probatória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3864"/>
          </w:tcPr>
          <w:p>
            <w:r/>
            <w:r>
              <w:rPr>
                <w:b/>
                <w:color w:val="FFFFFF"/>
                <w:sz w:val="20"/>
              </w:rPr>
              <w:t>Força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Devedores</w:t>
            </w:r>
          </w:p>
        </w:tc>
        <w:tc>
          <w:tcPr>
            <w:tcW w:type="dxa" w:w="4535"/>
            <w:shd w:fill="1F3864"/>
          </w:tcPr>
          <w:p>
            <w:r/>
            <w:r>
              <w:rPr>
                <w:b/>
                <w:color w:val="FFFFFF"/>
                <w:sz w:val="20"/>
              </w:rPr>
              <w:t>Tratamento jurídico</w:t>
            </w:r>
          </w:p>
        </w:tc>
      </w:tr>
      <w:tr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FORTE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12 (17,1%)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color w:val="2D2D2D"/>
                <w:sz w:val="18"/>
              </w:rPr>
              <w:t>Execução direta (Art. 784 CPC) — cadeia completa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MÉDIA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15 (21,4%)</w:t>
            </w:r>
          </w:p>
        </w:tc>
        <w:tc>
          <w:tcPr>
            <w:tcW w:type="dxa" w:w="4535"/>
          </w:tcPr>
          <w:p>
            <w:r/>
            <w:r>
              <w:rPr>
                <w:color w:val="2D2D2D"/>
                <w:sz w:val="18"/>
              </w:rPr>
              <w:t>Ação monitória (Art. 700 CPC) — cadeia parcial</w:t>
            </w:r>
          </w:p>
        </w:tc>
      </w:tr>
      <w:tr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FRACA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42 (60,0%)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color w:val="2D2D2D"/>
                <w:sz w:val="18"/>
              </w:rPr>
              <w:t>Cobrança simples ou negociação — docs incompletos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(vazio)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 (1,4%)</w:t>
            </w:r>
          </w:p>
        </w:tc>
        <w:tc>
          <w:tcPr>
            <w:tcW w:type="dxa" w:w="4535"/>
          </w:tcPr>
          <w:p>
            <w:r/>
            <w:r>
              <w:rPr>
                <w:color w:val="2D2D2D"/>
                <w:sz w:val="18"/>
              </w:rPr>
              <w:t>Pendente classificação</w:t>
            </w:r>
          </w:p>
        </w:tc>
      </w:tr>
    </w:tbl>
    <w:p>
      <w:r>
        <w:rPr>
          <w:rFonts w:ascii="Calibri" w:hAnsi="Calibri"/>
          <w:b/>
          <w:color w:val="1F3864"/>
          <w:sz w:val="26"/>
        </w:rPr>
        <w:t>3.5 Divergências entre fontes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3864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b/>
                <w:color w:val="FFFFFF"/>
                <w:sz w:val="20"/>
              </w:rPr>
              <w:t>Devedores</w:t>
            </w:r>
          </w:p>
        </w:tc>
        <w:tc>
          <w:tcPr>
            <w:tcW w:type="dxa" w:w="3402"/>
            <w:shd w:fill="1F3864"/>
          </w:tcPr>
          <w:p>
            <w:r/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color w:val="2D2D2D"/>
                <w:sz w:val="18"/>
              </w:rPr>
              <w:t>CLAUDE.md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71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color w:val="2D2D2D"/>
                <w:sz w:val="18"/>
              </w:rPr>
              <w:t>Métrica declarada no topo do arquivo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2D2D2D"/>
                <w:sz w:val="18"/>
              </w:rPr>
              <w:t>profiles.json (SSOT)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70</w:t>
            </w:r>
          </w:p>
        </w:tc>
        <w:tc>
          <w:tcPr>
            <w:tcW w:type="dxa" w:w="3402"/>
          </w:tcPr>
          <w:p>
            <w:r/>
            <w:r>
              <w:rPr>
                <w:color w:val="2D2D2D"/>
                <w:sz w:val="18"/>
              </w:rPr>
              <w:t>Fonte oficial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color w:val="2D2D2D"/>
                <w:sz w:val="18"/>
              </w:rPr>
              <w:t>Pastas _CONSOLIDADO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78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color w:val="2D2D2D"/>
                <w:sz w:val="18"/>
              </w:rPr>
              <w:t>+ 8 divergentes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2D2D2D"/>
                <w:sz w:val="18"/>
              </w:rPr>
              <w:t>Pastas _DOSSIE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82</w:t>
            </w:r>
          </w:p>
        </w:tc>
        <w:tc>
          <w:tcPr>
            <w:tcW w:type="dxa" w:w="3402"/>
          </w:tcPr>
          <w:p>
            <w:r/>
            <w:r>
              <w:rPr>
                <w:color w:val="2D2D2D"/>
                <w:sz w:val="18"/>
              </w:rPr>
              <w:t>+ 12 (inclui DESCONHECIDO, MASTER, SEJEL, SRMM sem CONSOLIDADO)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color w:val="2D2D2D"/>
                <w:sz w:val="18"/>
              </w:rPr>
              <w:t>Tabela devedores (prodam.db)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81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color w:val="2D2D2D"/>
                <w:sz w:val="18"/>
              </w:rPr>
              <w:t>+ 11 em relação ao SSOT</w:t>
            </w:r>
          </w:p>
        </w:tc>
      </w:tr>
    </w:tbl>
    <w:p>
      <w:r>
        <w:rPr>
          <w:rFonts w:ascii="Calibri" w:hAnsi="Calibri"/>
          <w:b w:val="0"/>
          <w:i w:val="0"/>
          <w:color w:val="2D2D2D"/>
          <w:sz w:val="22"/>
        </w:rPr>
      </w:r>
    </w:p>
    <w:p>
      <w:r>
        <w:rPr>
          <w:rFonts w:ascii="Calibri" w:hAnsi="Calibri"/>
          <w:b w:val="0"/>
          <w:i/>
          <w:color w:val="777777"/>
          <w:sz w:val="20"/>
        </w:rPr>
        <w:t>Recomendação: executar auditoria de reconciliação entre as 5 fontes para descobrir se as pastas extras são devedores legítimos (e devem entrar no SSOT) ou resíduos de iterações passadas (e devem ir para _legado/).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F3864"/>
          <w:sz w:val="36"/>
        </w:rPr>
        <w:t>4. BENCHMARK: DETRAN COMO PASTA-FILHA IDEAL</w:t>
      </w:r>
    </w:p>
    <w:p>
      <w:r>
        <w:rPr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2D2D2D"/>
          <w:sz w:val="22"/>
        </w:rPr>
        <w:t>A pasta DETRAN_CONSOLIDADO é a única que atinge padrão A+ (score 94/100 conforme CLAUDE.md). Serve como referência para replicação. Análise detalhada: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F3864"/>
          </w:tcPr>
          <w:p>
            <w:r/>
            <w:r>
              <w:rPr>
                <w:b/>
                <w:color w:val="FFFFFF"/>
                <w:sz w:val="20"/>
              </w:rPr>
              <w:t>Subpasta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b/>
                <w:color w:val="FFFFFF"/>
                <w:sz w:val="20"/>
              </w:rPr>
              <w:t>Arquivos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b/>
                <w:color w:val="FFFFFF"/>
                <w:sz w:val="20"/>
              </w:rPr>
              <w:t>Tamanho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color w:val="2D2D2D"/>
                <w:sz w:val="18"/>
              </w:rPr>
              <w:t>01_CONTRATOS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70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250.58 MB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OK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D2D2D"/>
                <w:sz w:val="18"/>
              </w:rPr>
              <w:t>02_EMPENHOS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111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61.88 MB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OK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color w:val="2D2D2D"/>
                <w:sz w:val="18"/>
              </w:rPr>
              <w:t>03_FATURAS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121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27.19 MB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OK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D2D2D"/>
                <w:sz w:val="18"/>
              </w:rPr>
              <w:t>04_NOTAS_LIQUIDACAO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0.00 MB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VAZIO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color w:val="2D2D2D"/>
                <w:sz w:val="18"/>
              </w:rPr>
              <w:t>05_ACEITES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17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5.81 MB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OK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D2D2D"/>
                <w:sz w:val="18"/>
              </w:rPr>
              <w:t>06_COBRANCAS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91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702.90 MB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OK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color w:val="2D2D2D"/>
                <w:sz w:val="18"/>
              </w:rPr>
              <w:t>07_SCRAPING_SPCF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8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0.10 MB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OK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D2D2D"/>
                <w:sz w:val="18"/>
              </w:rPr>
              <w:t>08_PDFS_ORIGINAIS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24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7.76 MB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OK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color w:val="2D2D2D"/>
                <w:sz w:val="18"/>
              </w:rPr>
              <w:t>09_RELATORIOS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13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1.09 MB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OK</w:t>
            </w:r>
          </w:p>
        </w:tc>
      </w:tr>
    </w:tbl>
    <w:p>
      <w:r>
        <w:rPr>
          <w:rFonts w:ascii="Calibri" w:hAnsi="Calibri"/>
          <w:b w:val="0"/>
          <w:i w:val="0"/>
          <w:color w:val="2D2D2D"/>
          <w:sz w:val="22"/>
        </w:rPr>
      </w:r>
    </w:p>
    <w:p>
      <w:r>
        <w:rPr>
          <w:rFonts w:ascii="Calibri" w:hAnsi="Calibri"/>
          <w:b w:val="0"/>
          <w:i/>
          <w:color w:val="777777"/>
          <w:sz w:val="20"/>
        </w:rPr>
        <w:t>Mesmo o DETRAN (benchmark) tem 04_NOTAS_LIQUIDACAO vazia. A ausência de NLs é padrão do portfólio — provavelmente porque a Administração Pública não costuma fornecer cópia da NL ao contratado. Alternativa: usar NE (empenho) + NF atestada como substituto funcional.</w:t>
      </w:r>
    </w:p>
    <w:p>
      <w:r>
        <w:rPr>
          <w:rFonts w:ascii="Calibri" w:hAnsi="Calibri"/>
          <w:b/>
          <w:color w:val="1F3864"/>
          <w:sz w:val="26"/>
        </w:rPr>
        <w:t>Gap por volume de arquivos</w:t>
      </w:r>
    </w:p>
    <w:p>
      <w:r>
        <w:rPr>
          <w:rFonts w:ascii="Calibri" w:hAnsi="Calibri"/>
          <w:b w:val="0"/>
          <w:i w:val="0"/>
          <w:color w:val="2D2D2D"/>
          <w:sz w:val="22"/>
        </w:rPr>
        <w:t>Se o DETRAN atinge A+ com 455 arquivos, os demais devedores precisam atingir volumes comparáveis. Situação atual dos top-10 por valor exigível: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F3864"/>
          </w:tcPr>
          <w:p>
            <w:r/>
            <w:r>
              <w:rPr>
                <w:b/>
                <w:color w:val="FFFFFF"/>
                <w:sz w:val="20"/>
              </w:rPr>
              <w:t>Devedor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b/>
                <w:color w:val="FFFFFF"/>
                <w:sz w:val="20"/>
              </w:rPr>
              <w:t>Arquivos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Gap vs DETRAN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color w:val="2D2D2D"/>
                <w:sz w:val="18"/>
              </w:rPr>
              <w:t>DETRAN (benchmark)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455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88,9%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GAP DE REFERÊNCIA: 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D2D2D"/>
                <w:sz w:val="18"/>
              </w:rPr>
              <w:t>SEDUC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113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+342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color w:val="2D2D2D"/>
                <w:sz w:val="18"/>
              </w:rPr>
              <w:t>SES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151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+304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D2D2D"/>
                <w:sz w:val="18"/>
              </w:rPr>
              <w:t>SSP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337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33.3%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+118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color w:val="2D2D2D"/>
                <w:sz w:val="18"/>
              </w:rPr>
              <w:t>SEJUSC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85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+370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D2D2D"/>
                <w:sz w:val="18"/>
              </w:rPr>
              <w:t>SEAD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110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+345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color w:val="2D2D2D"/>
                <w:sz w:val="18"/>
              </w:rPr>
              <w:t>CETAM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27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+428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D2D2D"/>
                <w:sz w:val="18"/>
              </w:rPr>
              <w:t>SEDECTI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161</w:t>
            </w:r>
          </w:p>
        </w:tc>
        <w:tc>
          <w:tcPr>
            <w:tcW w:type="dxa" w:w="1417"/>
          </w:tcPr>
          <w:p>
            <w:r/>
            <w:r>
              <w:rPr>
                <w:color w:val="2D2D2D"/>
                <w:sz w:val="18"/>
              </w:rPr>
              <w:t>55.6%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+294</w:t>
            </w:r>
          </w:p>
        </w:tc>
      </w:tr>
      <w:tr>
        <w:tc>
          <w:tcPr>
            <w:tcW w:type="dxa" w:w="2551"/>
            <w:shd w:fill="F2F2F2"/>
          </w:tcPr>
          <w:p>
            <w:r/>
            <w:r>
              <w:rPr>
                <w:color w:val="2D2D2D"/>
                <w:sz w:val="18"/>
              </w:rPr>
              <w:t>POLICIA_CIVIL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85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+370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1F3864"/>
          <w:sz w:val="36"/>
        </w:rPr>
        <w:t>5. PADRÕES REPLICÁVEIS (SCRIPTS E AUTOMAÇÃO)</w:t>
      </w:r>
    </w:p>
    <w:p>
      <w:r>
        <w:rPr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2D2D2D"/>
          <w:sz w:val="22"/>
        </w:rPr>
        <w:t>A pasta mãe contém uma infraestrutura técnica madura. Mapeei os scripts que são 'moldes' para replicar o processamento a qualquer devedor.</w:t>
      </w:r>
    </w:p>
    <w:p>
      <w:r>
        <w:rPr>
          <w:rFonts w:ascii="Calibri" w:hAnsi="Calibri"/>
          <w:b/>
          <w:color w:val="1F3864"/>
          <w:sz w:val="26"/>
        </w:rPr>
        <w:t>5.1 Scripts-molde identificados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1F3864"/>
          </w:tcPr>
          <w:p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1134"/>
            <w:shd w:fill="1F3864"/>
          </w:tcPr>
          <w:p>
            <w:r/>
            <w:r>
              <w:rPr>
                <w:b/>
                <w:color w:val="FFFFFF"/>
                <w:sz w:val="20"/>
              </w:rPr>
              <w:t>Linhas</w:t>
            </w:r>
          </w:p>
        </w:tc>
        <w:tc>
          <w:tcPr>
            <w:tcW w:type="dxa" w:w="3969"/>
            <w:shd w:fill="1F3864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orgao_pipeline_completa.py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color w:val="2D2D2D"/>
                <w:sz w:val="18"/>
              </w:rPr>
              <w:t>605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color w:val="2D2D2D"/>
                <w:sz w:val="18"/>
              </w:rPr>
              <w:t>Pipeline genérica parametrizada por --orgao SIGLA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auditoria_completude_devedor.py</w:t>
            </w:r>
          </w:p>
        </w:tc>
        <w:tc>
          <w:tcPr>
            <w:tcW w:type="dxa" w:w="1134"/>
          </w:tcPr>
          <w:p>
            <w:r/>
            <w:r>
              <w:rPr>
                <w:color w:val="2D2D2D"/>
                <w:sz w:val="18"/>
              </w:rPr>
              <w:t>453</w:t>
            </w:r>
          </w:p>
        </w:tc>
        <w:tc>
          <w:tcPr>
            <w:tcW w:type="dxa" w:w="3969"/>
          </w:tcPr>
          <w:p>
            <w:r/>
            <w:r>
              <w:rPr>
                <w:color w:val="2D2D2D"/>
                <w:sz w:val="18"/>
              </w:rPr>
              <w:t>Checklist de 11 itens por devedor</w:t>
            </w:r>
          </w:p>
        </w:tc>
      </w:tr>
      <w:tr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dossie_multiformato_devedor.py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color w:val="2D2D2D"/>
                <w:sz w:val="18"/>
              </w:rPr>
              <w:t>420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color w:val="2D2D2D"/>
                <w:sz w:val="18"/>
              </w:rPr>
              <w:t>Gera 5 formatos por devedor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reconciliacao_4_fontes.py</w:t>
            </w:r>
          </w:p>
        </w:tc>
        <w:tc>
          <w:tcPr>
            <w:tcW w:type="dxa" w:w="1134"/>
          </w:tcPr>
          <w:p>
            <w:r/>
            <w:r>
              <w:rPr>
                <w:color w:val="2D2D2D"/>
                <w:sz w:val="18"/>
              </w:rPr>
              <w:t>667</w:t>
            </w:r>
          </w:p>
        </w:tc>
        <w:tc>
          <w:tcPr>
            <w:tcW w:type="dxa" w:w="3969"/>
          </w:tcPr>
          <w:p>
            <w:r/>
            <w:r>
              <w:rPr>
                <w:color w:val="2D2D2D"/>
                <w:sz w:val="18"/>
              </w:rPr>
              <w:t>Reconcilia profiles × prodam.db × SPCF × pastas</w:t>
            </w:r>
          </w:p>
        </w:tc>
      </w:tr>
      <w:tr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prodam_utils.py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color w:val="2D2D2D"/>
                <w:sz w:val="18"/>
              </w:rPr>
              <w:t>212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color w:val="2D2D2D"/>
                <w:sz w:val="18"/>
              </w:rPr>
              <w:t>Utilidades: norm(), brl(), datas, parse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auto_update_claude_md.py</w:t>
            </w:r>
          </w:p>
        </w:tc>
        <w:tc>
          <w:tcPr>
            <w:tcW w:type="dxa" w:w="1134"/>
          </w:tcPr>
          <w:p>
            <w:r/>
            <w:r>
              <w:rPr>
                <w:color w:val="2D2D2D"/>
                <w:sz w:val="18"/>
              </w:rPr>
              <w:t>283</w:t>
            </w:r>
          </w:p>
        </w:tc>
        <w:tc>
          <w:tcPr>
            <w:tcW w:type="dxa" w:w="3969"/>
          </w:tcPr>
          <w:p>
            <w:r/>
            <w:r>
              <w:rPr>
                <w:color w:val="2D2D2D"/>
                <w:sz w:val="18"/>
              </w:rPr>
              <w:t>Regenera CLAUDE.md automaticamente</w:t>
            </w:r>
          </w:p>
        </w:tc>
      </w:tr>
      <w:tr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analisar_v4.py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color w:val="2D2D2D"/>
                <w:sz w:val="18"/>
              </w:rPr>
              <w:t>1.775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color w:val="2D2D2D"/>
                <w:sz w:val="18"/>
              </w:rPr>
              <w:t>Análise forense (o maior — audita tudo)</w:t>
            </w:r>
          </w:p>
        </w:tc>
      </w:tr>
    </w:tbl>
    <w:p>
      <w:r>
        <w:rPr>
          <w:rFonts w:ascii="Calibri" w:hAnsi="Calibri"/>
          <w:b/>
          <w:color w:val="1F3864"/>
          <w:sz w:val="26"/>
        </w:rPr>
        <w:t>5.2 Duplicações detectadas (risco de drift)</w:t>
      </w:r>
    </w:p>
    <w:p>
      <w:r>
        <w:rPr>
          <w:rFonts w:ascii="Calibri" w:hAnsi="Calibri"/>
          <w:b w:val="0"/>
          <w:i w:val="0"/>
          <w:color w:val="2D2D2D"/>
          <w:sz w:val="22"/>
        </w:rPr>
        <w:t>Scripts que existem em duas localizações podem divergir silenciosamente. Verificação por hash MD5: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3864"/>
          </w:tcPr>
          <w:p>
            <w:r/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969"/>
            <w:shd w:fill="1F3864"/>
          </w:tcPr>
          <w:p>
            <w:r/>
            <w:r>
              <w:rPr>
                <w:b/>
                <w:color w:val="FFFFFF"/>
                <w:sz w:val="20"/>
              </w:rPr>
              <w:t>Ação recomendada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color w:val="2D2D2D"/>
                <w:sz w:val="18"/>
              </w:rPr>
              <w:t>auto_update_claude_md.py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IDÊNTICO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color w:val="2D2D2D"/>
                <w:sz w:val="18"/>
              </w:rPr>
              <w:t>Manter. Considerar link simbólico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2D2D2D"/>
                <w:sz w:val="18"/>
              </w:rPr>
              <w:t>prodam_utils.py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IDÊNTICO</w:t>
            </w:r>
          </w:p>
        </w:tc>
        <w:tc>
          <w:tcPr>
            <w:tcW w:type="dxa" w:w="3969"/>
          </w:tcPr>
          <w:p>
            <w:r/>
            <w:r>
              <w:rPr>
                <w:color w:val="2D2D2D"/>
                <w:sz w:val="18"/>
              </w:rPr>
              <w:t>Manter. Considerar link simbólico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color w:val="2D2D2D"/>
                <w:sz w:val="18"/>
              </w:rPr>
              <w:t>consultas.py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DIVERGENTE</w:t>
            </w:r>
          </w:p>
        </w:tc>
        <w:tc>
          <w:tcPr>
            <w:tcW w:type="dxa" w:w="3969"/>
            <w:shd w:fill="F2F2F2"/>
          </w:tcPr>
          <w:p>
            <w:r/>
            <w:r>
              <w:rPr>
                <w:color w:val="2D2D2D"/>
                <w:sz w:val="18"/>
              </w:rPr>
              <w:t>Unificar versão ativa; legado → _legado/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2D2D2D"/>
                <w:sz w:val="18"/>
              </w:rPr>
              <w:t>orgao_pipeline_completa.py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DIVERGENTE</w:t>
            </w:r>
          </w:p>
        </w:tc>
        <w:tc>
          <w:tcPr>
            <w:tcW w:type="dxa" w:w="3969"/>
          </w:tcPr>
          <w:p>
            <w:r/>
            <w:r>
              <w:rPr>
                <w:color w:val="2D2D2D"/>
                <w:sz w:val="18"/>
              </w:rPr>
              <w:t>Consolidar — 605 vs 606 linhas</w:t>
            </w:r>
          </w:p>
        </w:tc>
      </w:tr>
    </w:tbl>
    <w:p>
      <w:r>
        <w:rPr>
          <w:rFonts w:ascii="Calibri" w:hAnsi="Calibri"/>
          <w:b/>
          <w:color w:val="1F3864"/>
          <w:sz w:val="26"/>
        </w:rPr>
        <w:t>5.3 Infraestrutura jurídica (REFERENCIA_JURIDICA)</w:t>
      </w:r>
    </w:p>
    <w:p>
      <w:r>
        <w:rPr>
          <w:rFonts w:ascii="Calibri" w:hAnsi="Calibri"/>
          <w:b w:val="0"/>
          <w:i w:val="0"/>
          <w:color w:val="2D2D2D"/>
          <w:sz w:val="22"/>
        </w:rPr>
        <w:t>Árvore de 18 subpastas (00_KNOWLEDGE_BASE a 17_ERRATA_CORRECOES) que funciona como enciclopédia jurídica do projeto. É a matéria-prima para fundamentar cada peça processual. A estrutura está madura; falta cruzamento com os devedores (qual norma aplica-se a qual caso).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F3864"/>
          <w:sz w:val="36"/>
        </w:rPr>
        <w:t>6. RANKING COMPLETO — 78 DEVEDORES</w:t>
      </w:r>
    </w:p>
    <w:p>
      <w:r>
        <w:rPr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color w:val="2D2D2D"/>
          <w:sz w:val="22"/>
        </w:rPr>
        <w:t>Cada devedor classificado por volume de arquivos (proxy de maturidade). Quanto mais abaixo, mais trabalho de coleta documental ainda falta.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3864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1F3864"/>
          </w:tcPr>
          <w:p>
            <w:r/>
            <w:r>
              <w:rPr>
                <w:b/>
                <w:color w:val="FFFFFF"/>
                <w:sz w:val="20"/>
              </w:rPr>
              <w:t>Devedor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Arquivos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1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DETRAN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455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88.9%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SSP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337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33.3%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3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SEDECTI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161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55.6%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SES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151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5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FAAR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139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55.6%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SEDUC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113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7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SEAD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110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8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SEC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87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33.3%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9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POLICIA_CIVIL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85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10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SEJUSC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85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11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IPAAM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83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66.7%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12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FHAJ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74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13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ARSEPAM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65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14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FCECON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65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15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TCE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64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16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SEPA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63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17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SECT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62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18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CAIXA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59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19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ADAF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56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33.3%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20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AMAZONPREV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53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55.6%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21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SNPH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53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22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FMT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52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23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BANCO_MASTER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50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24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PGE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50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25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SUHAB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49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26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ADS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48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27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SEMA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48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28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PROVER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46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29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SEAS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44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33.3%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30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FVS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43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33.3%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31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IDAM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42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55.6%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32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CBMAM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39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33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CASA_CIVIL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33.3%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34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FHEMOAM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36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35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PMAM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</w:tbl>
    <w:p>
      <w:r>
        <w:br w:type="page"/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3864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1F3864"/>
          </w:tcPr>
          <w:p>
            <w:r/>
            <w:r>
              <w:rPr>
                <w:b/>
                <w:color w:val="FFFFFF"/>
                <w:sz w:val="20"/>
              </w:rPr>
              <w:t>Devedor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Arquivos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36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SEINFRA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37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SEPROR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34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38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FEPIAM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33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39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UEA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31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40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FUHAM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30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41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SEFAZ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30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33.3%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42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CETAM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27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43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PROCON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27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44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UGPE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27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45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AMAZONASTUR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26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46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COSAMA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25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47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FUNTEA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21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33.3%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48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FUAM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20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49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BANCO_SICOOB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50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IKM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19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51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SEDEL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52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SUL_AMERICA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19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53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ANOREG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18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54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IMPRENSA_OFICIAL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18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55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DPE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56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JUCEA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57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ODONTOMED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58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SECOM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15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59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CGE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60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FENIXSOFT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14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61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SEMIG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44.4%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62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ALEAM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13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63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EASYTECH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13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64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ITRANSITO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12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65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PGJ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66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BANCO_BMG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10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67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CPA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22.2%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68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CIAMA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7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69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DEFESA_CIVIL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70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SEDURB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7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</w:tbl>
    <w:p>
      <w:r>
        <w:br w:type="page"/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3864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1F3864"/>
          </w:tcPr>
          <w:p>
            <w:r/>
            <w:r>
              <w:rPr>
                <w:b/>
                <w:color w:val="FFFFFF"/>
                <w:sz w:val="20"/>
              </w:rPr>
              <w:t>Devedor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Arquivos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71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ASSOC_SAUDE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72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BMC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73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BANCO_SAFRA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5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74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FAPEAM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75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SUBCOMADEC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5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76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B23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  <w:shd w:fill="F2F2F2"/>
          </w:tcPr>
          <w:p>
            <w:r/>
            <w:r>
              <w:rPr>
                <w:color w:val="2D2D2D"/>
                <w:sz w:val="18"/>
              </w:rPr>
              <w:t>77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CASA_MILITAR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2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2D2D"/>
                <w:sz w:val="18"/>
              </w:rPr>
              <w:t>78</w:t>
            </w:r>
          </w:p>
        </w:tc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PSA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color w:val="2D2D2D"/>
                <w:sz w:val="18"/>
              </w:rPr>
              <w:t>11.1%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1F3864"/>
          <w:sz w:val="36"/>
        </w:rPr>
        <w:t>7. RECOMENDAÇÕES — ROADMAP DO CIENTISTA DE DADOS</w:t>
      </w:r>
    </w:p>
    <w:p>
      <w:r>
        <w:rPr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1F3864"/>
          <w:sz w:val="26"/>
        </w:rPr>
        <w:t>7.1 Ações imediatas (esta semana)</w:t>
      </w:r>
    </w:p>
    <w:p>
      <w:r>
        <w:rPr>
          <w:rFonts w:ascii="Calibri" w:hAnsi="Calibri"/>
          <w:b w:val="0"/>
          <w:i w:val="0"/>
          <w:color w:val="2D2D2D"/>
          <w:sz w:val="22"/>
        </w:rPr>
        <w:t>1. Reconciliar SSOT × pastas. Rodar reconciliacao_4_fontes.py e decidir o destino das 8 pastas _CONSOLIDADO sem correspondência no profiles.json. Opções: entrar no SSOT ou ir para _legado/.</w:t>
      </w:r>
    </w:p>
    <w:p>
      <w:r>
        <w:rPr>
          <w:rFonts w:ascii="Calibri" w:hAnsi="Calibri"/>
          <w:b w:val="0"/>
          <w:i w:val="0"/>
          <w:color w:val="2D2D2D"/>
          <w:sz w:val="22"/>
        </w:rPr>
        <w:t>2. Unificar duplicações de scripts. Eleger versão canônica entre PRODAM_DOCS/ e scripts/ para consultas.py e orgao_pipeline_completa.py. Demais (auto_update, prodam_utils) estão idênticos mas é frágil — trocar por link simbólico.</w:t>
      </w:r>
    </w:p>
    <w:p>
      <w:r>
        <w:rPr>
          <w:rFonts w:ascii="Calibri" w:hAnsi="Calibri"/>
          <w:b w:val="0"/>
          <w:i w:val="0"/>
          <w:color w:val="2D2D2D"/>
          <w:sz w:val="22"/>
        </w:rPr>
        <w:t>3. Rodar SES/SUSAM imediatamente. Única urgência crítica de prescrição (2026-05-13, 23 dias). py -3.12 orgao_pipeline_completa.py --orgao "SES/SUSAM".</w:t>
      </w:r>
    </w:p>
    <w:p>
      <w:r>
        <w:rPr>
          <w:rFonts w:ascii="Calibri" w:hAnsi="Calibri"/>
          <w:b/>
          <w:color w:val="1F3864"/>
          <w:sz w:val="26"/>
        </w:rPr>
        <w:t>7.2 Ações de médio prazo (próximo mês)</w:t>
      </w:r>
    </w:p>
    <w:p>
      <w:r>
        <w:rPr>
          <w:rFonts w:ascii="Calibri" w:hAnsi="Calibri"/>
          <w:b w:val="0"/>
          <w:i w:val="0"/>
          <w:color w:val="2D2D2D"/>
          <w:sz w:val="22"/>
        </w:rPr>
        <w:t>4. Escalar pipeline a TOP-10 por valor. SEDUC (R$ 49M), SES (R$ 14M), SSP (R$ 4,5M), SEJUSC, SEAD, CETAM, SEDECTI, POLICIA_CIVIL — rodar orgao_pipeline_completa.py para cada um. Cada execução sobe a cobertura do ~40% para ~90%.</w:t>
      </w:r>
    </w:p>
    <w:p>
      <w:r>
        <w:rPr>
          <w:rFonts w:ascii="Calibri" w:hAnsi="Calibri"/>
          <w:b w:val="0"/>
          <w:i w:val="0"/>
          <w:color w:val="2D2D2D"/>
          <w:sz w:val="22"/>
        </w:rPr>
        <w:t>5. Atacar subpastas vazias. 02_EMPENHOS e 04_NOTAS_LIQUIDACAO estão vazias em 96% dos devedores. Usar baixar_lacunas_spcf.py para automatizar o download via SPCF (requer VPN PRODAM).</w:t>
      </w:r>
    </w:p>
    <w:p>
      <w:r>
        <w:rPr>
          <w:rFonts w:ascii="Calibri" w:hAnsi="Calibri"/>
          <w:b w:val="0"/>
          <w:i w:val="0"/>
          <w:color w:val="2D2D2D"/>
          <w:sz w:val="22"/>
        </w:rPr>
        <w:t>6. Validar 23 prescritos. 23 devedores estão classificados como 'PRESCRITA' em urgencia_prescricao. Antes de baixar esses créditos, rodar analise-prescricao-creditos para confirmar que não há marco interruptivo (Art. 202 VI CC) que zere a contagem.</w:t>
      </w:r>
    </w:p>
    <w:p>
      <w:r>
        <w:rPr>
          <w:rFonts w:ascii="Calibri" w:hAnsi="Calibri"/>
          <w:b/>
          <w:color w:val="1F3864"/>
          <w:sz w:val="26"/>
        </w:rPr>
        <w:t>7.3 Ações estratégicas (trimestre)</w:t>
      </w:r>
    </w:p>
    <w:p>
      <w:r>
        <w:rPr>
          <w:rFonts w:ascii="Calibri" w:hAnsi="Calibri"/>
          <w:b w:val="0"/>
          <w:i w:val="0"/>
          <w:color w:val="2D2D2D"/>
          <w:sz w:val="22"/>
        </w:rPr>
        <w:t>7. Profissionalizar o pipeline como produto. A pasta mãe é um framework jurídico genérico (não específico do PRODAM). Com pequenos ajustes, serve para qualquer cobrança B2B contra administração pública. Considerar empacotá-la como produto/serviço replicável a outros clientes do escritório.</w:t>
      </w:r>
    </w:p>
    <w:p>
      <w:r>
        <w:rPr>
          <w:rFonts w:ascii="Calibri" w:hAnsi="Calibri"/>
          <w:b w:val="0"/>
          <w:i w:val="0"/>
          <w:color w:val="2D2D2D"/>
          <w:sz w:val="22"/>
        </w:rPr>
        <w:t>8. Adicionar observabilidade. A pipeline roda mas não deixa rastro padronizado. Adicionar logging estruturado (JSON Lines) em cada execução para poder auditar o quê/quando/quanto foi processado.</w:t>
      </w:r>
    </w:p>
    <w:p>
      <w:r>
        <w:rPr>
          <w:rFonts w:ascii="Calibri" w:hAnsi="Calibri"/>
          <w:b w:val="0"/>
          <w:i w:val="0"/>
          <w:color w:val="2D2D2D"/>
          <w:sz w:val="22"/>
        </w:rPr>
        <w:t>9. Reduzir duplicação de dados. OCR_CONSOLIDADO.db (579 MB) + prodam.db (91 MB) + pastas com PDFs brutos + SPCF_EXTRACAO — há sobreposição. Mapear se dá para consolidar ou se cada um tem razão própria de existir.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F3864"/>
          <w:sz w:val="36"/>
        </w:rPr>
        <w:t>APÊNDICE A — GLOSSÁRIO TÉCNICO</w:t>
      </w:r>
    </w:p>
    <w:p>
      <w:r>
        <w:rPr>
          <w:color w:val="B8963E"/>
          <w:sz w:val="20"/>
        </w:rPr>
        <w:t>──────────────────────────────────────────────────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F3864"/>
          </w:tcPr>
          <w:p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5669"/>
            <w:shd w:fill="1F3864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color w:val="2D2D2D"/>
                <w:sz w:val="18"/>
              </w:rPr>
              <w:t>SSOT</w:t>
            </w:r>
          </w:p>
        </w:tc>
        <w:tc>
          <w:tcPr>
            <w:tcW w:type="dxa" w:w="5669"/>
            <w:shd w:fill="F2F2F2"/>
          </w:tcPr>
          <w:p>
            <w:r/>
            <w:r>
              <w:rPr>
                <w:color w:val="2D2D2D"/>
                <w:sz w:val="18"/>
              </w:rPr>
              <w:t>Single Source of Truth — fonte única da verdade. Aqui, profiles.json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2D2D"/>
                <w:sz w:val="18"/>
              </w:rPr>
              <w:t>Pasta-mãe</w:t>
            </w:r>
          </w:p>
        </w:tc>
        <w:tc>
          <w:tcPr>
            <w:tcW w:type="dxa" w:w="5669"/>
          </w:tcPr>
          <w:p>
            <w:r/>
            <w:r>
              <w:rPr>
                <w:color w:val="2D2D2D"/>
                <w:sz w:val="18"/>
              </w:rPr>
              <w:t>PROJETO_PRODAM — raiz de tudo, contém infraestrutura + devedores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color w:val="2D2D2D"/>
                <w:sz w:val="18"/>
              </w:rPr>
              <w:t>Pasta-filha</w:t>
            </w:r>
          </w:p>
        </w:tc>
        <w:tc>
          <w:tcPr>
            <w:tcW w:type="dxa" w:w="5669"/>
            <w:shd w:fill="F2F2F2"/>
          </w:tcPr>
          <w:p>
            <w:r/>
            <w:r>
              <w:rPr>
                <w:color w:val="2D2D2D"/>
                <w:sz w:val="18"/>
              </w:rPr>
              <w:t>Pasta de um devedor específico (&lt;DEV&gt;_CONSOLIDADO + &lt;DEV&gt;_DOSSIE)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2D2D"/>
                <w:sz w:val="18"/>
              </w:rPr>
              <w:t>Data lake</w:t>
            </w:r>
          </w:p>
        </w:tc>
        <w:tc>
          <w:tcPr>
            <w:tcW w:type="dxa" w:w="5669"/>
          </w:tcPr>
          <w:p>
            <w:r/>
            <w:r>
              <w:rPr>
                <w:color w:val="2D2D2D"/>
                <w:sz w:val="18"/>
              </w:rPr>
              <w:t>Repositório que guarda dados em múltiplos formatos (raw + estruturado)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color w:val="2D2D2D"/>
                <w:sz w:val="18"/>
              </w:rPr>
              <w:t>Cobertura</w:t>
            </w:r>
          </w:p>
        </w:tc>
        <w:tc>
          <w:tcPr>
            <w:tcW w:type="dxa" w:w="5669"/>
            <w:shd w:fill="F2F2F2"/>
          </w:tcPr>
          <w:p>
            <w:r/>
            <w:r>
              <w:rPr>
                <w:color w:val="2D2D2D"/>
                <w:sz w:val="18"/>
              </w:rPr>
              <w:t>% das 9 subpastas do _CONSOLIDADO que contêm arquivos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2D2D"/>
                <w:sz w:val="18"/>
              </w:rPr>
              <w:t>SPCF</w:t>
            </w:r>
          </w:p>
        </w:tc>
        <w:tc>
          <w:tcPr>
            <w:tcW w:type="dxa" w:w="5669"/>
          </w:tcPr>
          <w:p>
            <w:r/>
            <w:r>
              <w:rPr>
                <w:color w:val="2D2D2D"/>
                <w:sz w:val="18"/>
              </w:rPr>
              <w:t>Sistema interno da PRODAM — fonte primária de empenhos e faturas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color w:val="2D2D2D"/>
                <w:sz w:val="18"/>
              </w:rPr>
              <w:t>OCR</w:t>
            </w:r>
          </w:p>
        </w:tc>
        <w:tc>
          <w:tcPr>
            <w:tcW w:type="dxa" w:w="5669"/>
            <w:shd w:fill="F2F2F2"/>
          </w:tcPr>
          <w:p>
            <w:r/>
            <w:r>
              <w:rPr>
                <w:color w:val="2D2D2D"/>
                <w:sz w:val="18"/>
              </w:rPr>
              <w:t>Optical Character Recognition — leitura automática de PDFs de imagem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2D2D"/>
                <w:sz w:val="18"/>
              </w:rPr>
              <w:t>Benchmark</w:t>
            </w:r>
          </w:p>
        </w:tc>
        <w:tc>
          <w:tcPr>
            <w:tcW w:type="dxa" w:w="5669"/>
          </w:tcPr>
          <w:p>
            <w:r/>
            <w:r>
              <w:rPr>
                <w:color w:val="2D2D2D"/>
                <w:sz w:val="18"/>
              </w:rPr>
              <w:t>Referência de excelência. Aqui, DETRAN com score 94/100</w:t>
            </w:r>
          </w:p>
        </w:tc>
      </w:tr>
    </w:tbl>
    <w:p>
      <w:r>
        <w:rPr>
          <w:rFonts w:ascii="Calibri" w:hAnsi="Calibri"/>
          <w:b/>
          <w:color w:val="1F3864"/>
          <w:sz w:val="26"/>
        </w:rPr>
        <w:t>Apêndice B — Arquivos desta análise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fill="1F3864"/>
          </w:tcPr>
          <w:p>
            <w:r/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535"/>
            <w:shd w:fill="1F3864"/>
          </w:tcPr>
          <w:p>
            <w:r/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DIAGNOSTICO_PASTA_MAE.docx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color w:val="2D2D2D"/>
                <w:sz w:val="18"/>
              </w:rPr>
              <w:t>Este documento (relatório técnico formatado)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DIAGNOSTICO_PASTA_MAE.html</w:t>
            </w:r>
          </w:p>
        </w:tc>
        <w:tc>
          <w:tcPr>
            <w:tcW w:type="dxa" w:w="4535"/>
          </w:tcPr>
          <w:p>
            <w:r/>
            <w:r>
              <w:rPr>
                <w:color w:val="2D2D2D"/>
                <w:sz w:val="18"/>
              </w:rPr>
              <w:t>Dashboard interativo equivalente</w:t>
            </w:r>
          </w:p>
        </w:tc>
      </w:tr>
      <w:tr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profile_pasta_mae.json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color w:val="2D2D2D"/>
                <w:sz w:val="18"/>
              </w:rPr>
              <w:t>JSON cru com todos os dados coletados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insights_consolidados.json</w:t>
            </w:r>
          </w:p>
        </w:tc>
        <w:tc>
          <w:tcPr>
            <w:tcW w:type="dxa" w:w="4535"/>
          </w:tcPr>
          <w:p>
            <w:r/>
            <w:r>
              <w:rPr>
                <w:color w:val="2D2D2D"/>
                <w:sz w:val="18"/>
              </w:rPr>
              <w:t>Agregações e rankings</w:t>
            </w:r>
          </w:p>
        </w:tc>
      </w:tr>
      <w:tr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insights_devedores.csv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color w:val="2D2D2D"/>
                <w:sz w:val="18"/>
              </w:rPr>
              <w:t>Tabela pivô: devedor × cobertura × arquivos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2D2D2D"/>
                <w:sz w:val="18"/>
              </w:rPr>
              <w:t>profiles_resumo.csv</w:t>
            </w:r>
          </w:p>
        </w:tc>
        <w:tc>
          <w:tcPr>
            <w:tcW w:type="dxa" w:w="4535"/>
          </w:tcPr>
          <w:p>
            <w:r/>
            <w:r>
              <w:rPr>
                <w:color w:val="2D2D2D"/>
                <w:sz w:val="18"/>
              </w:rPr>
              <w:t>Resumo do profiles.json por devedor</w:t>
            </w:r>
          </w:p>
        </w:tc>
      </w:tr>
      <w:tr>
        <w:tc>
          <w:tcPr>
            <w:tcW w:type="dxa" w:w="3118"/>
            <w:shd w:fill="F2F2F2"/>
          </w:tcPr>
          <w:p>
            <w:r/>
            <w:r>
              <w:rPr>
                <w:color w:val="2D2D2D"/>
                <w:sz w:val="18"/>
              </w:rPr>
              <w:t>profile_pasta_mae.py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color w:val="2D2D2D"/>
                <w:sz w:val="18"/>
              </w:rPr>
              <w:t>Script que coleta os dados (fonte reproduzível)</w:t>
            </w:r>
          </w:p>
        </w:tc>
      </w:tr>
    </w:tbl>
    <w:p>
      <w:r>
        <w:rPr>
          <w:rFonts w:ascii="Calibri" w:hAnsi="Calibri"/>
          <w:b w:val="0"/>
          <w:i w:val="0"/>
          <w:color w:val="2D2D2D"/>
          <w:sz w:val="22"/>
        </w:rPr>
      </w:r>
    </w:p>
    <w:p>
      <w:r>
        <w:rPr>
          <w:rFonts w:ascii="Calibri" w:hAnsi="Calibri"/>
          <w:b w:val="0"/>
          <w:i w:val="0"/>
          <w:color w:val="2D2D2D"/>
          <w:sz w:val="22"/>
        </w:rPr>
      </w:r>
    </w:p>
    <w:p>
      <w:pPr>
        <w:jc w:val="center"/>
      </w:pPr>
      <w:r>
        <w:rPr>
          <w:i/>
          <w:color w:val="777777"/>
          <w:sz w:val="20"/>
        </w:rPr>
        <w:t>— Fim do relatório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