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Codex de Da Vinci</w:t>
      </w:r>
    </w:p>
    <w:p>
      <w:r>
        <w:t xml:space="preserve">Conversão de ação — </w:t>
      </w:r>
      <w:r>
        <w:rPr>
          <w:b/>
        </w:rPr>
        <w:t xml:space="preserve">ótimo</w:t>
      </w:r>
      <w:r>
        <w:t xml:space="preserve">, </w:t>
      </w:r>
      <w:r>
        <w:rPr>
          <w:i/>
        </w:rPr>
        <w:t>José</w:t>
      </w:r>
      <w:r>
        <w:t>!</w:t>
      </w:r>
    </w:p>
    <w:p>
      <w:pPr>
        <w:numPr>
          <w:ilvl w:val="0"/>
          <w:numId w:val="1"/>
        </w:numPr>
      </w:pPr>
      <w:r>
        <w:t>Primeiro item</w:t>
      </w:r>
    </w:p>
    <w:p>
      <w:pPr>
        <w:numPr>
          <w:ilvl w:val="0"/>
          <w:numId w:val="1"/>
        </w:numPr>
      </w:pPr>
      <w:r>
        <w:t>Segundo item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