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3D780" w14:textId="77777777" w:rsidR="00035268" w:rsidRDefault="00035268" w:rsidP="00035268">
      <w:pPr>
        <w:rPr>
          <w:u w:val="single"/>
        </w:rPr>
      </w:pPr>
      <w:r>
        <w:t xml:space="preserve">Tab </w:t>
      </w:r>
      <w:r w:rsidRPr="00C50080">
        <w:rPr>
          <w:u w:val="single"/>
        </w:rPr>
        <w:t>Research</w:t>
      </w:r>
    </w:p>
    <w:p w14:paraId="38EC2417" w14:textId="77777777" w:rsidR="00035268" w:rsidRDefault="00035268" w:rsidP="00035268">
      <w:pPr>
        <w:rPr>
          <w:u w:val="single"/>
        </w:rPr>
      </w:pPr>
    </w:p>
    <w:p w14:paraId="3E473B38" w14:textId="5ADFB665" w:rsidR="00035268" w:rsidRDefault="00035268" w:rsidP="00035268">
      <w:pPr>
        <w:rPr>
          <w:u w:val="single"/>
        </w:rPr>
      </w:pPr>
      <w:r>
        <w:rPr>
          <w:u w:val="single"/>
        </w:rPr>
        <w:t>OPTION 1 (LONG)</w:t>
      </w:r>
    </w:p>
    <w:p w14:paraId="65BF3578" w14:textId="77777777" w:rsidR="00035268" w:rsidRDefault="00035268" w:rsidP="00035268">
      <w:pPr>
        <w:pStyle w:val="NormalWeb"/>
      </w:pPr>
      <w:r>
        <w:t>GENERAL</w:t>
      </w:r>
      <w:r>
        <w:br/>
        <w:t xml:space="preserve">Our laboratory studies how sensory events in the environment are processed by the nervous system to generate perceptions and drive behaviour. We are particularly interested in classes of sensory events that are central to the study of </w:t>
      </w:r>
      <w:r w:rsidRPr="00015ECA">
        <w:rPr>
          <w:b/>
          <w:bCs/>
        </w:rPr>
        <w:t>pain</w:t>
      </w:r>
      <w:r>
        <w:t xml:space="preserve">, </w:t>
      </w:r>
      <w:r w:rsidRPr="00015ECA">
        <w:rPr>
          <w:b/>
          <w:bCs/>
        </w:rPr>
        <w:t>surprise</w:t>
      </w:r>
      <w:r>
        <w:t xml:space="preserve">, </w:t>
      </w:r>
      <w:r w:rsidRPr="000E63AE">
        <w:rPr>
          <w:b/>
          <w:bCs/>
        </w:rPr>
        <w:t>urgent behaviour</w:t>
      </w:r>
      <w:r>
        <w:t xml:space="preserve">, and </w:t>
      </w:r>
      <w:r w:rsidRPr="00015ECA">
        <w:rPr>
          <w:b/>
          <w:bCs/>
        </w:rPr>
        <w:t>peripersonal space</w:t>
      </w:r>
      <w:r>
        <w:t xml:space="preserve">. </w:t>
      </w:r>
    </w:p>
    <w:p w14:paraId="7373330D" w14:textId="77777777" w:rsidR="00035268" w:rsidRDefault="00035268" w:rsidP="00035268">
      <w:pPr>
        <w:pStyle w:val="NormalWeb"/>
      </w:pPr>
      <w:r>
        <w:t xml:space="preserve">Although human cortical electrophysiology has been the core methodology of the lab, we are not tied any single experimental approach. Instead, we like to choose the most appropriate species (e.g. humans, monkeys, mice) and measurement technique (e.g. electrophysiology, magnetic resonance imaging, kinematics) to address the scientific question at hand. </w:t>
      </w:r>
    </w:p>
    <w:p w14:paraId="257A8098" w14:textId="359AAEE9" w:rsidR="00035268" w:rsidRDefault="00035268" w:rsidP="00035268">
      <w:pPr>
        <w:pStyle w:val="NormalWeb"/>
      </w:pPr>
      <w:r>
        <w:t xml:space="preserve">Subtab </w:t>
      </w:r>
      <w:r>
        <w:t>PAIN &amp; NOCICEPTION</w:t>
      </w:r>
      <w:r>
        <w:br/>
        <w:t xml:space="preserve">A central focus of the lab has been to understand </w:t>
      </w:r>
      <w:r w:rsidRPr="00E20CA0">
        <w:rPr>
          <w:b/>
          <w:bCs/>
        </w:rPr>
        <w:t>nociception</w:t>
      </w:r>
      <w:r>
        <w:t xml:space="preserve"> - the neural processing of potentially harmful bodily stimuli - and its relationship to </w:t>
      </w:r>
      <w:r w:rsidRPr="00D83E8E">
        <w:rPr>
          <w:b/>
          <w:bCs/>
        </w:rPr>
        <w:t>pain</w:t>
      </w:r>
      <w:r>
        <w:t xml:space="preserve">. We have demonstrated that the largest part of the brain activity elicited by sudden nociceptive stimuli does not reflect the functioning of neurons generating painful percepts, but rather the detection of any environmental event that may require </w:t>
      </w:r>
      <w:r w:rsidRPr="003E7B25">
        <w:rPr>
          <w:b/>
          <w:bCs/>
        </w:rPr>
        <w:t>urgent behaviour</w:t>
      </w:r>
      <w:r>
        <w:t xml:space="preserve">. This work has contributed to reframing the interpretation of the so-called ‘pain matrix’ as a more general system for responding to salient environmental stimuli. This shift had clear implication for narrowing the search for more specific </w:t>
      </w:r>
      <w:r w:rsidRPr="003E7B25">
        <w:rPr>
          <w:b/>
          <w:bCs/>
        </w:rPr>
        <w:t>pain biomarkers</w:t>
      </w:r>
      <w:r w:rsidRPr="003E7B25">
        <w:t xml:space="preserve">, such </w:t>
      </w:r>
      <w:r>
        <w:t xml:space="preserve">as </w:t>
      </w:r>
      <w:r w:rsidRPr="003E7B25">
        <w:rPr>
          <w:b/>
          <w:bCs/>
        </w:rPr>
        <w:t>high frequency cortical oscillations</w:t>
      </w:r>
      <w:r>
        <w:t xml:space="preserve">. </w:t>
      </w:r>
    </w:p>
    <w:p w14:paraId="67A41F42" w14:textId="0ED42205" w:rsidR="00035268" w:rsidRDefault="00035268" w:rsidP="00035268">
      <w:pPr>
        <w:pStyle w:val="NormalWeb"/>
      </w:pPr>
      <w:r>
        <w:t>Subtab SURPRISE &amp; SALIENCE</w:t>
      </w:r>
      <w:r>
        <w:br/>
        <w:t xml:space="preserve">How the nervous system recognises and responds to </w:t>
      </w:r>
      <w:r w:rsidRPr="00015ECA">
        <w:rPr>
          <w:b/>
          <w:bCs/>
        </w:rPr>
        <w:t>sudden and surpsising events</w:t>
      </w:r>
      <w:r>
        <w:t xml:space="preserve"> in the environment has since become another main focus of the laboratory. For example, abrupt changes such as a rapid shift in sound pitch elicit a short-lasting and large thalamocortical responses – the </w:t>
      </w:r>
      <w:r w:rsidRPr="00015ECA">
        <w:rPr>
          <w:b/>
          <w:bCs/>
        </w:rPr>
        <w:t>vertex potential</w:t>
      </w:r>
      <w:r>
        <w:t xml:space="preserve"> – that interrupt and modulate ongoing activity across motor and sensory brain systems, to facilitate rapid responses to threats and affordances in the sensory environment. These responses are not epiphenomenal but serve a functional role, facilitating rapid behavioural adjustments to threats and opportunities in the sensory environment.</w:t>
      </w:r>
    </w:p>
    <w:p w14:paraId="1E50113A" w14:textId="7B29C785" w:rsidR="00035268" w:rsidRDefault="00035268" w:rsidP="00035268">
      <w:pPr>
        <w:pStyle w:val="NormalWeb"/>
      </w:pPr>
      <w:r>
        <w:t>Subtab TWO-SYSTEM THEORY</w:t>
      </w:r>
      <w:r>
        <w:br/>
        <w:t xml:space="preserve">Our recent </w:t>
      </w:r>
      <w:r>
        <w:rPr>
          <w:rStyle w:val="Strong"/>
          <w:rFonts w:eastAsiaTheme="majorEastAsia"/>
        </w:rPr>
        <w:t>two-system theory of sensory-evoked brain responses</w:t>
      </w:r>
      <w:r>
        <w:t xml:space="preserve"> proposes that </w:t>
      </w:r>
      <w:r>
        <w:rPr>
          <w:rFonts w:ascii="TimesNewRomanPSMT" w:hAnsi="TimesNewRomanPSMT"/>
        </w:rPr>
        <w:t>the cortical responses elicited by most sensory stimuli reflects the mixed contribution of</w:t>
      </w:r>
      <w:r>
        <w:t xml:space="preserve"> two pathways: high-fidelity, modality-specific ‘lemniscal’ thalamo-cortical projections to primary sensory cortices, and non-modality-specific ‘extralemniscal’ thalamo-cortical projections. </w:t>
      </w:r>
      <w:r>
        <w:rPr>
          <w:rFonts w:ascii="TimesNewRomanPSMT" w:hAnsi="TimesNewRomanPSMT"/>
        </w:rPr>
        <w:t xml:space="preserve">The relative contribution of these two systems varies depending on both bottom-up stimulus properties and contextual </w:t>
      </w:r>
      <w:r w:rsidRPr="006E4E57">
        <w:rPr>
          <w:rFonts w:ascii="TimesNewRomanPSMT" w:hAnsi="TimesNewRomanPSMT"/>
          <w:color w:val="000000" w:themeColor="text1"/>
        </w:rPr>
        <w:t xml:space="preserve">factors. Recognising this distinction is critical, as the role of the extralemniscal system is often overlooked, </w:t>
      </w:r>
      <w:r w:rsidRPr="006E4E57">
        <w:rPr>
          <w:rFonts w:ascii="TimesNewRomanPSMT" w:hAnsi="TimesNewRomanPSMT"/>
          <w:color w:val="000000" w:themeColor="text1"/>
          <w:position w:val="8"/>
          <w:sz w:val="16"/>
          <w:szCs w:val="16"/>
        </w:rPr>
        <w:t xml:space="preserve"> </w:t>
      </w:r>
      <w:r w:rsidRPr="006E4E57">
        <w:rPr>
          <w:color w:val="000000" w:themeColor="text1"/>
        </w:rPr>
        <w:t>leading to modality</w:t>
      </w:r>
      <w:r>
        <w:t>-specific interpretations of brain responses that may be incomplete or misleading.</w:t>
      </w:r>
    </w:p>
    <w:p w14:paraId="00B1A748" w14:textId="0CD831E1" w:rsidR="00035268" w:rsidRDefault="00035268" w:rsidP="00035268">
      <w:pPr>
        <w:pStyle w:val="NormalWeb"/>
      </w:pPr>
      <w:r>
        <w:t xml:space="preserve">Subtab </w:t>
      </w:r>
      <w:r>
        <w:rPr>
          <w:rFonts w:ascii="TimesNewRomanPSMT" w:hAnsi="TimesNewRomanPSMT"/>
        </w:rPr>
        <w:t>PERIPERSONAL SPACE &amp; ACTION VALUE</w:t>
      </w:r>
      <w:r>
        <w:rPr>
          <w:rFonts w:ascii="TimesNewRomanPSMT" w:hAnsi="TimesNewRomanPSMT"/>
        </w:rPr>
        <w:br/>
        <w:t xml:space="preserve">We also enjoy working with stimuli eliciting responses in </w:t>
      </w:r>
      <w:r>
        <w:rPr>
          <w:rFonts w:ascii="HardingText" w:hAnsi="HardingText"/>
          <w:sz w:val="22"/>
          <w:szCs w:val="22"/>
        </w:rPr>
        <w:t xml:space="preserve">neurons that respond more when objects are near the body (peripersonal neurons), as </w:t>
      </w:r>
      <w:r>
        <w:t xml:space="preserve">well as with defensive behaviours such as the </w:t>
      </w:r>
      <w:r w:rsidRPr="001A5CF4">
        <w:rPr>
          <w:b/>
          <w:bCs/>
        </w:rPr>
        <w:t>hand-blink reflex (HBR)</w:t>
      </w:r>
      <w:r>
        <w:t>, whose magnitude depends on the hand–face distance</w:t>
      </w:r>
      <w:r>
        <w:rPr>
          <w:rFonts w:ascii="HardingText" w:hAnsi="HardingText"/>
          <w:sz w:val="22"/>
          <w:szCs w:val="22"/>
        </w:rPr>
        <w:t xml:space="preserve">. We have shown that that these neurons do not simply act as proximity detectors. Instead, they map onto </w:t>
      </w:r>
      <w:r>
        <w:rPr>
          <w:rFonts w:ascii="HardingText" w:hAnsi="HardingText"/>
          <w:sz w:val="22"/>
          <w:szCs w:val="22"/>
        </w:rPr>
        <w:lastRenderedPageBreak/>
        <w:t xml:space="preserve">behaviour by signalling </w:t>
      </w:r>
      <w:r w:rsidRPr="001A5CF4">
        <w:rPr>
          <w:rFonts w:ascii="HardingText" w:hAnsi="HardingText"/>
          <w:b/>
          <w:bCs/>
          <w:sz w:val="22"/>
          <w:szCs w:val="22"/>
        </w:rPr>
        <w:t>the value of potential actions</w:t>
      </w:r>
      <w:r>
        <w:rPr>
          <w:rFonts w:ascii="HardingText" w:hAnsi="HardingText"/>
          <w:sz w:val="22"/>
          <w:szCs w:val="22"/>
        </w:rPr>
        <w:t xml:space="preserve"> (such as en eye blink) that could result in </w:t>
      </w:r>
      <w:r w:rsidRPr="000E63AE">
        <w:rPr>
          <w:rFonts w:ascii="HardingText" w:hAnsi="HardingText"/>
          <w:sz w:val="22"/>
          <w:szCs w:val="22"/>
        </w:rPr>
        <w:t xml:space="preserve">rewards or punishments from objects contacting </w:t>
      </w:r>
      <w:r>
        <w:rPr>
          <w:rFonts w:ascii="HardingText" w:hAnsi="HardingText"/>
          <w:sz w:val="22"/>
          <w:szCs w:val="22"/>
        </w:rPr>
        <w:t>the</w:t>
      </w:r>
      <w:r w:rsidRPr="000E63AE">
        <w:rPr>
          <w:rFonts w:ascii="HardingText" w:hAnsi="HardingText"/>
          <w:sz w:val="22"/>
          <w:szCs w:val="22"/>
        </w:rPr>
        <w:t xml:space="preserve"> body</w:t>
      </w:r>
      <w:r>
        <w:rPr>
          <w:rFonts w:ascii="HardingText" w:hAnsi="HardingText"/>
          <w:sz w:val="22"/>
          <w:szCs w:val="22"/>
        </w:rPr>
        <w:t xml:space="preserve">. </w:t>
      </w:r>
      <w:r>
        <w:t xml:space="preserve">Together, these </w:t>
      </w:r>
      <w:r w:rsidRPr="003A41BC">
        <w:rPr>
          <w:b/>
          <w:bCs/>
        </w:rPr>
        <w:t>action-value</w:t>
      </w:r>
      <w:r>
        <w:t xml:space="preserve"> neurons </w:t>
      </w:r>
      <w:r w:rsidRPr="001A5CF4">
        <w:rPr>
          <w:b/>
          <w:bCs/>
        </w:rPr>
        <w:t>naturally develop in AI agents</w:t>
      </w:r>
      <w:r>
        <w:t xml:space="preserve"> and form </w:t>
      </w:r>
      <w:r w:rsidRPr="001A5CF4">
        <w:rPr>
          <w:b/>
          <w:bCs/>
        </w:rPr>
        <w:t>egocentric value maps</w:t>
      </w:r>
      <w:r>
        <w:t xml:space="preserve"> - a predictive model of the near-body environment that integrates sensory input with motor affordances. This work places peripersonal space within a broader systems-neuroscience framework, bridging theories of sensory coding, action selection, and predictive processing.</w:t>
      </w:r>
    </w:p>
    <w:p w14:paraId="181224F3" w14:textId="77777777" w:rsidR="002B21BD" w:rsidRDefault="002B21BD"/>
    <w:p w14:paraId="69F3D6DA" w14:textId="77777777" w:rsidR="00035268" w:rsidRDefault="00035268"/>
    <w:p w14:paraId="1CC37690" w14:textId="0FAC6258" w:rsidR="00035268" w:rsidRDefault="00035268">
      <w:pPr>
        <w:rPr>
          <w:u w:val="single"/>
        </w:rPr>
      </w:pPr>
      <w:r w:rsidRPr="00035268">
        <w:rPr>
          <w:u w:val="single"/>
        </w:rPr>
        <w:t>OPTION 2 (SHORT</w:t>
      </w:r>
      <w:r>
        <w:rPr>
          <w:u w:val="single"/>
        </w:rPr>
        <w:t>ENED BY GPT</w:t>
      </w:r>
      <w:r w:rsidRPr="00035268">
        <w:rPr>
          <w:u w:val="single"/>
        </w:rPr>
        <w:t>)</w:t>
      </w:r>
      <w:r>
        <w:rPr>
          <w:u w:val="single"/>
        </w:rPr>
        <w:t xml:space="preserve"> </w:t>
      </w:r>
    </w:p>
    <w:p w14:paraId="53281574" w14:textId="77777777" w:rsidR="00035268" w:rsidRDefault="00035268">
      <w:pPr>
        <w:rPr>
          <w:u w:val="single"/>
        </w:rPr>
      </w:pPr>
    </w:p>
    <w:p w14:paraId="5E19CFEC" w14:textId="77777777" w:rsidR="00035268" w:rsidRDefault="00035268" w:rsidP="00035268">
      <w:pPr>
        <w:pStyle w:val="NormalWeb"/>
      </w:pPr>
      <w:r>
        <w:t>GENERAL</w:t>
      </w:r>
      <w:r>
        <w:br/>
        <w:t xml:space="preserve">Our laboratory studies how sensory events in the environment are processed by the nervous system to generate perceptions and drive behaviour. We are particularly interested in classes of sensory events that are central to the study of </w:t>
      </w:r>
      <w:r w:rsidRPr="00015ECA">
        <w:rPr>
          <w:b/>
          <w:bCs/>
        </w:rPr>
        <w:t>pain</w:t>
      </w:r>
      <w:r>
        <w:t xml:space="preserve">, </w:t>
      </w:r>
      <w:r w:rsidRPr="00015ECA">
        <w:rPr>
          <w:b/>
          <w:bCs/>
        </w:rPr>
        <w:t>surprise</w:t>
      </w:r>
      <w:r>
        <w:t xml:space="preserve">, </w:t>
      </w:r>
      <w:r w:rsidRPr="000E63AE">
        <w:rPr>
          <w:b/>
          <w:bCs/>
        </w:rPr>
        <w:t>urgent behaviour</w:t>
      </w:r>
      <w:r>
        <w:t xml:space="preserve">, and </w:t>
      </w:r>
      <w:r w:rsidRPr="00015ECA">
        <w:rPr>
          <w:b/>
          <w:bCs/>
        </w:rPr>
        <w:t>peripersonal space</w:t>
      </w:r>
      <w:r>
        <w:t xml:space="preserve">. </w:t>
      </w:r>
    </w:p>
    <w:p w14:paraId="22D8469E" w14:textId="77777777" w:rsidR="00035268" w:rsidRDefault="00035268">
      <w:pPr>
        <w:rPr>
          <w:u w:val="single"/>
        </w:rPr>
      </w:pPr>
    </w:p>
    <w:p w14:paraId="187D6464" w14:textId="77777777" w:rsidR="00035268" w:rsidRPr="00035268" w:rsidRDefault="00035268" w:rsidP="0003526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35268">
        <w:rPr>
          <w:rFonts w:ascii="Times New Roman" w:eastAsia="Times New Roman" w:hAnsi="Times New Roman" w:cs="Times New Roman"/>
          <w:b/>
          <w:bCs/>
          <w:kern w:val="0"/>
          <w:sz w:val="27"/>
          <w:szCs w:val="27"/>
          <w:lang w:eastAsia="en-GB"/>
          <w14:ligatures w14:val="none"/>
        </w:rPr>
        <w:t>Pain &amp; Nociception</w:t>
      </w:r>
    </w:p>
    <w:p w14:paraId="1D81036F" w14:textId="77777777" w:rsidR="00035268" w:rsidRPr="00035268" w:rsidRDefault="00035268" w:rsidP="00035268">
      <w:pPr>
        <w:spacing w:before="100" w:beforeAutospacing="1" w:after="100" w:afterAutospacing="1"/>
        <w:rPr>
          <w:rFonts w:ascii="Times New Roman" w:eastAsia="Times New Roman" w:hAnsi="Times New Roman" w:cs="Times New Roman"/>
          <w:kern w:val="0"/>
          <w:lang w:eastAsia="en-GB"/>
          <w14:ligatures w14:val="none"/>
        </w:rPr>
      </w:pPr>
      <w:r w:rsidRPr="00035268">
        <w:rPr>
          <w:rFonts w:ascii="Times New Roman" w:eastAsia="Times New Roman" w:hAnsi="Times New Roman" w:cs="Times New Roman"/>
          <w:kern w:val="0"/>
          <w:lang w:eastAsia="en-GB"/>
          <w14:ligatures w14:val="none"/>
        </w:rPr>
        <w:t>We investigate how the nervous system processes potentially harmful stimuli and how this relates to the conscious experience of pain. Our work has shown that much of the brain activity evoked by nociceptive stimuli reflects general salience detection, not pain itself. This reframing sharpens the search for specific pain biomarkers, such as high-frequency cortical oscillations.</w:t>
      </w:r>
    </w:p>
    <w:p w14:paraId="796D6827" w14:textId="77777777" w:rsidR="00035268" w:rsidRPr="00035268" w:rsidRDefault="00740C29" w:rsidP="00035268">
      <w:pPr>
        <w:rPr>
          <w:rFonts w:ascii="Times New Roman" w:eastAsia="Times New Roman" w:hAnsi="Times New Roman" w:cs="Times New Roman"/>
          <w:kern w:val="0"/>
          <w:lang w:eastAsia="en-GB"/>
          <w14:ligatures w14:val="none"/>
        </w:rPr>
      </w:pPr>
      <w:r w:rsidRPr="00740C29">
        <w:rPr>
          <w:rFonts w:ascii="Times New Roman" w:eastAsia="Times New Roman" w:hAnsi="Times New Roman" w:cs="Times New Roman"/>
          <w:noProof/>
          <w:kern w:val="0"/>
          <w:lang w:eastAsia="en-GB"/>
        </w:rPr>
        <w:pict w14:anchorId="15AD0ECD">
          <v:rect id="_x0000_i1027" alt="" style="width:451.3pt;height:.05pt;mso-width-percent:0;mso-height-percent:0;mso-width-percent:0;mso-height-percent:0" o:hralign="center" o:hrstd="t" o:hr="t" fillcolor="#a0a0a0" stroked="f"/>
        </w:pict>
      </w:r>
    </w:p>
    <w:p w14:paraId="75418E29" w14:textId="77777777" w:rsidR="00035268" w:rsidRPr="00035268" w:rsidRDefault="00035268" w:rsidP="0003526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35268">
        <w:rPr>
          <w:rFonts w:ascii="Times New Roman" w:eastAsia="Times New Roman" w:hAnsi="Times New Roman" w:cs="Times New Roman"/>
          <w:b/>
          <w:bCs/>
          <w:kern w:val="0"/>
          <w:sz w:val="27"/>
          <w:szCs w:val="27"/>
          <w:lang w:eastAsia="en-GB"/>
          <w14:ligatures w14:val="none"/>
        </w:rPr>
        <w:t>Surprise &amp; Salience</w:t>
      </w:r>
    </w:p>
    <w:p w14:paraId="6EF7AD9B" w14:textId="77777777" w:rsidR="00035268" w:rsidRPr="00035268" w:rsidRDefault="00035268" w:rsidP="00035268">
      <w:pPr>
        <w:spacing w:before="100" w:beforeAutospacing="1" w:after="100" w:afterAutospacing="1"/>
        <w:rPr>
          <w:rFonts w:ascii="Times New Roman" w:eastAsia="Times New Roman" w:hAnsi="Times New Roman" w:cs="Times New Roman"/>
          <w:kern w:val="0"/>
          <w:lang w:eastAsia="en-GB"/>
          <w14:ligatures w14:val="none"/>
        </w:rPr>
      </w:pPr>
      <w:r w:rsidRPr="00035268">
        <w:rPr>
          <w:rFonts w:ascii="Times New Roman" w:eastAsia="Times New Roman" w:hAnsi="Times New Roman" w:cs="Times New Roman"/>
          <w:kern w:val="0"/>
          <w:lang w:eastAsia="en-GB"/>
          <w14:ligatures w14:val="none"/>
        </w:rPr>
        <w:t>Sudden and unexpected events trigger powerful brain responses, including the vertex potential, that transiently reorganize cortical processing. These signals interrupt ongoing activity to facilitate rapid defensive or adaptive behaviour. Our findings connect with predictive coding and salience network theories, which emphasize the role of large-scale neural transients in reallocating resources across brain systems.</w:t>
      </w:r>
    </w:p>
    <w:p w14:paraId="2ECC171C" w14:textId="77777777" w:rsidR="00035268" w:rsidRPr="00035268" w:rsidRDefault="00740C29" w:rsidP="00035268">
      <w:pPr>
        <w:rPr>
          <w:rFonts w:ascii="Times New Roman" w:eastAsia="Times New Roman" w:hAnsi="Times New Roman" w:cs="Times New Roman"/>
          <w:kern w:val="0"/>
          <w:lang w:eastAsia="en-GB"/>
          <w14:ligatures w14:val="none"/>
        </w:rPr>
      </w:pPr>
      <w:r w:rsidRPr="00740C29">
        <w:rPr>
          <w:rFonts w:ascii="Times New Roman" w:eastAsia="Times New Roman" w:hAnsi="Times New Roman" w:cs="Times New Roman"/>
          <w:noProof/>
          <w:kern w:val="0"/>
          <w:lang w:eastAsia="en-GB"/>
        </w:rPr>
        <w:pict w14:anchorId="2B1D8433">
          <v:rect id="_x0000_i1026" alt="" style="width:451.3pt;height:.05pt;mso-width-percent:0;mso-height-percent:0;mso-width-percent:0;mso-height-percent:0" o:hralign="center" o:hrstd="t" o:hr="t" fillcolor="#a0a0a0" stroked="f"/>
        </w:pict>
      </w:r>
    </w:p>
    <w:p w14:paraId="669F5420" w14:textId="77777777" w:rsidR="00035268" w:rsidRPr="00035268" w:rsidRDefault="00035268" w:rsidP="0003526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35268">
        <w:rPr>
          <w:rFonts w:ascii="Times New Roman" w:eastAsia="Times New Roman" w:hAnsi="Times New Roman" w:cs="Times New Roman"/>
          <w:b/>
          <w:bCs/>
          <w:kern w:val="0"/>
          <w:sz w:val="27"/>
          <w:szCs w:val="27"/>
          <w:lang w:eastAsia="en-GB"/>
          <w14:ligatures w14:val="none"/>
        </w:rPr>
        <w:t>Two-System Theory</w:t>
      </w:r>
    </w:p>
    <w:p w14:paraId="096B505B" w14:textId="77777777" w:rsidR="00035268" w:rsidRPr="00035268" w:rsidRDefault="00035268" w:rsidP="00035268">
      <w:pPr>
        <w:spacing w:before="100" w:beforeAutospacing="1" w:after="100" w:afterAutospacing="1"/>
        <w:rPr>
          <w:rFonts w:ascii="Times New Roman" w:eastAsia="Times New Roman" w:hAnsi="Times New Roman" w:cs="Times New Roman"/>
          <w:kern w:val="0"/>
          <w:lang w:eastAsia="en-GB"/>
          <w14:ligatures w14:val="none"/>
        </w:rPr>
      </w:pPr>
      <w:r w:rsidRPr="00035268">
        <w:rPr>
          <w:rFonts w:ascii="Times New Roman" w:eastAsia="Times New Roman" w:hAnsi="Times New Roman" w:cs="Times New Roman"/>
          <w:kern w:val="0"/>
          <w:lang w:eastAsia="en-GB"/>
          <w14:ligatures w14:val="none"/>
        </w:rPr>
        <w:t>We recently proposed a two-system framework for sensory-evoked brain responses. According to this theory, lemniscal thalamocortical pathways encode fine stimulus details, while extralemniscal pathways broadcast abrupt changes across the cortex. Recognizing the interplay of these systems is key to interpreting brain responses and avoiding overly modality-specific accounts.</w:t>
      </w:r>
    </w:p>
    <w:p w14:paraId="74F668C7" w14:textId="77777777" w:rsidR="00035268" w:rsidRPr="00035268" w:rsidRDefault="00740C29" w:rsidP="00035268">
      <w:pPr>
        <w:rPr>
          <w:rFonts w:ascii="Times New Roman" w:eastAsia="Times New Roman" w:hAnsi="Times New Roman" w:cs="Times New Roman"/>
          <w:kern w:val="0"/>
          <w:lang w:eastAsia="en-GB"/>
          <w14:ligatures w14:val="none"/>
        </w:rPr>
      </w:pPr>
      <w:r w:rsidRPr="00740C29">
        <w:rPr>
          <w:rFonts w:ascii="Times New Roman" w:eastAsia="Times New Roman" w:hAnsi="Times New Roman" w:cs="Times New Roman"/>
          <w:noProof/>
          <w:kern w:val="0"/>
          <w:lang w:eastAsia="en-GB"/>
        </w:rPr>
        <w:pict w14:anchorId="26655512">
          <v:rect id="_x0000_i1025" alt="" style="width:451.3pt;height:.05pt;mso-width-percent:0;mso-height-percent:0;mso-width-percent:0;mso-height-percent:0" o:hralign="center" o:hrstd="t" o:hr="t" fillcolor="#a0a0a0" stroked="f"/>
        </w:pict>
      </w:r>
    </w:p>
    <w:p w14:paraId="2C1EA390" w14:textId="77777777" w:rsidR="00035268" w:rsidRPr="00035268" w:rsidRDefault="00035268" w:rsidP="0003526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35268">
        <w:rPr>
          <w:rFonts w:ascii="Times New Roman" w:eastAsia="Times New Roman" w:hAnsi="Times New Roman" w:cs="Times New Roman"/>
          <w:b/>
          <w:bCs/>
          <w:kern w:val="0"/>
          <w:sz w:val="27"/>
          <w:szCs w:val="27"/>
          <w:lang w:eastAsia="en-GB"/>
          <w14:ligatures w14:val="none"/>
        </w:rPr>
        <w:lastRenderedPageBreak/>
        <w:t>Peripersonal Space</w:t>
      </w:r>
    </w:p>
    <w:p w14:paraId="2E759C29" w14:textId="77777777" w:rsidR="00035268" w:rsidRPr="00035268" w:rsidRDefault="00035268" w:rsidP="00035268">
      <w:pPr>
        <w:spacing w:before="100" w:beforeAutospacing="1" w:after="100" w:afterAutospacing="1"/>
        <w:rPr>
          <w:rFonts w:ascii="Times New Roman" w:eastAsia="Times New Roman" w:hAnsi="Times New Roman" w:cs="Times New Roman"/>
          <w:kern w:val="0"/>
          <w:lang w:eastAsia="en-GB"/>
          <w14:ligatures w14:val="none"/>
        </w:rPr>
      </w:pPr>
      <w:r w:rsidRPr="00035268">
        <w:rPr>
          <w:rFonts w:ascii="Times New Roman" w:eastAsia="Times New Roman" w:hAnsi="Times New Roman" w:cs="Times New Roman"/>
          <w:kern w:val="0"/>
          <w:lang w:eastAsia="en-GB"/>
          <w14:ligatures w14:val="none"/>
        </w:rPr>
        <w:t>We study neurons with sensory receptive fields anchored to body parts, which contribute to mapping the space immediately surrounding the body. Rather than simple proximity detectors, these neurons encode the action value of potential contacts, supporting flexible defensive and goal-directed behaviour. This work shows that peripersonal space reflects predictive, action-based value maps of the near-body environment.</w:t>
      </w:r>
    </w:p>
    <w:p w14:paraId="7FA15293" w14:textId="77777777" w:rsidR="00035268" w:rsidRPr="00035268" w:rsidRDefault="00035268">
      <w:pPr>
        <w:rPr>
          <w:u w:val="single"/>
        </w:rPr>
      </w:pPr>
    </w:p>
    <w:sectPr w:rsidR="00035268" w:rsidRPr="00035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NewRomanPSMT">
    <w:altName w:val="Times New Roman"/>
    <w:panose1 w:val="020B0604020202020204"/>
    <w:charset w:val="00"/>
    <w:family w:val="roman"/>
    <w:pitch w:val="default"/>
  </w:font>
  <w:font w:name="HardingText">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68"/>
    <w:rsid w:val="00035268"/>
    <w:rsid w:val="001520ED"/>
    <w:rsid w:val="001B18E8"/>
    <w:rsid w:val="00264C06"/>
    <w:rsid w:val="002B21BD"/>
    <w:rsid w:val="002D64AD"/>
    <w:rsid w:val="002E2CFD"/>
    <w:rsid w:val="00332C2E"/>
    <w:rsid w:val="004341F6"/>
    <w:rsid w:val="005364B6"/>
    <w:rsid w:val="005F7CDD"/>
    <w:rsid w:val="006A5F70"/>
    <w:rsid w:val="00714640"/>
    <w:rsid w:val="00740C29"/>
    <w:rsid w:val="007516FD"/>
    <w:rsid w:val="00781DEF"/>
    <w:rsid w:val="009D64FC"/>
    <w:rsid w:val="00AC456E"/>
    <w:rsid w:val="00B26BBA"/>
    <w:rsid w:val="00B33A7D"/>
    <w:rsid w:val="00CD136F"/>
    <w:rsid w:val="00DC3E8B"/>
    <w:rsid w:val="00E973AF"/>
    <w:rsid w:val="00ED6BF2"/>
    <w:rsid w:val="00F35689"/>
    <w:rsid w:val="00F379DE"/>
    <w:rsid w:val="00F642E3"/>
    <w:rsid w:val="00FB53A7"/>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92DDC"/>
  <w15:chartTrackingRefBased/>
  <w15:docId w15:val="{EF77DE7C-6937-2E4C-97C5-89E207EDE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68"/>
  </w:style>
  <w:style w:type="paragraph" w:styleId="Heading1">
    <w:name w:val="heading 1"/>
    <w:basedOn w:val="Normal"/>
    <w:next w:val="Normal"/>
    <w:link w:val="Heading1Char"/>
    <w:uiPriority w:val="9"/>
    <w:qFormat/>
    <w:rsid w:val="00035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5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2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2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2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2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5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268"/>
    <w:rPr>
      <w:rFonts w:eastAsiaTheme="majorEastAsia" w:cstheme="majorBidi"/>
      <w:color w:val="272727" w:themeColor="text1" w:themeTint="D8"/>
    </w:rPr>
  </w:style>
  <w:style w:type="paragraph" w:styleId="Title">
    <w:name w:val="Title"/>
    <w:basedOn w:val="Normal"/>
    <w:next w:val="Normal"/>
    <w:link w:val="TitleChar"/>
    <w:uiPriority w:val="10"/>
    <w:qFormat/>
    <w:rsid w:val="000352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2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2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5268"/>
    <w:rPr>
      <w:i/>
      <w:iCs/>
      <w:color w:val="404040" w:themeColor="text1" w:themeTint="BF"/>
    </w:rPr>
  </w:style>
  <w:style w:type="paragraph" w:styleId="ListParagraph">
    <w:name w:val="List Paragraph"/>
    <w:basedOn w:val="Normal"/>
    <w:uiPriority w:val="34"/>
    <w:qFormat/>
    <w:rsid w:val="00035268"/>
    <w:pPr>
      <w:ind w:left="720"/>
      <w:contextualSpacing/>
    </w:pPr>
  </w:style>
  <w:style w:type="character" w:styleId="IntenseEmphasis">
    <w:name w:val="Intense Emphasis"/>
    <w:basedOn w:val="DefaultParagraphFont"/>
    <w:uiPriority w:val="21"/>
    <w:qFormat/>
    <w:rsid w:val="00035268"/>
    <w:rPr>
      <w:i/>
      <w:iCs/>
      <w:color w:val="0F4761" w:themeColor="accent1" w:themeShade="BF"/>
    </w:rPr>
  </w:style>
  <w:style w:type="paragraph" w:styleId="IntenseQuote">
    <w:name w:val="Intense Quote"/>
    <w:basedOn w:val="Normal"/>
    <w:next w:val="Normal"/>
    <w:link w:val="IntenseQuoteChar"/>
    <w:uiPriority w:val="30"/>
    <w:qFormat/>
    <w:rsid w:val="00035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268"/>
    <w:rPr>
      <w:i/>
      <w:iCs/>
      <w:color w:val="0F4761" w:themeColor="accent1" w:themeShade="BF"/>
    </w:rPr>
  </w:style>
  <w:style w:type="character" w:styleId="IntenseReference">
    <w:name w:val="Intense Reference"/>
    <w:basedOn w:val="DefaultParagraphFont"/>
    <w:uiPriority w:val="32"/>
    <w:qFormat/>
    <w:rsid w:val="00035268"/>
    <w:rPr>
      <w:b/>
      <w:bCs/>
      <w:smallCaps/>
      <w:color w:val="0F4761" w:themeColor="accent1" w:themeShade="BF"/>
      <w:spacing w:val="5"/>
    </w:rPr>
  </w:style>
  <w:style w:type="paragraph" w:styleId="NormalWeb">
    <w:name w:val="Normal (Web)"/>
    <w:basedOn w:val="Normal"/>
    <w:uiPriority w:val="99"/>
    <w:unhideWhenUsed/>
    <w:rsid w:val="0003526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352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933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Giandomenico Iannetti</dc:creator>
  <cp:keywords/>
  <dc:description/>
  <cp:lastModifiedBy>Giandomenico Iannetti</cp:lastModifiedBy>
  <cp:revision>1</cp:revision>
  <dcterms:created xsi:type="dcterms:W3CDTF">2025-09-23T00:19:00Z</dcterms:created>
  <dcterms:modified xsi:type="dcterms:W3CDTF">2025-09-23T00:21:00Z</dcterms:modified>
</cp:coreProperties>
</file>