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0F213B"/>
          <w:sz w:val="80"/>
        </w:rPr>
        <w:t>Analytic Eyes</w:t>
      </w:r>
    </w:p>
    <w:p>
      <w:pPr>
        <w:jc w:val="center"/>
      </w:pPr>
      <w:r>
        <w:rPr>
          <w:color w:val="1F6FEB"/>
          <w:sz w:val="40"/>
        </w:rPr>
        <w:t>Documentação Técnica Detalhada</w:t>
      </w:r>
    </w:p>
    <w:p>
      <w:pPr>
        <w:spacing w:before="200"/>
        <w:jc w:val="center"/>
      </w:pPr>
      <w:r>
        <w:rPr>
          <w:color w:val="4A5568"/>
          <w:sz w:val="26"/>
        </w:rPr>
        <w:t>Arquitetura de software, infraestrutura AWS, segurança e operação</w:t>
      </w:r>
    </w:p>
    <w:p>
      <w:r>
        <w:br w:type="page"/>
      </w:r>
    </w:p>
    <w:p>
      <w:pPr>
        <w:pStyle w:val="Heading1"/>
      </w:pPr>
      <w:r>
        <w:t>Sumário</w:t>
      </w:r>
    </w:p>
    <w:p>
      <w:pPr>
        <w:ind w:left="227"/>
      </w:pPr>
      <w:r>
        <w:rPr>
          <w:b/>
          <w:color w:val="1F6FEB"/>
        </w:rPr>
        <w:t xml:space="preserve">Nota: </w:t>
      </w:r>
      <w:r>
        <w:rPr>
          <w:i/>
        </w:rPr>
        <w:t>clique com o botão direito sobre o índice e escolha "Atualizar campo" após abrir o documento no Word.</w:t>
      </w:r>
    </w:p>
    <w:p>
      <w:r>
        <w:fldChar w:fldCharType="begin"/>
        <w:instrText xml:space="preserve">TOC \o "1-3" \h \z \u</w:instrText>
        <w:fldChar w:fldCharType="separate"/>
        <w:t>Atualize este campo no Word (F9) para gerar o sumário.</w:t>
        <w:fldChar w:fldCharType="end"/>
      </w:r>
    </w:p>
    <w:p>
      <w:r>
        <w:br w:type="page"/>
      </w:r>
    </w:p>
    <w:p>
      <w:pPr>
        <w:pStyle w:val="Heading1"/>
      </w:pPr>
      <w:r>
        <w:t>1. Introdução</w:t>
      </w:r>
    </w:p>
    <w:p>
      <w:r>
        <w:t>Este documento descreve, em detalhe técnico, a arquitetura de software, a infraestrutura de nuvem, os mecanismos de segurança e o modelo operacional da plataforma Analytic Eyes. Ele complementa a apresentação institucional (PPT) com o nível de detalhe necessário para engenheiros, administradores de infraestrutura e stakeholders técnicos que precisem operar, auditar ou evoluir o sistema.</w:t>
      </w:r>
    </w:p>
    <w:p>
      <w:r>
        <w:t>O documento cobre: a aplicação (backend, frontend, execução de pipelines), o banco de dados e o gerenciamento de credenciais, a infraestrutura provisionada via Terraform, o modelo de segurança de rede e acesso, o processo de deploy, um incidente operacional registrado durante a implantação e sua resolução, a estimativa de custos, e recomendações de evolução futura.</w:t>
      </w:r>
    </w:p>
    <w:p>
      <w:pPr>
        <w:pStyle w:val="Heading1"/>
      </w:pPr>
      <w:r>
        <w:t>2. Visão Geral da Aplicação</w:t>
      </w:r>
    </w:p>
    <w:p>
      <w:r>
        <w:t>O Analytic Eyes é uma plataforma para gerenciar, orquestrar e executar pipelines ETL (Extract, Transform, Load) escritas em Python. O objetivo central é permitir que equipes criem, compartilhem e executem pipelines com isolamento entre execuções e rastreabilidade completa dos resultados.</w:t>
      </w:r>
    </w:p>
    <w:p>
      <w:pPr>
        <w:pStyle w:val="Heading2"/>
      </w:pPr>
      <w:r>
        <w:t>2.1 Casos de Uso Típicos</w:t>
      </w:r>
    </w:p>
    <w:p>
      <w:pPr>
        <w:pStyle w:val="ListBullet"/>
      </w:pPr>
      <w:r>
        <w:t>Consolidação diária de dados provenientes de múltiplas fontes</w:t>
      </w:r>
    </w:p>
    <w:p>
      <w:pPr>
        <w:pStyle w:val="ListBullet"/>
      </w:pPr>
      <w:r>
        <w:t>Ingestão e transformação de dados via scripts Python customizados</w:t>
      </w:r>
    </w:p>
    <w:p>
      <w:pPr>
        <w:pStyle w:val="ListBullet"/>
      </w:pPr>
      <w:r>
        <w:t>Encadeamento de pipelines (uma pipeline dispara outra ao concluir)</w:t>
      </w:r>
    </w:p>
    <w:p>
      <w:pPr>
        <w:pStyle w:val="ListBullet"/>
      </w:pPr>
      <w:r>
        <w:t>Execução sob demanda para análises pontuais (ad-hoc)</w:t>
      </w:r>
    </w:p>
    <w:p>
      <w:pPr>
        <w:pStyle w:val="Heading2"/>
      </w:pPr>
      <w:r>
        <w:t>2.2 Funcionalidades</w:t>
      </w:r>
    </w:p>
    <w:p>
      <w:pPr>
        <w:pStyle w:val="ListBullet"/>
      </w:pPr>
      <w:r>
        <w:t>Criação, edição, exclusão e execução de pipelines pela interface web</w:t>
      </w:r>
    </w:p>
    <w:p>
      <w:pPr>
        <w:pStyle w:val="ListBullet"/>
      </w:pPr>
      <w:r>
        <w:t>Editor de código Python integrado (Monaco Editor), com upload de arquivos .py</w:t>
      </w:r>
    </w:p>
    <w:p>
      <w:pPr>
        <w:pStyle w:val="ListBullet"/>
      </w:pPr>
      <w:r>
        <w:t>Suporte a requirements.txt e arquivo .env específicos por pipeline</w:t>
      </w:r>
    </w:p>
    <w:p>
      <w:pPr>
        <w:pStyle w:val="ListBullet"/>
      </w:pPr>
      <w:r>
        <w:t>Agendamento recorrente (dias da semana/horário) via Celery Beat</w:t>
      </w:r>
    </w:p>
    <w:p>
      <w:pPr>
        <w:pStyle w:val="ListBullet"/>
      </w:pPr>
      <w:r>
        <w:t>Histórico de execuções (runs) com logs vinculados a cada execução</w:t>
      </w:r>
    </w:p>
    <w:p>
      <w:pPr>
        <w:pStyle w:val="ListBullet"/>
      </w:pPr>
      <w:r>
        <w:t>Controle de acesso por pipeline: visualização, execução, edição e propriedade (owner)</w:t>
      </w:r>
    </w:p>
    <w:p>
      <w:pPr>
        <w:pStyle w:val="ListBullet"/>
      </w:pPr>
      <w:r>
        <w:t>Execução isolada em container Docker dedicado por execução</w:t>
      </w:r>
    </w:p>
    <w:p>
      <w:pPr>
        <w:pStyle w:val="ListBullet"/>
      </w:pPr>
      <w:r>
        <w:t>Interface web responsiva (desktop, tablet, mobile), com busca de pipelines</w:t>
      </w:r>
    </w:p>
    <w:p>
      <w:pPr>
        <w:pStyle w:val="Heading1"/>
      </w:pPr>
      <w:r>
        <w:t>3. Arquitetura de Software</w:t>
      </w:r>
    </w:p>
    <w:p>
      <w:r>
        <w:t>A aplicação segue uma arquitetura de monólito modular no backend, com processamento assíncrono desacoplado via fila de mensagens, e execução de código de terceiros isolada em containers Docker efêmeros.</w:t>
      </w:r>
    </w:p>
    <w:p>
      <w:pPr>
        <w:pStyle w:val="Heading2"/>
      </w:pPr>
      <w:r>
        <w:t>3.1 Backend (Django + Django REST Framework)</w:t>
      </w:r>
    </w:p>
    <w:p>
      <w:r>
        <w:t>O backend é implementado em Django, exposto como uma API REST via Django REST Framework, com autenticação por token (TokenAuthentication) e documentação OpenAPI gerada automaticamente via drf-spectacular. A aplicação principal (app Django) é a pipelines, responsável pelos modelos de dados, regras de negócio e endpoints da API.</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0F213B"/>
          </w:tcPr>
          <w:p>
            <w:r/>
            <w:r>
              <w:rPr>
                <w:b/>
                <w:color w:val="FFFFFF"/>
                <w:sz w:val="21"/>
              </w:rPr>
              <w:t>Componente</w:t>
            </w:r>
          </w:p>
        </w:tc>
        <w:tc>
          <w:tcPr>
            <w:tcW w:type="dxa" w:w="6236"/>
            <w:shd w:val="clear" w:color="auto" w:fill="0F213B"/>
          </w:tcPr>
          <w:p>
            <w:r/>
            <w:r>
              <w:rPr>
                <w:b/>
                <w:color w:val="FFFFFF"/>
                <w:sz w:val="21"/>
              </w:rPr>
              <w:t>Responsabilidade</w:t>
            </w:r>
          </w:p>
        </w:tc>
      </w:tr>
      <w:tr>
        <w:tc>
          <w:tcPr>
            <w:tcW w:type="dxa" w:w="2835"/>
          </w:tcPr>
          <w:p>
            <w:r/>
            <w:r>
              <w:rPr>
                <w:sz w:val="20"/>
              </w:rPr>
              <w:t>models.py</w:t>
            </w:r>
          </w:p>
        </w:tc>
        <w:tc>
          <w:tcPr>
            <w:tcW w:type="dxa" w:w="6236"/>
          </w:tcPr>
          <w:p>
            <w:r/>
            <w:r>
              <w:rPr>
                <w:sz w:val="20"/>
              </w:rPr>
              <w:t>Modelos de dados: Pipeline, execuções (runs), agendamentos</w:t>
            </w:r>
          </w:p>
        </w:tc>
      </w:tr>
      <w:tr>
        <w:tc>
          <w:tcPr>
            <w:tcW w:type="dxa" w:w="2835"/>
            <w:shd w:val="clear" w:color="auto" w:fill="F2F5FA"/>
          </w:tcPr>
          <w:p>
            <w:r/>
            <w:r>
              <w:rPr>
                <w:sz w:val="20"/>
              </w:rPr>
              <w:t>views.py</w:t>
            </w:r>
          </w:p>
        </w:tc>
        <w:tc>
          <w:tcPr>
            <w:tcW w:type="dxa" w:w="6236"/>
            <w:shd w:val="clear" w:color="auto" w:fill="F2F5FA"/>
          </w:tcPr>
          <w:p>
            <w:r/>
            <w:r>
              <w:rPr>
                <w:sz w:val="20"/>
              </w:rPr>
              <w:t>Endpoints REST: CRUD de pipelines, disparo de execução, consulta de runs</w:t>
            </w:r>
          </w:p>
        </w:tc>
      </w:tr>
      <w:tr>
        <w:tc>
          <w:tcPr>
            <w:tcW w:type="dxa" w:w="2835"/>
          </w:tcPr>
          <w:p>
            <w:r/>
            <w:r>
              <w:rPr>
                <w:sz w:val="20"/>
              </w:rPr>
              <w:t>storage.py</w:t>
            </w:r>
          </w:p>
        </w:tc>
        <w:tc>
          <w:tcPr>
            <w:tcW w:type="dxa" w:w="6236"/>
          </w:tcPr>
          <w:p>
            <w:r/>
            <w:r>
              <w:rPr>
                <w:sz w:val="20"/>
              </w:rPr>
              <w:t>Abstração de armazenamento (Local ou S3) para scripts e arquivos das pipelines</w:t>
            </w:r>
          </w:p>
        </w:tc>
      </w:tr>
      <w:tr>
        <w:tc>
          <w:tcPr>
            <w:tcW w:type="dxa" w:w="2835"/>
            <w:shd w:val="clear" w:color="auto" w:fill="F2F5FA"/>
          </w:tcPr>
          <w:p>
            <w:r/>
            <w:r>
              <w:rPr>
                <w:sz w:val="20"/>
              </w:rPr>
              <w:t>tasks.py</w:t>
            </w:r>
          </w:p>
        </w:tc>
        <w:tc>
          <w:tcPr>
            <w:tcW w:type="dxa" w:w="6236"/>
            <w:shd w:val="clear" w:color="auto" w:fill="F2F5FA"/>
          </w:tcPr>
          <w:p>
            <w:r/>
            <w:r>
              <w:rPr>
                <w:sz w:val="20"/>
              </w:rPr>
              <w:t>Tarefas assíncronas Celery: execução de pipelines em containers Docker</w:t>
            </w:r>
          </w:p>
        </w:tc>
      </w:tr>
      <w:tr>
        <w:tc>
          <w:tcPr>
            <w:tcW w:type="dxa" w:w="2835"/>
          </w:tcPr>
          <w:p>
            <w:r/>
            <w:r>
              <w:rPr>
                <w:sz w:val="20"/>
              </w:rPr>
              <w:t>throttling.py</w:t>
            </w:r>
          </w:p>
        </w:tc>
        <w:tc>
          <w:tcPr>
            <w:tcW w:type="dxa" w:w="6236"/>
          </w:tcPr>
          <w:p>
            <w:r/>
            <w:r>
              <w:rPr>
                <w:sz w:val="20"/>
              </w:rPr>
              <w:t>Limitação de taxa de requisições (ex.: tentativas de login)</w:t>
            </w:r>
          </w:p>
        </w:tc>
      </w:tr>
    </w:tbl>
    <w:p/>
    <w:p>
      <w:pPr>
        <w:pStyle w:val="Heading2"/>
      </w:pPr>
      <w:r>
        <w:t>3.2 Frontend (React + Vite)</w:t>
      </w:r>
    </w:p>
    <w:p>
      <w:r>
        <w:t>O frontend é uma Single Page Application construída com React e Vite, consumindo exclusivamente a API REST do backend. Principais telas: Login, Início (dashboard), Criar Fluxo (formulário de criação de pipeline com editor de código), Fluxos (listagem e busca), Detalhes (histórico de execuções, edição, exclusão) e Configurações (perfil, senha, criação de usuários).</w:t>
      </w:r>
    </w:p>
    <w:p>
      <w:pPr>
        <w:pStyle w:val="Heading2"/>
      </w:pPr>
      <w:r>
        <w:t>3.3 Execução Assíncrona (Celery + Redis)</w:t>
      </w:r>
    </w:p>
    <w:p>
      <w:r>
        <w:t>Toda execução de pipeline é assíncrona: a API grava a solicitação e a enfileira no Redis (broker de mensagens do Celery); um processo Celery Worker separado consome a fila e processa a execução, evitando bloquear requisições HTTP. Um segundo processo (Celery Beat) é responsável por dispersar as pipelines agendadas na periodicidade configurada.</w:t>
      </w:r>
    </w:p>
    <w:p>
      <w:pPr>
        <w:pStyle w:val="Heading2"/>
      </w:pPr>
      <w:r>
        <w:t>3.4 Execução Isolada (Docker)</w:t>
      </w:r>
    </w:p>
    <w:p>
      <w:r>
        <w:t>Cada execução de pipeline roda em um container Docker próprio, criado dinamicamente pelo Celery Worker via SDK Docker para Python. Isso garante isolamento de dependências entre pipelines distintas (cada uma pode ter seu próprio requirements.txt) e limita o impacto de uma execução com falha sobre o restante do sistema. O worker acessa o daemon Docker do host através de um proxy dedicado (docker-socket-proxy), que restringe as operações permitidas em vez de expor o socket Docker diretamente.</w:t>
      </w:r>
    </w:p>
    <w:p>
      <w:pPr>
        <w:pStyle w:val="Heading2"/>
      </w:pPr>
      <w:r>
        <w:t>3.5 Fluxo Completo de uma Execução</w:t>
      </w:r>
    </w:p>
    <w:p>
      <w:pPr>
        <w:pStyle w:val="ListBullet"/>
      </w:pPr>
      <w:r>
        <w:t>O usuário aciona a execução pela interface ou via chamada direta à API</w:t>
      </w:r>
    </w:p>
    <w:p>
      <w:pPr>
        <w:pStyle w:val="ListBullet"/>
      </w:pPr>
      <w:r>
        <w:t>A API cria o registro de execução (run) e publica uma tarefa na fila Redis</w:t>
      </w:r>
    </w:p>
    <w:p>
      <w:pPr>
        <w:pStyle w:val="ListBullet"/>
      </w:pPr>
      <w:r>
        <w:t>O Celery Worker consome a tarefa e sincroniza os arquivos da pipeline (do S3 ou disco local) para um diretório de trabalho local</w:t>
      </w:r>
    </w:p>
    <w:p>
      <w:pPr>
        <w:pStyle w:val="ListBullet"/>
      </w:pPr>
      <w:r>
        <w:t>Um container Docker é criado a partir da imagem-base de execução, com os arquivos da pipeline montados</w:t>
      </w:r>
    </w:p>
    <w:p>
      <w:pPr>
        <w:pStyle w:val="ListBullet"/>
      </w:pPr>
      <w:r>
        <w:t>O script Python da pipeline é executado dentro do container, com suas dependências próprias já instaladas</w:t>
      </w:r>
    </w:p>
    <w:p>
      <w:pPr>
        <w:pStyle w:val="ListBullet"/>
      </w:pPr>
      <w:r>
        <w:t>Ao término, a saída (output) é sincronizada de volta para o armazenamento persistente</w:t>
      </w:r>
    </w:p>
    <w:p>
      <w:pPr>
        <w:pStyle w:val="ListBullet"/>
      </w:pPr>
      <w:r>
        <w:t>Logs e status da execução são gravados no banco de dados e disponibilizados pela API/interface</w:t>
      </w:r>
    </w:p>
    <w:p>
      <w:pPr>
        <w:pStyle w:val="Heading1"/>
      </w:pPr>
      <w:r>
        <w:t>4. Armazenamento de Arquivos</w:t>
      </w:r>
    </w:p>
    <w:p>
      <w:r>
        <w:t>O armazenamento de scripts, arquivos de configuração e dados de entrada/saída das pipelines é abstraído por uma interface comum (PipelineStorage), com duas implementações intercambiáveis: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0F213B"/>
          </w:tcPr>
          <w:p>
            <w:r/>
            <w:r>
              <w:rPr>
                <w:b/>
                <w:color w:val="FFFFFF"/>
                <w:sz w:val="21"/>
              </w:rPr>
              <w:t>Modo</w:t>
            </w:r>
          </w:p>
        </w:tc>
        <w:tc>
          <w:tcPr>
            <w:tcW w:type="dxa" w:w="3402"/>
            <w:shd w:val="clear" w:color="auto" w:fill="0F213B"/>
          </w:tcPr>
          <w:p>
            <w:r/>
            <w:r>
              <w:rPr>
                <w:b/>
                <w:color w:val="FFFFFF"/>
                <w:sz w:val="21"/>
              </w:rPr>
              <w:t>Uso recomendado</w:t>
            </w:r>
          </w:p>
        </w:tc>
        <w:tc>
          <w:tcPr>
            <w:tcW w:type="dxa" w:w="3402"/>
            <w:shd w:val="clear" w:color="auto" w:fill="0F213B"/>
          </w:tcPr>
          <w:p>
            <w:r/>
            <w:r>
              <w:rPr>
                <w:b/>
                <w:color w:val="FFFFFF"/>
                <w:sz w:val="21"/>
              </w:rPr>
              <w:t>Configuração</w:t>
            </w:r>
          </w:p>
        </w:tc>
      </w:tr>
      <w:tr>
        <w:tc>
          <w:tcPr>
            <w:tcW w:type="dxa" w:w="2268"/>
          </w:tcPr>
          <w:p>
            <w:r/>
            <w:r>
              <w:rPr>
                <w:sz w:val="20"/>
              </w:rPr>
              <w:t>LocalStorage</w:t>
            </w:r>
          </w:p>
        </w:tc>
        <w:tc>
          <w:tcPr>
            <w:tcW w:type="dxa" w:w="3402"/>
          </w:tcPr>
          <w:p>
            <w:r/>
            <w:r>
              <w:rPr>
                <w:sz w:val="20"/>
              </w:rPr>
              <w:t>Desenvolvimento local</w:t>
            </w:r>
          </w:p>
        </w:tc>
        <w:tc>
          <w:tcPr>
            <w:tcW w:type="dxa" w:w="3402"/>
          </w:tcPr>
          <w:p>
            <w:r/>
            <w:r>
              <w:rPr>
                <w:sz w:val="20"/>
              </w:rPr>
              <w:t>PIPELINE_STORAGE_TYPE=local</w:t>
            </w:r>
          </w:p>
        </w:tc>
      </w:tr>
      <w:tr>
        <w:tc>
          <w:tcPr>
            <w:tcW w:type="dxa" w:w="2268"/>
            <w:shd w:val="clear" w:color="auto" w:fill="F2F5FA"/>
          </w:tcPr>
          <w:p>
            <w:r/>
            <w:r>
              <w:rPr>
                <w:sz w:val="20"/>
              </w:rPr>
              <w:t>S3Storage</w:t>
            </w:r>
          </w:p>
        </w:tc>
        <w:tc>
          <w:tcPr>
            <w:tcW w:type="dxa" w:w="3402"/>
            <w:shd w:val="clear" w:color="auto" w:fill="F2F5FA"/>
          </w:tcPr>
          <w:p>
            <w:r/>
            <w:r>
              <w:rPr>
                <w:sz w:val="20"/>
              </w:rPr>
              <w:t>Produção</w:t>
            </w:r>
          </w:p>
        </w:tc>
        <w:tc>
          <w:tcPr>
            <w:tcW w:type="dxa" w:w="3402"/>
            <w:shd w:val="clear" w:color="auto" w:fill="F2F5FA"/>
          </w:tcPr>
          <w:p>
            <w:r/>
            <w:r>
              <w:rPr>
                <w:sz w:val="20"/>
              </w:rPr>
              <w:t>PIPELINE_STORAGE_TYPE=s3 + AWS_STORAGE_BUCKET_NAME</w:t>
            </w:r>
          </w:p>
        </w:tc>
      </w:tr>
    </w:tbl>
    <w:p/>
    <w:p>
      <w:r>
        <w:t>Em produção, o acesso ao S3 é feito via boto3, sem credenciais estáticas: quando nenhuma chave de acesso é configurada explicitamente, o SDK utiliza automaticamente a cadeia padrão de credenciais, resolvendo para a IAM Role anexada à instância EC2. O bucket é privado, versionado e criptografado por padrão (AES-256), organizado por prefixo de pipeline (&lt;prefixo&gt;/&lt;nome-da-pipeline&gt;/...).</w:t>
      </w:r>
    </w:p>
    <w:p>
      <w:pPr>
        <w:pStyle w:val="Heading1"/>
      </w:pPr>
      <w:r>
        <w:t>5. Banco de Dados e Gerenciamento de Segredos</w:t>
      </w:r>
    </w:p>
    <w:p>
      <w:r>
        <w:t>O banco de dados de produção é um PostgreSQL provisionado via Amazon RDS. As credenciais de acesso não são armazenadas em nenhum arquivo de configuração da aplicação — são obtidas dinamicamente do AWS Secrets Manager no momento em que a aplicação inicializa.</w:t>
      </w:r>
    </w:p>
    <w:p>
      <w:pPr>
        <w:pStyle w:val="Heading2"/>
      </w:pPr>
      <w:r>
        <w:t>5.1 Motivação</w:t>
      </w:r>
    </w:p>
    <w:p>
      <w:r>
        <w:t>Anteriormente, o ambiente de produção estava configurado para um banco SQL Server via variáveis de ambiente simples (usuário e senha em texto plano no arquivo .env), configuração que sequer chegava a funcionar por ausência do driver necessário. A migração para PostgreSQL gerenciado com credenciais via Secrets Manager elimina a necessidade de armazenar segredos de banco de dados em qualquer arquivo de configuração versionável, e permite rotação de credenciais gerenciada nativamente pela AWS.</w:t>
      </w:r>
    </w:p>
    <w:p>
      <w:pPr>
        <w:pStyle w:val="Heading2"/>
      </w:pPr>
      <w:r>
        <w:t>5.2 Funcionamento</w:t>
      </w:r>
    </w:p>
    <w:p>
      <w:pPr>
        <w:pStyle w:val="ListBullet"/>
      </w:pPr>
      <w:r>
        <w:t>O RDS é provisionado com a opção "Manage master user password in Secrets Manager" habilitada — a própria AWS gera e gerencia o segredo do usuário administrador do banco.</w:t>
      </w:r>
    </w:p>
    <w:p>
      <w:pPr>
        <w:pStyle w:val="ListBullet"/>
      </w:pPr>
      <w:r>
        <w:t>A aplicação recebe apenas o ARN (identificador) desse segredo, via variável de ambiente DB_SECRET_ARN.</w:t>
      </w:r>
    </w:p>
    <w:p>
      <w:pPr>
        <w:pStyle w:val="ListBullet"/>
      </w:pPr>
      <w:r>
        <w:t>No momento em que o processo Django é iniciado, um módulo dedicado (secrets_manager.py) consulta o AWS Secrets Manager usando a IAM Role da instância — nenhuma chave de acesso é passada explicitamente ao cliente boto3.</w:t>
      </w:r>
    </w:p>
    <w:p>
      <w:pPr>
        <w:pStyle w:val="ListBullet"/>
      </w:pPr>
      <w:r>
        <w:t>O resultado é armazenado em cache em memória pelo tempo de vida do processo (evitando chamadas repetidas ao Secrets Manager a cada requisição).</w:t>
      </w:r>
    </w:p>
    <w:p>
      <w:pPr>
        <w:pStyle w:val="Heading2"/>
      </w:pPr>
      <w:r>
        <w:t>5.3 Formato Real do Segredo Gerenciado</w:t>
      </w:r>
    </w:p>
    <w:p>
      <w:r>
        <w:t>Um ponto técnico relevante, confirmado em ambiente real: o segredo gerado automaticamente pela opção "master user password" do RDS contém apenas usuário e senha — não inclui host, porta ou nome do banco, diferentemente do que a documentação genérica poderia sugerir.</w:t>
      </w:r>
    </w:p>
    <w:p>
      <w:pPr>
        <w:pStyle w:val="CodeBlock"/>
      </w:pPr>
      <w:r>
        <w:t>{</w:t>
      </w:r>
    </w:p>
    <w:p>
      <w:pPr>
        <w:pStyle w:val="CodeBlock"/>
      </w:pPr>
      <w:r>
        <w:t xml:space="preserve">  "username": "app_admin",</w:t>
      </w:r>
    </w:p>
    <w:p>
      <w:pPr>
        <w:pStyle w:val="CodeBlock"/>
      </w:pPr>
      <w:r>
        <w:t xml:space="preserve">  "password": "••••••••••••"</w:t>
      </w:r>
    </w:p>
    <w:p>
      <w:pPr>
        <w:pStyle w:val="CodeBlock"/>
      </w:pPr>
      <w:r>
        <w:t>}</w:t>
      </w:r>
    </w:p>
    <w:p>
      <w:r>
        <w:t>Host, porta e nome do banco são, portanto, resolvidos a partir de variáveis de ambiente próprias (DB_HOST, DB_PORT, DB_NAME), preenchidas com os valores de saída (outputs) do Terraform no momento do provisionamento da infraestrutura.</w:t>
      </w:r>
    </w:p>
    <w:p>
      <w:pPr>
        <w:pStyle w:val="Heading2"/>
      </w:pPr>
      <w:r>
        <w:t>5.4 Comportamento em Caso de Falha (Fail-Fast)</w:t>
      </w:r>
    </w:p>
    <w:p>
      <w:r>
        <w:t>Caso o segredo não seja encontrado, a permissão IAM esteja incorreta, o formato do JSON seja inválido ou falte alguma chave obrigatória, a aplicação recusa-se a inicializar, levantando um erro de configuração claro no log — em vez de tentar credenciais antigas ou assumir um estado inconsistente silenciosamente. Existe uma opção de contorno explícita (DB_USE_SECRETS_MANAGER=false) para uso apenas em ambientes de teste sem Secrets Manager configurado; nunca é acionada automaticamente como recuperação de erro.</w:t>
      </w:r>
    </w:p>
    <w:p>
      <w:pPr>
        <w:pStyle w:val="Heading1"/>
      </w:pPr>
      <w:r>
        <w:t>6. Infraestrutura como Código (Terraform)</w:t>
      </w:r>
    </w:p>
    <w:p>
      <w:r>
        <w:t>Toda a infraestrutura de nuvem é definida e versionada como código Terraform, organizada em módulos reutilizáveis, permitindo que qualquer integrante da equipe reproduza o mesmo ambiente de forma padronizada.</w:t>
      </w:r>
    </w:p>
    <w:p>
      <w:pPr>
        <w:pStyle w:val="Heading2"/>
      </w:pPr>
      <w:r>
        <w:t>6.1 Estrutura de Diretórios</w:t>
      </w:r>
    </w:p>
    <w:p>
      <w:pPr>
        <w:pStyle w:val="CodeBlock"/>
      </w:pPr>
      <w:r>
        <w:t>infra/</w:t>
      </w:r>
    </w:p>
    <w:p>
      <w:pPr>
        <w:pStyle w:val="CodeBlock"/>
      </w:pPr>
      <w:r>
        <w:t xml:space="preserve">  bootstrap/        # Bucket S3 + tabela DynamoDB do state remoto (aplicado 1x)</w:t>
      </w:r>
    </w:p>
    <w:p>
      <w:pPr>
        <w:pStyle w:val="CodeBlock"/>
      </w:pPr>
      <w:r>
        <w:t xml:space="preserve">  modules/</w:t>
      </w:r>
    </w:p>
    <w:p>
      <w:pPr>
        <w:pStyle w:val="CodeBlock"/>
      </w:pPr>
      <w:r>
        <w:t xml:space="preserve">    network/         # VPC, subnet publica (EC2) + subnets privadas (RDS)</w:t>
      </w:r>
    </w:p>
    <w:p>
      <w:pPr>
        <w:pStyle w:val="CodeBlock"/>
      </w:pPr>
      <w:r>
        <w:t xml:space="preserve">    security/        # Security Groups (EC2 e RDS)</w:t>
      </w:r>
    </w:p>
    <w:p>
      <w:pPr>
        <w:pStyle w:val="CodeBlock"/>
      </w:pPr>
      <w:r>
        <w:t xml:space="preserve">    s3/               # Bucket para scripts/arquivos das pipelines</w:t>
      </w:r>
    </w:p>
    <w:p>
      <w:pPr>
        <w:pStyle w:val="CodeBlock"/>
      </w:pPr>
      <w:r>
        <w:t xml:space="preserve">    rds/              # Banco PostgreSQL com credenciais no Secrets Manager</w:t>
      </w:r>
    </w:p>
    <w:p>
      <w:pPr>
        <w:pStyle w:val="CodeBlock"/>
      </w:pPr>
      <w:r>
        <w:t xml:space="preserve">    iam/              # IAM Role/instance profile da EC2</w:t>
      </w:r>
    </w:p>
    <w:p>
      <w:pPr>
        <w:pStyle w:val="CodeBlock"/>
      </w:pPr>
      <w:r>
        <w:t xml:space="preserve">    compute/          # Instancia EC2 + Elastic IP + bootstrap de ferramentas</w:t>
      </w:r>
    </w:p>
    <w:p>
      <w:pPr>
        <w:pStyle w:val="CodeBlock"/>
      </w:pPr>
      <w:r>
        <w:t xml:space="preserve">  envs/</w:t>
      </w:r>
    </w:p>
    <w:p>
      <w:pPr>
        <w:pStyle w:val="CodeBlock"/>
      </w:pPr>
      <w:r>
        <w:t xml:space="preserve">    prod/             # Combina os modulos acima com o backend de state remoto</w:t>
      </w:r>
    </w:p>
    <w:p>
      <w:pPr>
        <w:pStyle w:val="Heading2"/>
      </w:pPr>
      <w:r>
        <w:t>6.2 Rede</w:t>
      </w:r>
    </w:p>
    <w:p>
      <w:r>
        <w:t>É provisionada uma VPC dedicada, com uma subnet pública (onde reside a instância EC2) e duas subnets privadas em Availability Zones distintas (requisito da AWS para o grupo de subnets do RDS, mesmo em configuração Single-AZ). Não é utilizado NAT Gateway: o banco de dados não necessita de conectividade de saída para a internet para operar, permanecendo totalmente inacessível externamente sem custo adicional de NAT.</w:t>
      </w:r>
    </w:p>
    <w:p>
      <w:pPr>
        <w:pStyle w:val="Heading2"/>
      </w:pPr>
      <w:r>
        <w:t>6.3 Segurança de Rede (Security Groups)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0F213B"/>
          </w:tcPr>
          <w:p>
            <w:r/>
            <w:r>
              <w:rPr>
                <w:b/>
                <w:color w:val="FFFFFF"/>
                <w:sz w:val="21"/>
              </w:rPr>
              <w:t>Grupo</w:t>
            </w:r>
          </w:p>
        </w:tc>
        <w:tc>
          <w:tcPr>
            <w:tcW w:type="dxa" w:w="1984"/>
            <w:shd w:val="clear" w:color="auto" w:fill="0F213B"/>
          </w:tcPr>
          <w:p>
            <w:r/>
            <w:r>
              <w:rPr>
                <w:b/>
                <w:color w:val="FFFFFF"/>
                <w:sz w:val="21"/>
              </w:rPr>
              <w:t>Porta</w:t>
            </w:r>
          </w:p>
        </w:tc>
        <w:tc>
          <w:tcPr>
            <w:tcW w:type="dxa" w:w="2835"/>
            <w:shd w:val="clear" w:color="auto" w:fill="0F213B"/>
          </w:tcPr>
          <w:p>
            <w:r/>
            <w:r>
              <w:rPr>
                <w:b/>
                <w:color w:val="FFFFFF"/>
                <w:sz w:val="21"/>
              </w:rPr>
              <w:t>Origem permitida</w:t>
            </w:r>
          </w:p>
        </w:tc>
        <w:tc>
          <w:tcPr>
            <w:tcW w:type="dxa" w:w="2551"/>
            <w:shd w:val="clear" w:color="auto" w:fill="0F213B"/>
          </w:tcPr>
          <w:p>
            <w:r/>
            <w:r>
              <w:rPr>
                <w:b/>
                <w:color w:val="FFFFFF"/>
                <w:sz w:val="21"/>
              </w:rPr>
              <w:t>Finalidade</w:t>
            </w:r>
          </w:p>
        </w:tc>
      </w:tr>
      <w:tr>
        <w:tc>
          <w:tcPr>
            <w:tcW w:type="dxa" w:w="1701"/>
          </w:tcPr>
          <w:p>
            <w:r/>
            <w:r>
              <w:rPr>
                <w:sz w:val="20"/>
              </w:rPr>
              <w:t>EC2</w:t>
            </w:r>
          </w:p>
        </w:tc>
        <w:tc>
          <w:tcPr>
            <w:tcW w:type="dxa" w:w="1984"/>
          </w:tcPr>
          <w:p>
            <w:r/>
            <w:r>
              <w:rPr>
                <w:sz w:val="20"/>
              </w:rPr>
              <w:t>22 (SSH)</w:t>
            </w:r>
          </w:p>
        </w:tc>
        <w:tc>
          <w:tcPr>
            <w:tcW w:type="dxa" w:w="2835"/>
          </w:tcPr>
          <w:p>
            <w:r/>
            <w:r>
              <w:rPr>
                <w:sz w:val="20"/>
              </w:rPr>
              <w:t>IP administrativo único</w:t>
            </w:r>
          </w:p>
        </w:tc>
        <w:tc>
          <w:tcPr>
            <w:tcW w:type="dxa" w:w="2551"/>
          </w:tcPr>
          <w:p>
            <w:r/>
            <w:r>
              <w:rPr>
                <w:sz w:val="20"/>
              </w:rPr>
              <w:t>Acesso administrativo</w:t>
            </w:r>
          </w:p>
        </w:tc>
      </w:tr>
      <w:tr>
        <w:tc>
          <w:tcPr>
            <w:tcW w:type="dxa" w:w="1701"/>
            <w:shd w:val="clear" w:color="auto" w:fill="F2F5FA"/>
          </w:tcPr>
          <w:p>
            <w:r/>
            <w:r>
              <w:rPr>
                <w:sz w:val="20"/>
              </w:rPr>
              <w:t>EC2</w:t>
            </w:r>
          </w:p>
        </w:tc>
        <w:tc>
          <w:tcPr>
            <w:tcW w:type="dxa" w:w="1984"/>
            <w:shd w:val="clear" w:color="auto" w:fill="F2F5FA"/>
          </w:tcPr>
          <w:p>
            <w:r/>
            <w:r>
              <w:rPr>
                <w:sz w:val="20"/>
              </w:rPr>
              <w:t>80 (HTTP)</w:t>
            </w:r>
          </w:p>
        </w:tc>
        <w:tc>
          <w:tcPr>
            <w:tcW w:type="dxa" w:w="2835"/>
            <w:shd w:val="clear" w:color="auto" w:fill="F2F5FA"/>
          </w:tcPr>
          <w:p>
            <w:r/>
            <w:r>
              <w:rPr>
                <w:sz w:val="20"/>
              </w:rPr>
              <w:t>0.0.0.0/0</w:t>
            </w:r>
          </w:p>
        </w:tc>
        <w:tc>
          <w:tcPr>
            <w:tcW w:type="dxa" w:w="2551"/>
            <w:shd w:val="clear" w:color="auto" w:fill="F2F5FA"/>
          </w:tcPr>
          <w:p>
            <w:r/>
            <w:r>
              <w:rPr>
                <w:sz w:val="20"/>
              </w:rPr>
              <w:t>Validação do certificado TLS (Let's Encrypt) e redirecionamento</w:t>
            </w:r>
          </w:p>
        </w:tc>
      </w:tr>
      <w:tr>
        <w:tc>
          <w:tcPr>
            <w:tcW w:type="dxa" w:w="1701"/>
          </w:tcPr>
          <w:p>
            <w:r/>
            <w:r>
              <w:rPr>
                <w:sz w:val="20"/>
              </w:rPr>
              <w:t>EC2</w:t>
            </w:r>
          </w:p>
        </w:tc>
        <w:tc>
          <w:tcPr>
            <w:tcW w:type="dxa" w:w="1984"/>
          </w:tcPr>
          <w:p>
            <w:r/>
            <w:r>
              <w:rPr>
                <w:sz w:val="20"/>
              </w:rPr>
              <w:t>443 (HTTPS)</w:t>
            </w:r>
          </w:p>
        </w:tc>
        <w:tc>
          <w:tcPr>
            <w:tcW w:type="dxa" w:w="2835"/>
          </w:tcPr>
          <w:p>
            <w:r/>
            <w:r>
              <w:rPr>
                <w:sz w:val="20"/>
              </w:rPr>
              <w:t>IPs internos/VPN corporativa</w:t>
            </w:r>
          </w:p>
        </w:tc>
        <w:tc>
          <w:tcPr>
            <w:tcW w:type="dxa" w:w="2551"/>
          </w:tcPr>
          <w:p>
            <w:r/>
            <w:r>
              <w:rPr>
                <w:sz w:val="20"/>
              </w:rPr>
              <w:t>Acesso à aplicação (uso interno)</w:t>
            </w:r>
          </w:p>
        </w:tc>
      </w:tr>
      <w:tr>
        <w:tc>
          <w:tcPr>
            <w:tcW w:type="dxa" w:w="1701"/>
            <w:shd w:val="clear" w:color="auto" w:fill="F2F5FA"/>
          </w:tcPr>
          <w:p>
            <w:r/>
            <w:r>
              <w:rPr>
                <w:sz w:val="20"/>
              </w:rPr>
              <w:t>RDS</w:t>
            </w:r>
          </w:p>
        </w:tc>
        <w:tc>
          <w:tcPr>
            <w:tcW w:type="dxa" w:w="1984"/>
            <w:shd w:val="clear" w:color="auto" w:fill="F2F5FA"/>
          </w:tcPr>
          <w:p>
            <w:r/>
            <w:r>
              <w:rPr>
                <w:sz w:val="20"/>
              </w:rPr>
              <w:t>5432 (PostgreSQL)</w:t>
            </w:r>
          </w:p>
        </w:tc>
        <w:tc>
          <w:tcPr>
            <w:tcW w:type="dxa" w:w="2835"/>
            <w:shd w:val="clear" w:color="auto" w:fill="F2F5FA"/>
          </w:tcPr>
          <w:p>
            <w:r/>
            <w:r>
              <w:rPr>
                <w:sz w:val="20"/>
              </w:rPr>
              <w:t>Security Group da EC2, apenas</w:t>
            </w:r>
          </w:p>
        </w:tc>
        <w:tc>
          <w:tcPr>
            <w:tcW w:type="dxa" w:w="2551"/>
            <w:shd w:val="clear" w:color="auto" w:fill="F2F5FA"/>
          </w:tcPr>
          <w:p>
            <w:r/>
            <w:r>
              <w:rPr>
                <w:sz w:val="20"/>
              </w:rPr>
              <w:t>Acesso exclusivo da aplicação ao banco</w:t>
            </w:r>
          </w:p>
        </w:tc>
      </w:tr>
    </w:tbl>
    <w:p/>
    <w:p>
      <w:pPr>
        <w:pStyle w:val="Heading2"/>
      </w:pPr>
      <w:r>
        <w:t>6.4 IAM (Identity and Access Management)</w:t>
      </w:r>
    </w:p>
    <w:p>
      <w:r>
        <w:t>A instância EC2 possui uma IAM Role dedicada (via instance profile), com as seguintes permissões, restritas ao mínimo necessário:</w:t>
      </w:r>
    </w:p>
    <w:p>
      <w:pPr>
        <w:pStyle w:val="ListBullet"/>
      </w:pPr>
      <w:r>
        <w:rPr>
          <w:rFonts w:ascii="Consolas" w:hAnsi="Consolas"/>
          <w:b/>
          <w:sz w:val="20"/>
        </w:rPr>
        <w:t>secretsmanager:GetSecretValue</w:t>
      </w:r>
      <w:r>
        <w:t xml:space="preserve"> — restrito ao ARN específico do segredo do banco, nunca a todos os segredos da conta</w:t>
      </w:r>
    </w:p>
    <w:p>
      <w:pPr>
        <w:pStyle w:val="ListBullet"/>
      </w:pPr>
      <w:r>
        <w:rPr>
          <w:rFonts w:ascii="Consolas" w:hAnsi="Consolas"/>
          <w:b/>
          <w:sz w:val="20"/>
        </w:rPr>
        <w:t>kms:Decrypt</w:t>
      </w:r>
      <w:r>
        <w:t xml:space="preserve"> — restrito por condição ao serviço Secrets Manager, para suportar a chave de criptografia padrão</w:t>
      </w:r>
    </w:p>
    <w:p>
      <w:pPr>
        <w:pStyle w:val="ListBullet"/>
      </w:pPr>
      <w:r>
        <w:rPr>
          <w:rFonts w:ascii="Consolas" w:hAnsi="Consolas"/>
          <w:b/>
          <w:sz w:val="20"/>
        </w:rPr>
        <w:t>s3:GetObject / PutObject / DeleteObject / ListBucket</w:t>
      </w:r>
      <w:r>
        <w:t xml:space="preserve"> — restrito ao bucket de pipelines da aplicação</w:t>
      </w:r>
    </w:p>
    <w:p>
      <w:pPr>
        <w:pStyle w:val="ListBullet"/>
      </w:pPr>
      <w:r>
        <w:rPr>
          <w:rFonts w:ascii="Consolas" w:hAnsi="Consolas"/>
          <w:b/>
          <w:sz w:val="20"/>
        </w:rPr>
        <w:t>AmazonSSMManagedInstanceCore (policy gerenciada pela AWS)</w:t>
      </w:r>
      <w:r>
        <w:t xml:space="preserve"> — permite acesso via AWS Systems Manager Session Manager, como canal de acesso alternativo ao SSH</w:t>
      </w:r>
    </w:p>
    <w:p>
      <w:r>
        <w:t>Em nenhum momento a aplicação utiliza um usuário IAM com chave de acesso estática (AWS_ACCESS_KEY_ID / AWS_SECRET_ACCESS_KEY) — toda autenticação com serviços AWS ocorre via a IAM Role da instância, resolvida automaticamente pelo SDK boto3.</w:t>
      </w:r>
    </w:p>
    <w:p>
      <w:pPr>
        <w:pStyle w:val="Heading2"/>
      </w:pPr>
      <w:r>
        <w:t>6.5 Banco de Dados (RDS)</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0F213B"/>
          </w:tcPr>
          <w:p>
            <w:r/>
            <w:r>
              <w:rPr>
                <w:b/>
                <w:color w:val="FFFFFF"/>
                <w:sz w:val="21"/>
              </w:rPr>
              <w:t>Parâmetro</w:t>
            </w:r>
          </w:p>
        </w:tc>
        <w:tc>
          <w:tcPr>
            <w:tcW w:type="dxa" w:w="5669"/>
            <w:shd w:val="clear" w:color="auto" w:fill="0F213B"/>
          </w:tcPr>
          <w:p>
            <w:r/>
            <w:r>
              <w:rPr>
                <w:b/>
                <w:color w:val="FFFFFF"/>
                <w:sz w:val="21"/>
              </w:rPr>
              <w:t>Valor</w:t>
            </w:r>
          </w:p>
        </w:tc>
      </w:tr>
      <w:tr>
        <w:tc>
          <w:tcPr>
            <w:tcW w:type="dxa" w:w="3402"/>
          </w:tcPr>
          <w:p>
            <w:r/>
            <w:r>
              <w:rPr>
                <w:sz w:val="20"/>
              </w:rPr>
              <w:t>Engine</w:t>
            </w:r>
          </w:p>
        </w:tc>
        <w:tc>
          <w:tcPr>
            <w:tcW w:type="dxa" w:w="5669"/>
          </w:tcPr>
          <w:p>
            <w:r/>
            <w:r>
              <w:rPr>
                <w:sz w:val="20"/>
              </w:rPr>
              <w:t>PostgreSQL</w:t>
            </w:r>
          </w:p>
        </w:tc>
      </w:tr>
      <w:tr>
        <w:tc>
          <w:tcPr>
            <w:tcW w:type="dxa" w:w="3402"/>
            <w:shd w:val="clear" w:color="auto" w:fill="F2F5FA"/>
          </w:tcPr>
          <w:p>
            <w:r/>
            <w:r>
              <w:rPr>
                <w:sz w:val="20"/>
              </w:rPr>
              <w:t>Classe da instância</w:t>
            </w:r>
          </w:p>
        </w:tc>
        <w:tc>
          <w:tcPr>
            <w:tcW w:type="dxa" w:w="5669"/>
            <w:shd w:val="clear" w:color="auto" w:fill="F2F5FA"/>
          </w:tcPr>
          <w:p>
            <w:r/>
            <w:r>
              <w:rPr>
                <w:sz w:val="20"/>
              </w:rPr>
              <w:t>db.t4g.micro</w:t>
            </w:r>
          </w:p>
        </w:tc>
      </w:tr>
      <w:tr>
        <w:tc>
          <w:tcPr>
            <w:tcW w:type="dxa" w:w="3402"/>
          </w:tcPr>
          <w:p>
            <w:r/>
            <w:r>
              <w:rPr>
                <w:sz w:val="20"/>
              </w:rPr>
              <w:t>Disponibilidade</w:t>
            </w:r>
          </w:p>
        </w:tc>
        <w:tc>
          <w:tcPr>
            <w:tcW w:type="dxa" w:w="5669"/>
          </w:tcPr>
          <w:p>
            <w:r/>
            <w:r>
              <w:rPr>
                <w:sz w:val="20"/>
              </w:rPr>
              <w:t>Single-AZ</w:t>
            </w:r>
          </w:p>
        </w:tc>
      </w:tr>
      <w:tr>
        <w:tc>
          <w:tcPr>
            <w:tcW w:type="dxa" w:w="3402"/>
            <w:shd w:val="clear" w:color="auto" w:fill="F2F5FA"/>
          </w:tcPr>
          <w:p>
            <w:r/>
            <w:r>
              <w:rPr>
                <w:sz w:val="20"/>
              </w:rPr>
              <w:t>Armazenamento</w:t>
            </w:r>
          </w:p>
        </w:tc>
        <w:tc>
          <w:tcPr>
            <w:tcW w:type="dxa" w:w="5669"/>
            <w:shd w:val="clear" w:color="auto" w:fill="F2F5FA"/>
          </w:tcPr>
          <w:p>
            <w:r/>
            <w:r>
              <w:rPr>
                <w:sz w:val="20"/>
              </w:rPr>
              <w:t>20 GB, gp3, criptografado</w:t>
            </w:r>
          </w:p>
        </w:tc>
      </w:tr>
      <w:tr>
        <w:tc>
          <w:tcPr>
            <w:tcW w:type="dxa" w:w="3402"/>
          </w:tcPr>
          <w:p>
            <w:r/>
            <w:r>
              <w:rPr>
                <w:sz w:val="20"/>
              </w:rPr>
              <w:t>Gerenciamento de credenciais</w:t>
            </w:r>
          </w:p>
        </w:tc>
        <w:tc>
          <w:tcPr>
            <w:tcW w:type="dxa" w:w="5669"/>
          </w:tcPr>
          <w:p>
            <w:r/>
            <w:r>
              <w:rPr>
                <w:sz w:val="20"/>
              </w:rPr>
              <w:t>AWS Secrets Manager (nativo do RDS)</w:t>
            </w:r>
          </w:p>
        </w:tc>
      </w:tr>
      <w:tr>
        <w:tc>
          <w:tcPr>
            <w:tcW w:type="dxa" w:w="3402"/>
            <w:shd w:val="clear" w:color="auto" w:fill="F2F5FA"/>
          </w:tcPr>
          <w:p>
            <w:r/>
            <w:r>
              <w:rPr>
                <w:sz w:val="20"/>
              </w:rPr>
              <w:t>Acesso público</w:t>
            </w:r>
          </w:p>
        </w:tc>
        <w:tc>
          <w:tcPr>
            <w:tcW w:type="dxa" w:w="5669"/>
            <w:shd w:val="clear" w:color="auto" w:fill="F2F5FA"/>
          </w:tcPr>
          <w:p>
            <w:r/>
            <w:r>
              <w:rPr>
                <w:sz w:val="20"/>
              </w:rPr>
              <w:t>Desabilitado</w:t>
            </w:r>
          </w:p>
        </w:tc>
      </w:tr>
    </w:tbl>
    <w:p/>
    <w:p>
      <w:pPr>
        <w:pStyle w:val="Heading2"/>
      </w:pPr>
      <w:r>
        <w:t>6.6 Instância de Computação (EC2)</w:t>
      </w:r>
    </w:p>
    <w:p>
      <w:r>
        <w:t>A instância executa todo o stack de aplicação via Docker Compose: Nginx (proxy reverso e arquivos estáticos do frontend), Django/Gunicorn (API), Celery Worker e Celery Beat, e Redis. Um Elastic IP garante endereço público fixo, persistente mesmo em caso de reinicialização.</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0F213B"/>
          </w:tcPr>
          <w:p>
            <w:r/>
            <w:r>
              <w:rPr>
                <w:b/>
                <w:color w:val="FFFFFF"/>
                <w:sz w:val="21"/>
              </w:rPr>
              <w:t>Parâmetro</w:t>
            </w:r>
          </w:p>
        </w:tc>
        <w:tc>
          <w:tcPr>
            <w:tcW w:type="dxa" w:w="5669"/>
            <w:shd w:val="clear" w:color="auto" w:fill="0F213B"/>
          </w:tcPr>
          <w:p>
            <w:r/>
            <w:r>
              <w:rPr>
                <w:b/>
                <w:color w:val="FFFFFF"/>
                <w:sz w:val="21"/>
              </w:rPr>
              <w:t>Valor</w:t>
            </w:r>
          </w:p>
        </w:tc>
      </w:tr>
      <w:tr>
        <w:tc>
          <w:tcPr>
            <w:tcW w:type="dxa" w:w="3402"/>
          </w:tcPr>
          <w:p>
            <w:r/>
            <w:r>
              <w:rPr>
                <w:sz w:val="20"/>
              </w:rPr>
              <w:t>Tipo de instância</w:t>
            </w:r>
          </w:p>
        </w:tc>
        <w:tc>
          <w:tcPr>
            <w:tcW w:type="dxa" w:w="5669"/>
          </w:tcPr>
          <w:p>
            <w:r/>
            <w:r>
              <w:rPr>
                <w:sz w:val="20"/>
              </w:rPr>
              <w:t>t3.medium</w:t>
            </w:r>
          </w:p>
        </w:tc>
      </w:tr>
      <w:tr>
        <w:tc>
          <w:tcPr>
            <w:tcW w:type="dxa" w:w="3402"/>
            <w:shd w:val="clear" w:color="auto" w:fill="F2F5FA"/>
          </w:tcPr>
          <w:p>
            <w:r/>
            <w:r>
              <w:rPr>
                <w:sz w:val="20"/>
              </w:rPr>
              <w:t>Sistema operacional</w:t>
            </w:r>
          </w:p>
        </w:tc>
        <w:tc>
          <w:tcPr>
            <w:tcW w:type="dxa" w:w="5669"/>
            <w:shd w:val="clear" w:color="auto" w:fill="F2F5FA"/>
          </w:tcPr>
          <w:p>
            <w:r/>
            <w:r>
              <w:rPr>
                <w:sz w:val="20"/>
              </w:rPr>
              <w:t>Ubuntu 22.04 LTS</w:t>
            </w:r>
          </w:p>
        </w:tc>
      </w:tr>
      <w:tr>
        <w:tc>
          <w:tcPr>
            <w:tcW w:type="dxa" w:w="3402"/>
          </w:tcPr>
          <w:p>
            <w:r/>
            <w:r>
              <w:rPr>
                <w:sz w:val="20"/>
              </w:rPr>
              <w:t>IP público</w:t>
            </w:r>
          </w:p>
        </w:tc>
        <w:tc>
          <w:tcPr>
            <w:tcW w:type="dxa" w:w="5669"/>
          </w:tcPr>
          <w:p>
            <w:r/>
            <w:r>
              <w:rPr>
                <w:sz w:val="20"/>
              </w:rPr>
              <w:t>Elastic IP (fixo)</w:t>
            </w:r>
          </w:p>
        </w:tc>
      </w:tr>
      <w:tr>
        <w:tc>
          <w:tcPr>
            <w:tcW w:type="dxa" w:w="3402"/>
            <w:shd w:val="clear" w:color="auto" w:fill="F2F5FA"/>
          </w:tcPr>
          <w:p>
            <w:r/>
            <w:r>
              <w:rPr>
                <w:sz w:val="20"/>
              </w:rPr>
              <w:t>Ferramentas pré-instaladas (boot)</w:t>
            </w:r>
          </w:p>
        </w:tc>
        <w:tc>
          <w:tcPr>
            <w:tcW w:type="dxa" w:w="5669"/>
            <w:shd w:val="clear" w:color="auto" w:fill="F2F5FA"/>
          </w:tcPr>
          <w:p>
            <w:r/>
            <w:r>
              <w:rPr>
                <w:sz w:val="20"/>
              </w:rPr>
              <w:t>Docker Engine, Docker Compose plugin, Certbot, Git</w:t>
            </w:r>
          </w:p>
        </w:tc>
      </w:tr>
    </w:tbl>
    <w:p/>
    <w:p>
      <w:pPr>
        <w:ind w:left="227"/>
      </w:pPr>
      <w:r>
        <w:rPr>
          <w:b/>
          <w:color w:val="1F6FEB"/>
        </w:rPr>
        <w:t xml:space="preserve">Nota: </w:t>
      </w:r>
      <w:r>
        <w:rPr>
          <w:i/>
        </w:rPr>
        <w:t>o dimensionamento inicial (t3.small) demonstrou-se insuficiente sob carga combinada de aplicação e processamento assíncrono — ver seção 9 (Incidente Operacional).</w:t>
      </w:r>
    </w:p>
    <w:p>
      <w:pPr>
        <w:pStyle w:val="Heading2"/>
      </w:pPr>
      <w:r>
        <w:t>6.7 Bootstrap e State Remoto</w:t>
      </w:r>
    </w:p>
    <w:p>
      <w:r>
        <w:t>O estado do Terraform (terraform.tfstate) é armazenado remotamente em um bucket S3, com lock distribuído via tabela DynamoDB — isso permite que múltiplos integrantes da equipe apliquem alterações de infraestrutura sem conflito de estado local. Esse backend remoto é provisionado uma única vez, por um módulo bootstrap independente, aplicado com estado local antes de qualquer outro módulo.</w:t>
      </w:r>
    </w:p>
    <w:p>
      <w:pPr>
        <w:pStyle w:val="Heading1"/>
      </w:pPr>
      <w:r>
        <w:t>7. Segurança</w:t>
      </w:r>
    </w:p>
    <w:p>
      <w:pPr>
        <w:pStyle w:val="Heading2"/>
      </w:pPr>
      <w:r>
        <w:t>7.1 Modelo de Acesso: Aplicação de Uso Interno</w:t>
      </w:r>
    </w:p>
    <w:p>
      <w:r>
        <w:t>A aplicação não é desenhada para acesso público irrestrito. O acesso via HTTPS (porta 443) é restrito por Security Group a uma lista definida de faixas de IP correspondentes à rede corporativa e/ou VPN da organização. A porta HTTP (80) permanece aberta apenas para viabilizar a validação automática do certificado TLS pela Let's Encrypt — não expõe conteúdo da aplicação.</w:t>
      </w:r>
    </w:p>
    <w:p>
      <w:pPr>
        <w:ind w:left="227"/>
      </w:pPr>
      <w:r>
        <w:rPr>
          <w:b/>
          <w:color w:val="1F6FEB"/>
        </w:rPr>
        <w:t xml:space="preserve">Atenção operacional: </w:t>
      </w:r>
      <w:r>
        <w:rPr>
          <w:i/>
        </w:rPr>
        <w:t>essa restrição só é eficaz se o tráfego das pessoas remotas realmente sair pelo IP fixo cadastrado — o que exige uma VPN corporativa em modo full-tunnel. Em VPNs split-tunnel, o tráfego para a aplicação pode sair pelo IP residencial de cada usuário, ficando bloqueado.</w:t>
      </w:r>
    </w:p>
    <w:p>
      <w:pPr>
        <w:pStyle w:val="Heading2"/>
      </w:pPr>
      <w:r>
        <w:t>7.2 TLS/HTTPS</w:t>
      </w:r>
    </w:p>
    <w:p>
      <w:r>
        <w:t>A emissão do certificado TLS é feita via Certbot (Let's Encrypt), executado diretamente na instância EC2, após o apontamento de um domínio para o IP público da aplicação — etapa manual, pendente de definição do domínio definitivo. Essa abordagem evita o custo fixo de um Application Load Balancer, adequado ao estágio atual de validação da plataforma.</w:t>
      </w:r>
    </w:p>
    <w:p>
      <w:pPr>
        <w:pStyle w:val="Heading2"/>
      </w:pPr>
      <w:r>
        <w:t>7.3 Acesso Administrativo</w:t>
      </w:r>
    </w:p>
    <w:p>
      <w:r>
        <w:t>O acesso administrativo (SSH) à instância é restrito a um único endereço IP, configurado explicitamente. Como canal alternativo de acesso — relevante em cenários de indisponibilidade do serviço SSH — a instância também está habilitada para acesso via AWS Systems Manager Session Manager, que não depende da porta 22 nem do Security Group de SSH.</w:t>
      </w:r>
    </w:p>
    <w:p>
      <w:pPr>
        <w:pStyle w:val="Heading1"/>
      </w:pPr>
      <w:r>
        <w:t>8. Deploy e Operação</w:t>
      </w:r>
    </w:p>
    <w:p>
      <w:r>
        <w:t>O provisionamento de infraestrutura (Terraform) e o deploy da aplicação (código) são processos independentes e desacoplados.</w:t>
      </w:r>
    </w:p>
    <w:p>
      <w:pPr>
        <w:pStyle w:val="Heading2"/>
      </w:pPr>
      <w:r>
        <w:t>8.1 Provisionamento de Infraestrutura</w:t>
      </w:r>
    </w:p>
    <w:p>
      <w:pPr>
        <w:pStyle w:val="CodeBlock"/>
      </w:pPr>
      <w:r>
        <w:t># Uma unica vez, por qualquer integrante da equipe</w:t>
      </w:r>
    </w:p>
    <w:p>
      <w:pPr>
        <w:pStyle w:val="CodeBlock"/>
      </w:pPr>
      <w:r>
        <w:t>cd infra/bootstrap &amp;&amp; terraform init &amp;&amp; terraform apply</w:t>
      </w:r>
    </w:p>
    <w:p>
      <w:pPr>
        <w:pStyle w:val="CodeBlock"/>
      </w:pPr>
      <w:r>
        <w:t xml:space="preserve"> </w:t>
      </w:r>
    </w:p>
    <w:p>
      <w:pPr>
        <w:pStyle w:val="CodeBlock"/>
      </w:pPr>
      <w:r>
        <w:t># Ambiente de producao</w:t>
      </w:r>
    </w:p>
    <w:p>
      <w:pPr>
        <w:pStyle w:val="CodeBlock"/>
      </w:pPr>
      <w:r>
        <w:t>cd infra/envs/prod</w:t>
      </w:r>
    </w:p>
    <w:p>
      <w:pPr>
        <w:pStyle w:val="CodeBlock"/>
      </w:pPr>
      <w:r>
        <w:t>cp terraform.tfvars.example terraform.tfvars   # preencher com valores reais</w:t>
      </w:r>
    </w:p>
    <w:p>
      <w:pPr>
        <w:pStyle w:val="CodeBlock"/>
      </w:pPr>
      <w:r>
        <w:t>terraform init</w:t>
      </w:r>
    </w:p>
    <w:p>
      <w:pPr>
        <w:pStyle w:val="CodeBlock"/>
      </w:pPr>
      <w:r>
        <w:t>terraform plan     # revisar antes de aplicar</w:t>
      </w:r>
    </w:p>
    <w:p>
      <w:pPr>
        <w:pStyle w:val="CodeBlock"/>
      </w:pPr>
      <w:r>
        <w:t>terraform apply</w:t>
      </w:r>
    </w:p>
    <w:p>
      <w:pPr>
        <w:pStyle w:val="Heading2"/>
      </w:pPr>
      <w:r>
        <w:t>8.2 Deploy da Aplicação (Manual)</w:t>
      </w:r>
    </w:p>
    <w:p>
      <w:r>
        <w:t>O deploy do código da aplicação permanece manual, por decisão de escopo — o Terraform provisiona apenas a infraestrutura vazia, sem automatizar a publicação de novas versões:</w:t>
      </w:r>
    </w:p>
    <w:p>
      <w:pPr>
        <w:pStyle w:val="CodeBlock"/>
      </w:pPr>
      <w:r>
        <w:t>ssh -i &lt;chave&gt; ubuntu@&lt;ip-publico-da-ec2&gt;</w:t>
      </w:r>
    </w:p>
    <w:p>
      <w:pPr>
        <w:pStyle w:val="CodeBlock"/>
      </w:pPr>
      <w:r>
        <w:t>git clone &lt;repositorio&gt; &amp;&amp; cd Analytic-Eyes/etl-manager</w:t>
      </w:r>
    </w:p>
    <w:p>
      <w:pPr>
        <w:pStyle w:val="CodeBlock"/>
      </w:pPr>
      <w:r>
        <w:t># preencher .env com os outputs do Terraform (DB_SECRET_ARN, DB_NAME, DB_HOST, DB_PORT,</w:t>
      </w:r>
    </w:p>
    <w:p>
      <w:pPr>
        <w:pStyle w:val="CodeBlock"/>
      </w:pPr>
      <w:r>
        <w:t># AWS_STORAGE_BUCKET_NAME)</w:t>
      </w:r>
    </w:p>
    <w:p>
      <w:pPr>
        <w:pStyle w:val="CodeBlock"/>
      </w:pPr>
      <w:r>
        <w:t>docker compose -f docker-compose.prod.yml up -d --build</w:t>
      </w:r>
    </w:p>
    <w:p>
      <w:r>
        <w:t>Atualizações subsequentes de código repetem apenas o ciclo git pull + docker compose up -d --build diretamente na instância, sem envolver o Terraform (que só é acionado para mudanças de infraestrutura).</w:t>
      </w:r>
    </w:p>
    <w:p>
      <w:pPr>
        <w:pStyle w:val="Heading2"/>
      </w:pPr>
      <w:r>
        <w:t>8.3 Acesso a Repositório Privado</w:t>
      </w:r>
    </w:p>
    <w:p>
      <w:r>
        <w:t>Como o repositório de código é privado, a instância utiliza uma Deploy Key SSH dedicada (gerada exclusivamente para esse fim, com acesso apenas de leitura ao repositório), evitando o uso de credenciais pessoais de desenvolvedores na infraestrutura de produção.</w:t>
      </w:r>
    </w:p>
    <w:p>
      <w:pPr>
        <w:pStyle w:val="Heading2"/>
      </w:pPr>
      <w:r>
        <w:t>8.4 Acesso de Emergência (SSM)</w:t>
      </w:r>
    </w:p>
    <w:p>
      <w:r>
        <w:t>Em situações onde o acesso SSH não responde (ver seção 9), a instância pode ser acessada via AWS Systems Manager Session Manager, pelo console AWS (EC2 → instância → Connect → Session Manager) ou via linha de comando:</w:t>
      </w:r>
    </w:p>
    <w:p>
      <w:pPr>
        <w:pStyle w:val="CodeBlock"/>
      </w:pPr>
      <w:r>
        <w:t>aws ssm start-session --target &lt;instance-id&gt;</w:t>
      </w:r>
    </w:p>
    <w:p>
      <w:pPr>
        <w:pStyle w:val="Heading1"/>
      </w:pPr>
      <w:r>
        <w:t>9. Incidente Operacional Registrado</w:t>
      </w:r>
    </w:p>
    <w:p>
      <w:r>
        <w:t>Durante a implantação inicial, foi registrado e resolvido um incidente de dimensionamento de recursos, documentado aqui por transparência técnica e como referência para operação futura.</w:t>
      </w:r>
    </w:p>
    <w:p>
      <w:pPr>
        <w:pStyle w:val="Heading2"/>
      </w:pPr>
      <w:r>
        <w:t>9.1 Sintoma</w:t>
      </w:r>
    </w:p>
    <w:p>
      <w:r>
        <w:t>Após o deploy inicial da aplicação completa (backend, worker, beat, redis, nginx) em uma instância t3.small, o acesso administrativo (SSH) parou de responder, embora a aplicação web (porta 80) continuasse acessível.</w:t>
      </w:r>
    </w:p>
    <w:p>
      <w:pPr>
        <w:pStyle w:val="Heading2"/>
      </w:pPr>
      <w:r>
        <w:t>9.2 Causa Raiz</w:t>
      </w:r>
    </w:p>
    <w:p>
      <w:r>
        <w:t>O processo Celery Worker estava configurado com concorrência de 30 processos simultâneos (CELERY_WORKER_CONCURRENCY=30), valor herdado de uma configuração anterior sem revisão para o tamanho de instância utilizado no ambiente de validação. Essa concorrência saturou a memória disponível na instância (2 GB de RAM em uma t3.small), impedindo inclusive a abertura de novas conexões SSH — que dependem de recursos para inicializar um novo processo.</w:t>
      </w:r>
    </w:p>
    <w:p>
      <w:pPr>
        <w:pStyle w:val="Heading2"/>
      </w:pPr>
      <w:r>
        <w:t>9.3 Resolução</w:t>
      </w:r>
    </w:p>
    <w:p>
      <w:pPr>
        <w:pStyle w:val="ListBullet"/>
      </w:pPr>
      <w:r>
        <w:t>A instância foi parada e redimensionada temporariamente para t3.medium (mais memória), restabelecendo o acesso.</w:t>
      </w:r>
    </w:p>
    <w:p>
      <w:pPr>
        <w:pStyle w:val="ListBullet"/>
      </w:pPr>
      <w:r>
        <w:t>O valor de CELERY_WORKER_CONCURRENCY foi reduzido de 30 para 4, compatível com o hardware disponível.</w:t>
      </w:r>
    </w:p>
    <w:p>
      <w:pPr>
        <w:pStyle w:val="ListBullet"/>
      </w:pPr>
      <w:r>
        <w:t>A policy AmazonSSMManagedInstanceCore foi anexada à IAM Role da instância, formalizada no código Terraform, para disponibilizar um canal de acesso que não depende do SSH em cenários semelhantes no futuro.</w:t>
      </w:r>
    </w:p>
    <w:p>
      <w:pPr>
        <w:pStyle w:val="Heading2"/>
      </w:pPr>
      <w:r>
        <w:t>9.4 Ações Preventivas Aplicadas ao Repositório</w:t>
      </w:r>
    </w:p>
    <w:p>
      <w:pPr>
        <w:pStyle w:val="ListBullet"/>
      </w:pPr>
      <w:r>
        <w:t>O valor padrão de CELERY_WORKER_CONCURRENCY nos arquivos de exemplo (.env.example, docker-compose.prod.yml) foi reduzido de 30 para 4.</w:t>
      </w:r>
    </w:p>
    <w:p>
      <w:pPr>
        <w:pStyle w:val="ListBullet"/>
      </w:pPr>
      <w:r>
        <w:t>O tipo de instância padrão no Terraform (ec2_instance_type) foi atualizado para t3.medium, refletindo o dimensionamento real necessário.</w:t>
      </w:r>
    </w:p>
    <w:p>
      <w:pPr>
        <w:pStyle w:val="ListBullet"/>
      </w:pPr>
      <w:r>
        <w:t>A documentação de infraestrutura (README) passou a registrar esse incidente e a orientação de dimensionamento.</w:t>
      </w:r>
    </w:p>
    <w:p>
      <w:pPr>
        <w:pStyle w:val="Heading1"/>
      </w:pPr>
      <w:r>
        <w:t>10. Estimativa de Custos</w:t>
      </w:r>
    </w:p>
    <w:p>
      <w:r>
        <w:t>Estimativas para a região us-east-1, referentes a uso contínuo (24/7). Valores sujeitos a variação — recomenda-se confirmar na calculadora oficial da AWS antes de decisões orçamentárias.</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0F213B"/>
          </w:tcPr>
          <w:p>
            <w:r/>
            <w:r>
              <w:rPr>
                <w:b/>
                <w:color w:val="FFFFFF"/>
                <w:sz w:val="21"/>
              </w:rPr>
              <w:t>Recurso</w:t>
            </w:r>
          </w:p>
        </w:tc>
        <w:tc>
          <w:tcPr>
            <w:tcW w:type="dxa" w:w="2835"/>
            <w:shd w:val="clear" w:color="auto" w:fill="0F213B"/>
          </w:tcPr>
          <w:p>
            <w:r/>
            <w:r>
              <w:rPr>
                <w:b/>
                <w:color w:val="FFFFFF"/>
                <w:sz w:val="21"/>
              </w:rPr>
              <w:t>Custo aproximado (US$/mês)</w:t>
            </w:r>
          </w:p>
        </w:tc>
        <w:tc>
          <w:tcPr>
            <w:tcW w:type="dxa" w:w="2835"/>
            <w:shd w:val="clear" w:color="auto" w:fill="0F213B"/>
          </w:tcPr>
          <w:p>
            <w:r/>
            <w:r>
              <w:rPr>
                <w:b/>
                <w:color w:val="FFFFFF"/>
                <w:sz w:val="21"/>
              </w:rPr>
              <w:t>Observação</w:t>
            </w:r>
          </w:p>
        </w:tc>
      </w:tr>
      <w:tr>
        <w:tc>
          <w:tcPr>
            <w:tcW w:type="dxa" w:w="3402"/>
          </w:tcPr>
          <w:p>
            <w:r/>
            <w:r>
              <w:rPr>
                <w:sz w:val="20"/>
              </w:rPr>
              <w:t>EC2 t3.medium</w:t>
            </w:r>
          </w:p>
        </w:tc>
        <w:tc>
          <w:tcPr>
            <w:tcW w:type="dxa" w:w="2835"/>
          </w:tcPr>
          <w:p>
            <w:r/>
            <w:r>
              <w:rPr>
                <w:sz w:val="20"/>
              </w:rPr>
              <w:t>~30,00</w:t>
            </w:r>
          </w:p>
        </w:tc>
        <w:tc>
          <w:tcPr>
            <w:tcW w:type="dxa" w:w="2835"/>
          </w:tcPr>
          <w:p>
            <w:r/>
            <w:r>
              <w:rPr>
                <w:sz w:val="20"/>
              </w:rPr>
              <w:t>On-demand, execução contínua</w:t>
            </w:r>
          </w:p>
        </w:tc>
      </w:tr>
      <w:tr>
        <w:tc>
          <w:tcPr>
            <w:tcW w:type="dxa" w:w="3402"/>
            <w:shd w:val="clear" w:color="auto" w:fill="F2F5FA"/>
          </w:tcPr>
          <w:p>
            <w:r/>
            <w:r>
              <w:rPr>
                <w:sz w:val="20"/>
              </w:rPr>
              <w:t>RDS db.t4g.micro (Single-AZ)</w:t>
            </w:r>
          </w:p>
        </w:tc>
        <w:tc>
          <w:tcPr>
            <w:tcW w:type="dxa" w:w="2835"/>
            <w:shd w:val="clear" w:color="auto" w:fill="F2F5FA"/>
          </w:tcPr>
          <w:p>
            <w:r/>
            <w:r>
              <w:rPr>
                <w:sz w:val="20"/>
              </w:rPr>
              <w:t>0,00 – 12,00</w:t>
            </w:r>
          </w:p>
        </w:tc>
        <w:tc>
          <w:tcPr>
            <w:tcW w:type="dxa" w:w="2835"/>
            <w:shd w:val="clear" w:color="auto" w:fill="F2F5FA"/>
          </w:tcPr>
          <w:p>
            <w:r/>
            <w:r>
              <w:rPr>
                <w:sz w:val="20"/>
              </w:rPr>
              <w:t>Elegível a Free Tier em contas novas</w:t>
            </w:r>
          </w:p>
        </w:tc>
      </w:tr>
      <w:tr>
        <w:tc>
          <w:tcPr>
            <w:tcW w:type="dxa" w:w="3402"/>
          </w:tcPr>
          <w:p>
            <w:r/>
            <w:r>
              <w:rPr>
                <w:sz w:val="20"/>
              </w:rPr>
              <w:t>S3 (bucket de pipelines)</w:t>
            </w:r>
          </w:p>
        </w:tc>
        <w:tc>
          <w:tcPr>
            <w:tcW w:type="dxa" w:w="2835"/>
          </w:tcPr>
          <w:p>
            <w:r/>
            <w:r>
              <w:rPr>
                <w:sz w:val="20"/>
              </w:rPr>
              <w:t>&lt; 1,00</w:t>
            </w:r>
          </w:p>
        </w:tc>
        <w:tc>
          <w:tcPr>
            <w:tcW w:type="dxa" w:w="2835"/>
          </w:tcPr>
          <w:p>
            <w:r/>
            <w:r>
              <w:rPr>
                <w:sz w:val="20"/>
              </w:rPr>
              <w:t>Cobrança por armazenamento efetivamente usado</w:t>
            </w:r>
          </w:p>
        </w:tc>
      </w:tr>
      <w:tr>
        <w:tc>
          <w:tcPr>
            <w:tcW w:type="dxa" w:w="3402"/>
            <w:shd w:val="clear" w:color="auto" w:fill="F2F5FA"/>
          </w:tcPr>
          <w:p>
            <w:r/>
            <w:r>
              <w:rPr>
                <w:sz w:val="20"/>
              </w:rPr>
              <w:t>AWS Secrets Manager</w:t>
            </w:r>
          </w:p>
        </w:tc>
        <w:tc>
          <w:tcPr>
            <w:tcW w:type="dxa" w:w="2835"/>
            <w:shd w:val="clear" w:color="auto" w:fill="F2F5FA"/>
          </w:tcPr>
          <w:p>
            <w:r/>
            <w:r>
              <w:rPr>
                <w:sz w:val="20"/>
              </w:rPr>
              <w:t>0,40</w:t>
            </w:r>
          </w:p>
        </w:tc>
        <w:tc>
          <w:tcPr>
            <w:tcW w:type="dxa" w:w="2835"/>
            <w:shd w:val="clear" w:color="auto" w:fill="F2F5FA"/>
          </w:tcPr>
          <w:p>
            <w:r/>
            <w:r>
              <w:rPr>
                <w:sz w:val="20"/>
              </w:rPr>
              <w:t>Um segredo (credenciais do banco)</w:t>
            </w:r>
          </w:p>
        </w:tc>
      </w:tr>
      <w:tr>
        <w:tc>
          <w:tcPr>
            <w:tcW w:type="dxa" w:w="3402"/>
          </w:tcPr>
          <w:p>
            <w:r/>
            <w:r>
              <w:rPr>
                <w:sz w:val="20"/>
              </w:rPr>
              <w:t>S3 + DynamoDB (Terraform state)</w:t>
            </w:r>
          </w:p>
        </w:tc>
        <w:tc>
          <w:tcPr>
            <w:tcW w:type="dxa" w:w="2835"/>
          </w:tcPr>
          <w:p>
            <w:r/>
            <w:r>
              <w:rPr>
                <w:sz w:val="20"/>
              </w:rPr>
              <w:t>&lt; 0,50</w:t>
            </w:r>
          </w:p>
        </w:tc>
        <w:tc>
          <w:tcPr>
            <w:tcW w:type="dxa" w:w="2835"/>
          </w:tcPr>
          <w:p>
            <w:r/>
            <w:r>
              <w:rPr>
                <w:sz w:val="20"/>
              </w:rPr>
              <w:t>Uso mínimo</w:t>
            </w:r>
          </w:p>
        </w:tc>
      </w:tr>
      <w:tr>
        <w:tc>
          <w:tcPr>
            <w:tcW w:type="dxa" w:w="3402"/>
            <w:shd w:val="clear" w:color="auto" w:fill="F2F5FA"/>
          </w:tcPr>
          <w:p>
            <w:r/>
            <w:r>
              <w:rPr>
                <w:sz w:val="20"/>
              </w:rPr>
              <w:t>Elastic IP</w:t>
            </w:r>
          </w:p>
        </w:tc>
        <w:tc>
          <w:tcPr>
            <w:tcW w:type="dxa" w:w="2835"/>
            <w:shd w:val="clear" w:color="auto" w:fill="F2F5FA"/>
          </w:tcPr>
          <w:p>
            <w:r/>
            <w:r>
              <w:rPr>
                <w:sz w:val="20"/>
              </w:rPr>
              <w:t>0,00</w:t>
            </w:r>
          </w:p>
        </w:tc>
        <w:tc>
          <w:tcPr>
            <w:tcW w:type="dxa" w:w="2835"/>
            <w:shd w:val="clear" w:color="auto" w:fill="F2F5FA"/>
          </w:tcPr>
          <w:p>
            <w:r/>
            <w:r>
              <w:rPr>
                <w:sz w:val="20"/>
              </w:rPr>
              <w:t>Gratuito enquanto associado a instância ativa</w:t>
            </w:r>
          </w:p>
        </w:tc>
      </w:tr>
      <w:tr>
        <w:tc>
          <w:tcPr>
            <w:tcW w:type="dxa" w:w="3402"/>
          </w:tcPr>
          <w:p>
            <w:r/>
            <w:r>
              <w:rPr>
                <w:sz w:val="20"/>
              </w:rPr>
              <w:t>NAT Gateway</w:t>
            </w:r>
          </w:p>
        </w:tc>
        <w:tc>
          <w:tcPr>
            <w:tcW w:type="dxa" w:w="2835"/>
          </w:tcPr>
          <w:p>
            <w:r/>
            <w:r>
              <w:rPr>
                <w:sz w:val="20"/>
              </w:rPr>
              <w:t>0,00 (não utilizado)</w:t>
            </w:r>
          </w:p>
        </w:tc>
        <w:tc>
          <w:tcPr>
            <w:tcW w:type="dxa" w:w="2835"/>
          </w:tcPr>
          <w:p>
            <w:r/>
            <w:r>
              <w:rPr>
                <w:sz w:val="20"/>
              </w:rPr>
              <w:t>Removido do desenho de arquitetura</w:t>
            </w:r>
          </w:p>
        </w:tc>
      </w:tr>
      <w:tr>
        <w:tc>
          <w:tcPr>
            <w:tcW w:type="dxa" w:w="3402"/>
            <w:shd w:val="clear" w:color="auto" w:fill="F2F5FA"/>
          </w:tcPr>
          <w:p>
            <w:r/>
            <w:r>
              <w:rPr>
                <w:sz w:val="20"/>
              </w:rPr>
              <w:t>Application Load Balancer</w:t>
            </w:r>
          </w:p>
        </w:tc>
        <w:tc>
          <w:tcPr>
            <w:tcW w:type="dxa" w:w="2835"/>
            <w:shd w:val="clear" w:color="auto" w:fill="F2F5FA"/>
          </w:tcPr>
          <w:p>
            <w:r/>
            <w:r>
              <w:rPr>
                <w:sz w:val="20"/>
              </w:rPr>
              <w:t>0,00 (não utilizado)</w:t>
            </w:r>
          </w:p>
        </w:tc>
        <w:tc>
          <w:tcPr>
            <w:tcW w:type="dxa" w:w="2835"/>
            <w:shd w:val="clear" w:color="auto" w:fill="F2F5FA"/>
          </w:tcPr>
          <w:p>
            <w:r/>
            <w:r>
              <w:rPr>
                <w:sz w:val="20"/>
              </w:rPr>
              <w:t>TLS resolvido via Certbot na própria instância</w:t>
            </w:r>
          </w:p>
        </w:tc>
      </w:tr>
    </w:tbl>
    <w:p/>
    <w:p>
      <w:r>
        <w:t>Total estimado: aproximadamente US$ 31 a 43 por mês, em regime de uso contínuo.</w:t>
      </w:r>
    </w:p>
    <w:p>
      <w:pPr>
        <w:pStyle w:val="Heading2"/>
      </w:pPr>
      <w:r>
        <w:t>10.1 Taxas e Considerações Financeiras</w:t>
      </w:r>
    </w:p>
    <w:p>
      <w:pPr>
        <w:pStyle w:val="ListBullet"/>
      </w:pPr>
      <w:r>
        <w:t>Faturamento em dólar americano (US$); a conversão para R$ deve considerar a cotação vigente no fechamento do período de faturamento.</w:t>
      </w:r>
    </w:p>
    <w:p>
      <w:pPr>
        <w:pStyle w:val="ListBullet"/>
      </w:pPr>
      <w:r>
        <w:t>EC2 e RDS são cobrados por hora de uso — interromper a infraestrutura fora de janelas de uso interrompe imediatamente essa parcela do custo.</w:t>
      </w:r>
    </w:p>
    <w:p>
      <w:pPr>
        <w:pStyle w:val="ListBullet"/>
      </w:pPr>
      <w:r>
        <w:t>S3, Secrets Manager e DynamoDB são cobrados por uso real (armazenamento/requisições), com custo residual de poucos centavos mesmo com o ambiente principal desligado.</w:t>
      </w:r>
    </w:p>
    <w:p>
      <w:pPr>
        <w:pStyle w:val="ListBullet"/>
      </w:pPr>
      <w:r>
        <w:t>Contas elegíveis ao AWS Free Tier podem ter os primeiros 12 meses do RDS db.t4g.micro (até 750h/mês) sem custo adicional.</w:t>
      </w:r>
    </w:p>
    <w:p>
      <w:pPr>
        <w:pStyle w:val="ListBullet"/>
      </w:pPr>
      <w:r>
        <w:t>Para ambientes de teste/validação, a estratégia mais econômica é aplicar a infraestrutura (terraform apply) somente durante o uso e destruí-la (terraform destroy) entre sessões.</w:t>
      </w:r>
    </w:p>
    <w:p>
      <w:pPr>
        <w:pStyle w:val="Heading1"/>
      </w:pPr>
      <w:r>
        <w:t>11. Roadmap e Recomendações Futuras</w:t>
      </w:r>
    </w:p>
    <w:p>
      <w:pPr>
        <w:pStyle w:val="Heading2"/>
      </w:pPr>
      <w:r>
        <w:t>11.1 Curto Prazo</w:t>
      </w:r>
    </w:p>
    <w:p>
      <w:pPr>
        <w:pStyle w:val="ListBullet"/>
      </w:pPr>
      <w:r>
        <w:t>Definir domínio próprio e emitir certificado TLS definitivo</w:t>
      </w:r>
    </w:p>
    <w:p>
      <w:pPr>
        <w:pStyle w:val="ListBullet"/>
      </w:pPr>
      <w:r>
        <w:t>Configurar os IPs reais de acesso interno (escritório/VPN) em substituição aos valores de exemplo</w:t>
      </w:r>
    </w:p>
    <w:p>
      <w:pPr>
        <w:pStyle w:val="ListBullet"/>
      </w:pPr>
      <w:r>
        <w:t>Avaliar retorno a uma instância menor após período de estabilização e monitoramento de uso</w:t>
      </w:r>
    </w:p>
    <w:p>
      <w:pPr>
        <w:pStyle w:val="Heading2"/>
      </w:pPr>
      <w:r>
        <w:t>11.2 Médio Prazo</w:t>
      </w:r>
    </w:p>
    <w:p>
      <w:pPr>
        <w:pStyle w:val="ListBullet"/>
      </w:pPr>
      <w:r>
        <w:t>Automatizar o deploy da aplicação via pipeline de CI/CD (hoje manual)</w:t>
      </w:r>
    </w:p>
    <w:p>
      <w:pPr>
        <w:pStyle w:val="ListBullet"/>
      </w:pPr>
      <w:r>
        <w:t>Avaliar configuração Multi-AZ do banco de dados para maior disponibilidade</w:t>
      </w:r>
    </w:p>
    <w:p>
      <w:pPr>
        <w:pStyle w:val="ListBullet"/>
      </w:pPr>
      <w:r>
        <w:t>Implementar monitoramento e alertas de uso, custo e saúde da aplicação</w:t>
      </w:r>
    </w:p>
    <w:p>
      <w:pPr>
        <w:pStyle w:val="Heading2"/>
      </w:pPr>
      <w:r>
        <w:t>11.3 Longo Prazo</w:t>
      </w:r>
    </w:p>
    <w:p>
      <w:pPr>
        <w:pStyle w:val="ListBullet"/>
      </w:pPr>
      <w:r>
        <w:t>Planejar eventual migração de dados históricos, se aplicável</w:t>
      </w:r>
    </w:p>
    <w:p>
      <w:pPr>
        <w:pStyle w:val="ListBullet"/>
      </w:pPr>
      <w:r>
        <w:t>Revisar a arquitetura de segurança para um cenário de exposição a usuários externos, caso a aplicação deixe de ser exclusivamente interna</w:t>
      </w:r>
    </w:p>
    <w:p>
      <w:pPr>
        <w:pStyle w:val="Heading1"/>
      </w:pPr>
      <w:r>
        <w:t>12. Glossário de Termos Técnicos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0F213B"/>
          </w:tcPr>
          <w:p>
            <w:r/>
            <w:r>
              <w:rPr>
                <w:b/>
                <w:color w:val="FFFFFF"/>
                <w:sz w:val="21"/>
              </w:rPr>
              <w:t>Termo</w:t>
            </w:r>
          </w:p>
        </w:tc>
        <w:tc>
          <w:tcPr>
            <w:tcW w:type="dxa" w:w="6803"/>
            <w:shd w:val="clear" w:color="auto" w:fill="0F213B"/>
          </w:tcPr>
          <w:p>
            <w:r/>
            <w:r>
              <w:rPr>
                <w:b/>
                <w:color w:val="FFFFFF"/>
                <w:sz w:val="21"/>
              </w:rPr>
              <w:t>Definição</w:t>
            </w:r>
          </w:p>
        </w:tc>
      </w:tr>
      <w:tr>
        <w:tc>
          <w:tcPr>
            <w:tcW w:type="dxa" w:w="2268"/>
          </w:tcPr>
          <w:p>
            <w:r/>
            <w:r>
              <w:rPr>
                <w:sz w:val="20"/>
              </w:rPr>
              <w:t>ETL</w:t>
            </w:r>
          </w:p>
        </w:tc>
        <w:tc>
          <w:tcPr>
            <w:tcW w:type="dxa" w:w="6803"/>
          </w:tcPr>
          <w:p>
            <w:r/>
            <w:r>
              <w:rPr>
                <w:sz w:val="20"/>
              </w:rPr>
              <w:t>Extract, Transform, Load — processo de extração, transformação e carga de dados</w:t>
            </w:r>
          </w:p>
        </w:tc>
      </w:tr>
      <w:tr>
        <w:tc>
          <w:tcPr>
            <w:tcW w:type="dxa" w:w="2268"/>
            <w:shd w:val="clear" w:color="auto" w:fill="F2F5FA"/>
          </w:tcPr>
          <w:p>
            <w:r/>
            <w:r>
              <w:rPr>
                <w:sz w:val="20"/>
              </w:rPr>
              <w:t>IaC</w:t>
            </w:r>
          </w:p>
        </w:tc>
        <w:tc>
          <w:tcPr>
            <w:tcW w:type="dxa" w:w="6803"/>
            <w:shd w:val="clear" w:color="auto" w:fill="F2F5FA"/>
          </w:tcPr>
          <w:p>
            <w:r/>
            <w:r>
              <w:rPr>
                <w:sz w:val="20"/>
              </w:rPr>
              <w:t>Infrastructure as Code — infraestrutura definida e versionada como código</w:t>
            </w:r>
          </w:p>
        </w:tc>
      </w:tr>
      <w:tr>
        <w:tc>
          <w:tcPr>
            <w:tcW w:type="dxa" w:w="2268"/>
          </w:tcPr>
          <w:p>
            <w:r/>
            <w:r>
              <w:rPr>
                <w:sz w:val="20"/>
              </w:rPr>
              <w:t>VPC</w:t>
            </w:r>
          </w:p>
        </w:tc>
        <w:tc>
          <w:tcPr>
            <w:tcW w:type="dxa" w:w="6803"/>
          </w:tcPr>
          <w:p>
            <w:r/>
            <w:r>
              <w:rPr>
                <w:sz w:val="20"/>
              </w:rPr>
              <w:t>Virtual Private Cloud — rede virtual isolada dentro da AWS</w:t>
            </w:r>
          </w:p>
        </w:tc>
      </w:tr>
      <w:tr>
        <w:tc>
          <w:tcPr>
            <w:tcW w:type="dxa" w:w="2268"/>
            <w:shd w:val="clear" w:color="auto" w:fill="F2F5FA"/>
          </w:tcPr>
          <w:p>
            <w:r/>
            <w:r>
              <w:rPr>
                <w:sz w:val="20"/>
              </w:rPr>
              <w:t>Security Group</w:t>
            </w:r>
          </w:p>
        </w:tc>
        <w:tc>
          <w:tcPr>
            <w:tcW w:type="dxa" w:w="6803"/>
            <w:shd w:val="clear" w:color="auto" w:fill="F2F5FA"/>
          </w:tcPr>
          <w:p>
            <w:r/>
            <w:r>
              <w:rPr>
                <w:sz w:val="20"/>
              </w:rPr>
              <w:t>Firewall virtual que controla tráfego de entrada/saída de recursos AWS</w:t>
            </w:r>
          </w:p>
        </w:tc>
      </w:tr>
      <w:tr>
        <w:tc>
          <w:tcPr>
            <w:tcW w:type="dxa" w:w="2268"/>
          </w:tcPr>
          <w:p>
            <w:r/>
            <w:r>
              <w:rPr>
                <w:sz w:val="20"/>
              </w:rPr>
              <w:t>IAM Role</w:t>
            </w:r>
          </w:p>
        </w:tc>
        <w:tc>
          <w:tcPr>
            <w:tcW w:type="dxa" w:w="6803"/>
          </w:tcPr>
          <w:p>
            <w:r/>
            <w:r>
              <w:rPr>
                <w:sz w:val="20"/>
              </w:rPr>
              <w:t>Identidade da AWS com permissões associadas, assumida por um recurso (ex.: EC2), sem chave de acesso estática</w:t>
            </w:r>
          </w:p>
        </w:tc>
      </w:tr>
      <w:tr>
        <w:tc>
          <w:tcPr>
            <w:tcW w:type="dxa" w:w="2268"/>
            <w:shd w:val="clear" w:color="auto" w:fill="F2F5FA"/>
          </w:tcPr>
          <w:p>
            <w:r/>
            <w:r>
              <w:rPr>
                <w:sz w:val="20"/>
              </w:rPr>
              <w:t>Secrets Manager</w:t>
            </w:r>
          </w:p>
        </w:tc>
        <w:tc>
          <w:tcPr>
            <w:tcW w:type="dxa" w:w="6803"/>
            <w:shd w:val="clear" w:color="auto" w:fill="F2F5FA"/>
          </w:tcPr>
          <w:p>
            <w:r/>
            <w:r>
              <w:rPr>
                <w:sz w:val="20"/>
              </w:rPr>
              <w:t>Serviço AWS para armazenamento e rotação segura de credenciais</w:t>
            </w:r>
          </w:p>
        </w:tc>
      </w:tr>
      <w:tr>
        <w:tc>
          <w:tcPr>
            <w:tcW w:type="dxa" w:w="2268"/>
          </w:tcPr>
          <w:p>
            <w:r/>
            <w:r>
              <w:rPr>
                <w:sz w:val="20"/>
              </w:rPr>
              <w:t>RDS</w:t>
            </w:r>
          </w:p>
        </w:tc>
        <w:tc>
          <w:tcPr>
            <w:tcW w:type="dxa" w:w="6803"/>
          </w:tcPr>
          <w:p>
            <w:r/>
            <w:r>
              <w:rPr>
                <w:sz w:val="20"/>
              </w:rPr>
              <w:t>Relational Database Service — banco de dados relacional gerenciado pela AWS</w:t>
            </w:r>
          </w:p>
        </w:tc>
      </w:tr>
      <w:tr>
        <w:tc>
          <w:tcPr>
            <w:tcW w:type="dxa" w:w="2268"/>
            <w:shd w:val="clear" w:color="auto" w:fill="F2F5FA"/>
          </w:tcPr>
          <w:p>
            <w:r/>
            <w:r>
              <w:rPr>
                <w:sz w:val="20"/>
              </w:rPr>
              <w:t>Fail-fast</w:t>
            </w:r>
          </w:p>
        </w:tc>
        <w:tc>
          <w:tcPr>
            <w:tcW w:type="dxa" w:w="6803"/>
            <w:shd w:val="clear" w:color="auto" w:fill="F2F5FA"/>
          </w:tcPr>
          <w:p>
            <w:r/>
            <w:r>
              <w:rPr>
                <w:sz w:val="20"/>
              </w:rPr>
              <w:t>Padrão de projeto em que o sistema interrompe a execução imediatamente ao detectar um erro de configuração, em vez de continuar em estado inconsistente</w:t>
            </w:r>
          </w:p>
        </w:tc>
      </w:tr>
      <w:tr>
        <w:tc>
          <w:tcPr>
            <w:tcW w:type="dxa" w:w="2268"/>
          </w:tcPr>
          <w:p>
            <w:r/>
            <w:r>
              <w:rPr>
                <w:sz w:val="20"/>
              </w:rPr>
              <w:t>Elastic IP</w:t>
            </w:r>
          </w:p>
        </w:tc>
        <w:tc>
          <w:tcPr>
            <w:tcW w:type="dxa" w:w="6803"/>
          </w:tcPr>
          <w:p>
            <w:r/>
            <w:r>
              <w:rPr>
                <w:sz w:val="20"/>
              </w:rPr>
              <w:t>Endereço IP público fixo da AWS, associável a uma instância EC2</w:t>
            </w:r>
          </w:p>
        </w:tc>
      </w:tr>
      <w:tr>
        <w:tc>
          <w:tcPr>
            <w:tcW w:type="dxa" w:w="2268"/>
            <w:shd w:val="clear" w:color="auto" w:fill="F2F5FA"/>
          </w:tcPr>
          <w:p>
            <w:r/>
            <w:r>
              <w:rPr>
                <w:sz w:val="20"/>
              </w:rPr>
              <w:t>Terraform state</w:t>
            </w:r>
          </w:p>
        </w:tc>
        <w:tc>
          <w:tcPr>
            <w:tcW w:type="dxa" w:w="6803"/>
            <w:shd w:val="clear" w:color="auto" w:fill="F2F5FA"/>
          </w:tcPr>
          <w:p>
            <w:r/>
            <w:r>
              <w:rPr>
                <w:sz w:val="20"/>
              </w:rPr>
              <w:t>Arquivo que registra o mapeamento entre o código Terraform e os recursos reais provisionados na nuvem</w:t>
            </w:r>
          </w:p>
        </w:tc>
      </w:tr>
    </w:tbl>
    <w:p/>
    <w:p>
      <w:pPr>
        <w:pStyle w:val="Heading1"/>
      </w:pPr>
      <w:r>
        <w:t>13. Referências e Documentação Complementar</w:t>
      </w:r>
    </w:p>
    <w:p>
      <w:pPr>
        <w:pStyle w:val="ListBullet"/>
      </w:pPr>
      <w:r>
        <w:t>README principal do repositório — visão geral, quickstart e rotas da API</w:t>
      </w:r>
    </w:p>
    <w:p>
      <w:pPr>
        <w:pStyle w:val="ListBullet"/>
      </w:pPr>
      <w:r>
        <w:t>infra/README.md — guia operacional completo do Terraform (ordem de aplicação, custos, segurança)</w:t>
      </w:r>
    </w:p>
    <w:p>
      <w:pPr>
        <w:pStyle w:val="ListBullet"/>
      </w:pPr>
      <w:r>
        <w:t>etl-manager/backend/config/secrets_manager.py — implementação da integração com AWS Secrets Manager</w:t>
      </w:r>
    </w:p>
    <w:p>
      <w:pPr>
        <w:pStyle w:val="ListBullet"/>
      </w:pPr>
      <w:r>
        <w:t>Apresentação institucional (PPTX) — versão resumida deste documento, para audiências não técnicas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0F213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F213B"/>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F213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200"/>
      <w:ind w:left="283"/>
    </w:pPr>
    <w:rPr>
      <w:rFonts w:ascii="Consolas" w:hAnsi="Consolas"/>
      <w:color w:val="1B1B1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