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60288"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 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A819E6" w:rsidP="00F6258A">
      <w:pPr>
        <w:spacing w:line="360" w:lineRule="auto"/>
        <w:jc w:val="both"/>
        <w:rPr>
          <w:rFonts w:ascii="Times New Roman" w:hAnsi="Times New Roman" w:cs="Times New Roman"/>
          <w:b/>
          <w:sz w:val="32"/>
          <w:szCs w:val="24"/>
        </w:rPr>
      </w:pPr>
      <w:r w:rsidRPr="003504F3">
        <w:rPr>
          <w:rFonts w:ascii="Times New Roman" w:hAnsi="Times New Roman" w:cs="Times New Roman"/>
          <w:b/>
          <w:sz w:val="32"/>
          <w:szCs w:val="24"/>
        </w:rPr>
        <w:t>4.4.2.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3504F3" w:rsidP="0004605B">
      <w:pPr>
        <w:spacing w:line="360" w:lineRule="auto"/>
        <w:jc w:val="both"/>
        <w:rPr>
          <w:rFonts w:ascii="Times New Roman" w:hAnsi="Times New Roman" w:cs="Times New Roman"/>
          <w:b/>
          <w:sz w:val="32"/>
          <w:szCs w:val="36"/>
        </w:rPr>
      </w:pPr>
      <w:r w:rsidRPr="003504F3">
        <w:rPr>
          <w:rFonts w:ascii="Times New Roman" w:hAnsi="Times New Roman" w:cs="Times New Roman"/>
          <w:b/>
          <w:sz w:val="32"/>
          <w:szCs w:val="36"/>
        </w:rPr>
        <w:t>4.4.3.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 xml:space="preserve">EntityAlreadyExistsException, </w:t>
      </w:r>
      <w:r w:rsidR="00C92FEA" w:rsidRPr="00C92FEA">
        <w:rPr>
          <w:color w:val="000000"/>
          <w:sz w:val="24"/>
          <w:szCs w:val="24"/>
        </w:rPr>
        <w:t>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bookmarkStart w:id="0" w:name="_GoBack"/>
      <w:bookmarkEnd w:id="0"/>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konyhákban és pontosan tudnunk kell melyiket kell törölni.</w:t>
      </w:r>
    </w:p>
    <w:p w:rsidR="00793094" w:rsidRPr="002F1B9F" w:rsidRDefault="00793094" w:rsidP="002F1B9F">
      <w:pPr>
        <w:pStyle w:val="HTML-kntformzott"/>
        <w:shd w:val="clear" w:color="auto" w:fill="FFFFFF"/>
        <w:spacing w:line="360" w:lineRule="auto"/>
        <w:jc w:val="both"/>
        <w:rPr>
          <w:rFonts w:ascii="Times New Roman" w:hAnsi="Times New Roman" w:cs="Times New Roman"/>
          <w:color w:val="080808"/>
        </w:rPr>
      </w:pPr>
    </w:p>
    <w:sectPr w:rsidR="00793094" w:rsidRPr="002F1B9F"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BA3" w:rsidRDefault="00034BA3" w:rsidP="00EF7EF6">
      <w:pPr>
        <w:spacing w:after="0" w:line="240" w:lineRule="auto"/>
      </w:pPr>
      <w:r>
        <w:separator/>
      </w:r>
    </w:p>
  </w:endnote>
  <w:endnote w:type="continuationSeparator" w:id="0">
    <w:p w:rsidR="00034BA3" w:rsidRDefault="00034BA3"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BA3" w:rsidRDefault="00034BA3" w:rsidP="00EF7EF6">
      <w:pPr>
        <w:spacing w:after="0" w:line="240" w:lineRule="auto"/>
      </w:pPr>
      <w:r>
        <w:separator/>
      </w:r>
    </w:p>
  </w:footnote>
  <w:footnote w:type="continuationSeparator" w:id="0">
    <w:p w:rsidR="00034BA3" w:rsidRDefault="00034BA3"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25B67"/>
    <w:rsid w:val="00034BA3"/>
    <w:rsid w:val="0004605B"/>
    <w:rsid w:val="00065EFB"/>
    <w:rsid w:val="000865C5"/>
    <w:rsid w:val="000871D3"/>
    <w:rsid w:val="000E139B"/>
    <w:rsid w:val="000F58B3"/>
    <w:rsid w:val="00104530"/>
    <w:rsid w:val="00123DC9"/>
    <w:rsid w:val="00187313"/>
    <w:rsid w:val="00225023"/>
    <w:rsid w:val="00261C9E"/>
    <w:rsid w:val="002C7B15"/>
    <w:rsid w:val="002D49D0"/>
    <w:rsid w:val="002F1B9F"/>
    <w:rsid w:val="0030710D"/>
    <w:rsid w:val="00345C0D"/>
    <w:rsid w:val="003504F3"/>
    <w:rsid w:val="003C3117"/>
    <w:rsid w:val="003D3ACA"/>
    <w:rsid w:val="003E320B"/>
    <w:rsid w:val="003F053B"/>
    <w:rsid w:val="003F428D"/>
    <w:rsid w:val="004064A1"/>
    <w:rsid w:val="00431C1D"/>
    <w:rsid w:val="00440DC3"/>
    <w:rsid w:val="00466F95"/>
    <w:rsid w:val="00486F59"/>
    <w:rsid w:val="004C55A4"/>
    <w:rsid w:val="00514439"/>
    <w:rsid w:val="00517A0D"/>
    <w:rsid w:val="00540FF3"/>
    <w:rsid w:val="00545817"/>
    <w:rsid w:val="0056472D"/>
    <w:rsid w:val="00566074"/>
    <w:rsid w:val="005E528C"/>
    <w:rsid w:val="00632522"/>
    <w:rsid w:val="00653807"/>
    <w:rsid w:val="00656DC9"/>
    <w:rsid w:val="006841A1"/>
    <w:rsid w:val="006879A5"/>
    <w:rsid w:val="006934C6"/>
    <w:rsid w:val="006F4E7E"/>
    <w:rsid w:val="00760288"/>
    <w:rsid w:val="007655EC"/>
    <w:rsid w:val="00777A97"/>
    <w:rsid w:val="00793094"/>
    <w:rsid w:val="007A2FF2"/>
    <w:rsid w:val="007B325A"/>
    <w:rsid w:val="007D51FA"/>
    <w:rsid w:val="007D5891"/>
    <w:rsid w:val="007F7365"/>
    <w:rsid w:val="008B2F4A"/>
    <w:rsid w:val="008D604E"/>
    <w:rsid w:val="009165FF"/>
    <w:rsid w:val="00980EC4"/>
    <w:rsid w:val="00992B33"/>
    <w:rsid w:val="009952C6"/>
    <w:rsid w:val="00996087"/>
    <w:rsid w:val="009A4526"/>
    <w:rsid w:val="009C1CC9"/>
    <w:rsid w:val="009D3281"/>
    <w:rsid w:val="009D5244"/>
    <w:rsid w:val="00A112FE"/>
    <w:rsid w:val="00A30D18"/>
    <w:rsid w:val="00A3539C"/>
    <w:rsid w:val="00A50145"/>
    <w:rsid w:val="00A7207B"/>
    <w:rsid w:val="00A80A18"/>
    <w:rsid w:val="00A819E6"/>
    <w:rsid w:val="00AA72F2"/>
    <w:rsid w:val="00B06B8B"/>
    <w:rsid w:val="00B356FD"/>
    <w:rsid w:val="00B609A9"/>
    <w:rsid w:val="00B77143"/>
    <w:rsid w:val="00B77BDD"/>
    <w:rsid w:val="00B96DD5"/>
    <w:rsid w:val="00BF10BB"/>
    <w:rsid w:val="00C114F0"/>
    <w:rsid w:val="00C32F50"/>
    <w:rsid w:val="00C767FE"/>
    <w:rsid w:val="00C92FEA"/>
    <w:rsid w:val="00CA1046"/>
    <w:rsid w:val="00CD0F28"/>
    <w:rsid w:val="00CE648F"/>
    <w:rsid w:val="00D016AE"/>
    <w:rsid w:val="00D24F80"/>
    <w:rsid w:val="00D554D3"/>
    <w:rsid w:val="00D64273"/>
    <w:rsid w:val="00DE3A0D"/>
    <w:rsid w:val="00E359AC"/>
    <w:rsid w:val="00E453CA"/>
    <w:rsid w:val="00E9523F"/>
    <w:rsid w:val="00EC3988"/>
    <w:rsid w:val="00EF7EF6"/>
    <w:rsid w:val="00F41EFE"/>
    <w:rsid w:val="00F6258A"/>
    <w:rsid w:val="00F63A71"/>
    <w:rsid w:val="00F750AF"/>
    <w:rsid w:val="00F97CD0"/>
    <w:rsid w:val="00FB316D"/>
    <w:rsid w:val="00FD464B"/>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CA67"/>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DB6E6-B9EF-4ACE-AAC8-2662670B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13</Pages>
  <Words>2550</Words>
  <Characters>17595</Characters>
  <Application>Microsoft Office Word</Application>
  <DocSecurity>0</DocSecurity>
  <Lines>146</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29</cp:revision>
  <dcterms:created xsi:type="dcterms:W3CDTF">2022-03-16T15:27:00Z</dcterms:created>
  <dcterms:modified xsi:type="dcterms:W3CDTF">2023-04-25T15:44:00Z</dcterms:modified>
</cp:coreProperties>
</file>