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jc w:val="center"/>
      </w:pPr>
      <w:r>
        <w:rPr>
          <w:rFonts w:ascii="Calibri" w:hAnsi="Calibri"/>
          <w:b/>
          <w:color w:val="0F8B82"/>
          <w:sz w:val="28"/>
        </w:rPr>
        <w:t>PLM RESSOURCE</w:t>
      </w:r>
    </w:p>
    <w:p>
      <w:pPr>
        <w:jc w:val="center"/>
      </w:pPr>
      <w:r>
        <w:rPr>
          <w:rFonts w:ascii="Calibri" w:hAnsi="Calibri"/>
          <w:b/>
          <w:color w:val="0B2545"/>
          <w:sz w:val="60"/>
        </w:rPr>
        <w:t>Rapport de projet</w:t>
      </w:r>
    </w:p>
    <w:p>
      <w:pPr>
        <w:jc w:val="center"/>
      </w:pPr>
      <w:r>
        <w:rPr>
          <w:color w:val="64748B"/>
          <w:sz w:val="28"/>
        </w:rPr>
        <w:t>Plateforme de services professionnels, commandes et administration</w:t>
      </w:r>
    </w:p>
    <w:p>
      <w:pPr>
        <w:spacing w:after="1160"/>
      </w:pPr>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fill="E8F4F2"/>
            <w:vAlign w:val="center"/>
            <w:tcMar>
              <w:top w:w="120" w:type="dxa"/>
              <w:start w:w="120" w:type="dxa"/>
              <w:bottom w:w="120" w:type="dxa"/>
              <w:end w:w="120" w:type="dxa"/>
            </w:tcMar>
          </w:tcPr>
          <w:p>
            <w:pPr>
              <w:spacing w:after="0"/>
            </w:pPr>
            <w:r/>
            <w:r>
              <w:rPr>
                <w:rFonts w:ascii="Calibri" w:hAnsi="Calibri"/>
                <w:b/>
                <w:color w:val="0F8B82"/>
                <w:sz w:val="21"/>
              </w:rPr>
              <w:t>Projet</w:t>
            </w:r>
          </w:p>
        </w:tc>
        <w:tc>
          <w:tcPr>
            <w:tcW w:type="dxa" w:w="6768"/>
            <w:vAlign w:val="center"/>
            <w:tcMar>
              <w:top w:w="120" w:type="dxa"/>
              <w:start w:w="120" w:type="dxa"/>
              <w:bottom w:w="120" w:type="dxa"/>
              <w:end w:w="120" w:type="dxa"/>
            </w:tcMar>
          </w:tcPr>
          <w:p>
            <w:pPr>
              <w:spacing w:after="0"/>
            </w:pPr>
            <w:r/>
            <w:r>
              <w:rPr>
                <w:rFonts w:ascii="Calibri" w:hAnsi="Calibri"/>
                <w:b w:val="0"/>
                <w:color w:val="0B2545"/>
                <w:sz w:val="21"/>
              </w:rPr>
              <w:t>PLM Ressource</w:t>
            </w:r>
          </w:p>
        </w:tc>
      </w:tr>
      <w:tr>
        <w:tc>
          <w:tcPr>
            <w:tcW w:type="dxa" w:w="2592"/>
            <w:shd w:fill="E8F4F2"/>
            <w:vAlign w:val="center"/>
            <w:tcMar>
              <w:top w:w="120" w:type="dxa"/>
              <w:start w:w="120" w:type="dxa"/>
              <w:bottom w:w="120" w:type="dxa"/>
              <w:end w:w="120" w:type="dxa"/>
            </w:tcMar>
          </w:tcPr>
          <w:p>
            <w:pPr>
              <w:spacing w:after="0"/>
            </w:pPr>
            <w:r/>
            <w:r>
              <w:rPr>
                <w:rFonts w:ascii="Calibri" w:hAnsi="Calibri"/>
                <w:b/>
                <w:color w:val="0F8B82"/>
                <w:sz w:val="21"/>
              </w:rPr>
              <w:t>Périmètre</w:t>
            </w:r>
          </w:p>
        </w:tc>
        <w:tc>
          <w:tcPr>
            <w:tcW w:type="dxa" w:w="6768"/>
            <w:vAlign w:val="center"/>
            <w:tcMar>
              <w:top w:w="120" w:type="dxa"/>
              <w:start w:w="120" w:type="dxa"/>
              <w:bottom w:w="120" w:type="dxa"/>
              <w:end w:w="120" w:type="dxa"/>
            </w:tcMar>
          </w:tcPr>
          <w:p>
            <w:pPr>
              <w:spacing w:after="0"/>
            </w:pPr>
            <w:r/>
            <w:r>
              <w:rPr>
                <w:rFonts w:ascii="Calibri" w:hAnsi="Calibri"/>
                <w:b w:val="0"/>
                <w:color w:val="0B2545"/>
                <w:sz w:val="21"/>
              </w:rPr>
              <w:t>Vitrine, commande, facturation et administration</w:t>
            </w:r>
          </w:p>
        </w:tc>
      </w:tr>
      <w:tr>
        <w:tc>
          <w:tcPr>
            <w:tcW w:type="dxa" w:w="2592"/>
            <w:shd w:fill="E8F4F2"/>
            <w:vAlign w:val="center"/>
            <w:tcMar>
              <w:top w:w="120" w:type="dxa"/>
              <w:start w:w="120" w:type="dxa"/>
              <w:bottom w:w="120" w:type="dxa"/>
              <w:end w:w="120" w:type="dxa"/>
            </w:tcMar>
          </w:tcPr>
          <w:p>
            <w:pPr>
              <w:spacing w:after="0"/>
            </w:pPr>
            <w:r/>
            <w:r>
              <w:rPr>
                <w:rFonts w:ascii="Calibri" w:hAnsi="Calibri"/>
                <w:b/>
                <w:color w:val="0F8B82"/>
                <w:sz w:val="21"/>
              </w:rPr>
              <w:t>Environnement</w:t>
            </w:r>
          </w:p>
        </w:tc>
        <w:tc>
          <w:tcPr>
            <w:tcW w:type="dxa" w:w="6768"/>
            <w:vAlign w:val="center"/>
            <w:tcMar>
              <w:top w:w="120" w:type="dxa"/>
              <w:start w:w="120" w:type="dxa"/>
              <w:bottom w:w="120" w:type="dxa"/>
              <w:end w:w="120" w:type="dxa"/>
            </w:tcMar>
          </w:tcPr>
          <w:p>
            <w:pPr>
              <w:spacing w:after="0"/>
            </w:pPr>
            <w:r/>
            <w:r>
              <w:rPr>
                <w:rFonts w:ascii="Calibri" w:hAnsi="Calibri"/>
                <w:b w:val="0"/>
                <w:color w:val="0B2545"/>
                <w:sz w:val="21"/>
              </w:rPr>
              <w:t>Application web React + Supabase</w:t>
            </w:r>
          </w:p>
        </w:tc>
      </w:tr>
      <w:tr>
        <w:tc>
          <w:tcPr>
            <w:tcW w:type="dxa" w:w="2592"/>
            <w:shd w:fill="E8F4F2"/>
            <w:vAlign w:val="center"/>
            <w:tcMar>
              <w:top w:w="120" w:type="dxa"/>
              <w:start w:w="120" w:type="dxa"/>
              <w:bottom w:w="120" w:type="dxa"/>
              <w:end w:w="120" w:type="dxa"/>
            </w:tcMar>
          </w:tcPr>
          <w:p>
            <w:pPr>
              <w:spacing w:after="0"/>
            </w:pPr>
            <w:r/>
            <w:r>
              <w:rPr>
                <w:rFonts w:ascii="Calibri" w:hAnsi="Calibri"/>
                <w:b/>
                <w:color w:val="0F8B82"/>
                <w:sz w:val="21"/>
              </w:rPr>
              <w:t>Date</w:t>
            </w:r>
          </w:p>
        </w:tc>
        <w:tc>
          <w:tcPr>
            <w:tcW w:type="dxa" w:w="6768"/>
            <w:vAlign w:val="center"/>
            <w:tcMar>
              <w:top w:w="120" w:type="dxa"/>
              <w:start w:w="120" w:type="dxa"/>
              <w:bottom w:w="120" w:type="dxa"/>
              <w:end w:w="120" w:type="dxa"/>
            </w:tcMar>
          </w:tcPr>
          <w:p>
            <w:pPr>
              <w:spacing w:after="0"/>
            </w:pPr>
            <w:r/>
            <w:r>
              <w:rPr>
                <w:rFonts w:ascii="Calibri" w:hAnsi="Calibri"/>
                <w:b w:val="0"/>
                <w:color w:val="0B2545"/>
                <w:sz w:val="21"/>
              </w:rPr>
              <w:t>03/09/2026</w:t>
            </w:r>
          </w:p>
        </w:tc>
      </w:tr>
    </w:tbl>
    <w:p>
      <w:pPr>
        <w:spacing w:after="800"/>
      </w:pPr>
    </w:p>
    <w:p>
      <w:pPr>
        <w:jc w:val="center"/>
      </w:pPr>
      <w:r>
        <w:rPr>
          <w:b/>
          <w:color w:val="0F8B82"/>
          <w:sz w:val="22"/>
        </w:rPr>
        <w:t>Statut : prêt pour démonstration et tests fonctionnels</w:t>
      </w:r>
    </w:p>
    <w:p>
      <w:r>
        <w:br w:type="page"/>
      </w:r>
    </w:p>
    <w:p>
      <w:pPr>
        <w:pStyle w:val="Heading1"/>
      </w:pPr>
      <w:r>
        <w:t>1. Résumé exécutif</w:t>
      </w:r>
    </w:p>
    <w:p>
      <w:r>
        <w:t>PLM Ressource est une application web destinée à présenter des services professionnels en Tunisie, permettre à un client de préparer une commande et offrir un espace d'administration pour le suivi commercial. Le projet couvre le parcours public de la vitrine ainsi qu'un espace de gestion des clients, factures et paiements.</w:t>
      </w:r>
    </w:p>
    <w:tbl>
      <w:tblPr>
        <w:tblW w:type="auto" w:w="0"/>
        <w:tblLook w:firstColumn="1" w:firstRow="1" w:lastColumn="0" w:lastRow="0" w:noHBand="0" w:noVBand="1" w:val="04A0"/>
      </w:tblPr>
      <w:tblGrid>
        <w:gridCol w:w="9360"/>
      </w:tblGrid>
      <w:tr>
        <w:tc>
          <w:tcPr>
            <w:tcW w:type="dxa" w:w="9360"/>
            <w:shd w:fill="E8F4F2"/>
            <w:vAlign w:val="center"/>
            <w:tcMar>
              <w:top w:w="120" w:type="dxa"/>
              <w:start w:w="120" w:type="dxa"/>
              <w:bottom w:w="120" w:type="dxa"/>
              <w:end w:w="120" w:type="dxa"/>
            </w:tcMar>
          </w:tcPr>
          <w:p>
            <w:pPr>
              <w:spacing w:after="0"/>
            </w:pPr>
            <w:r/>
            <w:r>
              <w:rPr>
                <w:rFonts w:ascii="Calibri" w:hAnsi="Calibri"/>
                <w:b/>
                <w:color w:val="0F8B82"/>
                <w:sz w:val="21"/>
              </w:rPr>
              <w:t>Point clé : le paiement est volontairement en mode test. Aucun débit de carte bancaire ni passerelle réelle n’est activé dans cette version.</w:t>
            </w:r>
          </w:p>
        </w:tc>
      </w:tr>
    </w:tbl>
    <w:p>
      <w:pPr>
        <w:pStyle w:val="Heading2"/>
      </w:pPr>
      <w:r>
        <w:t>Objectifs atteints</w:t>
      </w:r>
    </w:p>
    <w:p>
      <w:pPr>
        <w:pStyle w:val="ListBullet"/>
      </w:pPr>
      <w:r>
        <w:t>Présenter un catalogue de prestations avec prix en dinars tunisiens.</w:t>
      </w:r>
    </w:p>
    <w:p>
      <w:pPr>
        <w:pStyle w:val="ListBullet"/>
      </w:pPr>
      <w:r>
        <w:t>Permettre l’ajout au panier et la création d’une commande.</w:t>
      </w:r>
    </w:p>
    <w:p>
      <w:pPr>
        <w:pStyle w:val="ListBullet"/>
      </w:pPr>
      <w:r>
        <w:t>Générer un numéro de commande et une facture PDF téléchargeable.</w:t>
      </w:r>
    </w:p>
    <w:p>
      <w:pPr>
        <w:pStyle w:val="ListBullet"/>
      </w:pPr>
      <w:r>
        <w:t>Centraliser le suivi commercial dans une interface d’administration.</w:t>
      </w:r>
    </w:p>
    <w:p>
      <w:pPr>
        <w:pStyle w:val="ListBullet"/>
      </w:pPr>
      <w:r>
        <w:t>Prévoir une architecture Supabase sécurisée pour le passage en production.</w:t>
      </w:r>
    </w:p>
    <w:p>
      <w:pPr>
        <w:pStyle w:val="Heading1"/>
      </w:pPr>
      <w:r>
        <w:t>2. Fonctionnalités livrées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880"/>
            <w:shd w:fill="F2F4F7"/>
            <w:vAlign w:val="center"/>
            <w:tcMar>
              <w:top w:w="120" w:type="dxa"/>
              <w:start w:w="120" w:type="dxa"/>
              <w:bottom w:w="120" w:type="dxa"/>
              <w:end w:w="120" w:type="dxa"/>
            </w:tcMar>
          </w:tcPr>
          <w:p>
            <w:pPr>
              <w:spacing w:after="0"/>
            </w:pPr>
            <w:r/>
            <w:r>
              <w:rPr>
                <w:rFonts w:ascii="Calibri" w:hAnsi="Calibri"/>
                <w:b/>
                <w:color w:val="0B2545"/>
                <w:sz w:val="21"/>
              </w:rPr>
              <w:t>Module</w:t>
            </w:r>
          </w:p>
        </w:tc>
        <w:tc>
          <w:tcPr>
            <w:tcW w:type="dxa" w:w="4824"/>
            <w:shd w:fill="F2F4F7"/>
            <w:vAlign w:val="center"/>
            <w:tcMar>
              <w:top w:w="120" w:type="dxa"/>
              <w:start w:w="120" w:type="dxa"/>
              <w:bottom w:w="120" w:type="dxa"/>
              <w:end w:w="120" w:type="dxa"/>
            </w:tcMar>
          </w:tcPr>
          <w:p>
            <w:pPr>
              <w:spacing w:after="0"/>
            </w:pPr>
            <w:r/>
            <w:r>
              <w:rPr>
                <w:rFonts w:ascii="Calibri" w:hAnsi="Calibri"/>
                <w:b/>
                <w:color w:val="0B2545"/>
                <w:sz w:val="21"/>
              </w:rPr>
              <w:t>Fonctionnalités</w:t>
            </w:r>
          </w:p>
        </w:tc>
        <w:tc>
          <w:tcPr>
            <w:tcW w:type="dxa" w:w="1656"/>
            <w:shd w:fill="F2F4F7"/>
            <w:vAlign w:val="center"/>
            <w:tcMar>
              <w:top w:w="120" w:type="dxa"/>
              <w:start w:w="120" w:type="dxa"/>
              <w:bottom w:w="120" w:type="dxa"/>
              <w:end w:w="120" w:type="dxa"/>
            </w:tcMar>
          </w:tcPr>
          <w:p>
            <w:pPr>
              <w:spacing w:after="0"/>
            </w:pPr>
            <w:r/>
            <w:r>
              <w:rPr>
                <w:rFonts w:ascii="Calibri" w:hAnsi="Calibri"/>
                <w:b/>
                <w:color w:val="0B2545"/>
                <w:sz w:val="21"/>
              </w:rPr>
              <w:t>Statut</w:t>
            </w:r>
          </w:p>
        </w:tc>
      </w:tr>
      <w:tr>
        <w:tc>
          <w:tcPr>
            <w:tcW w:type="dxa" w:w="3120"/>
            <w:vAlign w:val="center"/>
            <w:tcMar>
              <w:top w:w="120" w:type="dxa"/>
              <w:start w:w="120" w:type="dxa"/>
              <w:bottom w:w="120" w:type="dxa"/>
              <w:end w:w="120" w:type="dxa"/>
            </w:tcMar>
          </w:tcPr>
          <w:p>
            <w:pPr>
              <w:spacing w:after="0"/>
            </w:pPr>
            <w:r/>
            <w:r>
              <w:rPr>
                <w:rFonts w:ascii="Calibri" w:hAnsi="Calibri"/>
                <w:b/>
                <w:color w:val="0B2545"/>
                <w:sz w:val="21"/>
              </w:rPr>
              <w:t>Vitrine publique</w:t>
            </w:r>
          </w:p>
        </w:tc>
        <w:tc>
          <w:tcPr>
            <w:tcW w:type="dxa" w:w="3120"/>
            <w:vAlign w:val="center"/>
            <w:tcMar>
              <w:top w:w="120" w:type="dxa"/>
              <w:start w:w="120" w:type="dxa"/>
              <w:bottom w:w="120" w:type="dxa"/>
              <w:end w:w="120" w:type="dxa"/>
            </w:tcMar>
          </w:tcPr>
          <w:p>
            <w:pPr>
              <w:spacing w:after="0"/>
            </w:pPr>
            <w:r/>
            <w:r>
              <w:rPr>
                <w:rFonts w:ascii="Calibri" w:hAnsi="Calibri"/>
                <w:b w:val="0"/>
                <w:color w:val="0B2545"/>
                <w:sz w:val="21"/>
              </w:rPr>
              <w:t>Accueil, présentation, services, prix et coordonnées.</w:t>
            </w:r>
          </w:p>
        </w:tc>
        <w:tc>
          <w:tcPr>
            <w:tcW w:type="dxa" w:w="3120"/>
            <w:vAlign w:val="center"/>
            <w:tcMar>
              <w:top w:w="120" w:type="dxa"/>
              <w:start w:w="120" w:type="dxa"/>
              <w:bottom w:w="120" w:type="dxa"/>
              <w:end w:w="120" w:type="dxa"/>
            </w:tcMar>
          </w:tcPr>
          <w:p>
            <w:pPr>
              <w:spacing w:after="0"/>
            </w:pPr>
            <w:r/>
            <w:r>
              <w:rPr>
                <w:rFonts w:ascii="Calibri" w:hAnsi="Calibri"/>
                <w:b/>
                <w:color w:val="0F8B82"/>
                <w:sz w:val="21"/>
              </w:rPr>
              <w:t>Actif</w:t>
            </w:r>
          </w:p>
        </w:tc>
      </w:tr>
      <w:tr>
        <w:tc>
          <w:tcPr>
            <w:tcW w:type="dxa" w:w="3120"/>
            <w:vAlign w:val="center"/>
            <w:tcMar>
              <w:top w:w="120" w:type="dxa"/>
              <w:start w:w="120" w:type="dxa"/>
              <w:bottom w:w="120" w:type="dxa"/>
              <w:end w:w="120" w:type="dxa"/>
            </w:tcMar>
          </w:tcPr>
          <w:p>
            <w:pPr>
              <w:spacing w:after="0"/>
            </w:pPr>
            <w:r/>
            <w:r>
              <w:rPr>
                <w:rFonts w:ascii="Calibri" w:hAnsi="Calibri"/>
                <w:b/>
                <w:color w:val="0B2545"/>
                <w:sz w:val="21"/>
              </w:rPr>
              <w:t>Panier et commande</w:t>
            </w:r>
          </w:p>
        </w:tc>
        <w:tc>
          <w:tcPr>
            <w:tcW w:type="dxa" w:w="3120"/>
            <w:vAlign w:val="center"/>
            <w:tcMar>
              <w:top w:w="120" w:type="dxa"/>
              <w:start w:w="120" w:type="dxa"/>
              <w:bottom w:w="120" w:type="dxa"/>
              <w:end w:w="120" w:type="dxa"/>
            </w:tcMar>
          </w:tcPr>
          <w:p>
            <w:pPr>
              <w:spacing w:after="0"/>
            </w:pPr>
            <w:r/>
            <w:r>
              <w:rPr>
                <w:rFonts w:ascii="Calibri" w:hAnsi="Calibri"/>
                <w:b w:val="0"/>
                <w:color w:val="0B2545"/>
                <w:sz w:val="21"/>
              </w:rPr>
              <w:t>Quantités, total, coordonnées client et numéro de commande.</w:t>
            </w:r>
          </w:p>
        </w:tc>
        <w:tc>
          <w:tcPr>
            <w:tcW w:type="dxa" w:w="3120"/>
            <w:vAlign w:val="center"/>
            <w:tcMar>
              <w:top w:w="120" w:type="dxa"/>
              <w:start w:w="120" w:type="dxa"/>
              <w:bottom w:w="120" w:type="dxa"/>
              <w:end w:w="120" w:type="dxa"/>
            </w:tcMar>
          </w:tcPr>
          <w:p>
            <w:pPr>
              <w:spacing w:after="0"/>
            </w:pPr>
            <w:r/>
            <w:r>
              <w:rPr>
                <w:rFonts w:ascii="Calibri" w:hAnsi="Calibri"/>
                <w:b/>
                <w:color w:val="0F8B82"/>
                <w:sz w:val="21"/>
              </w:rPr>
              <w:t>Actif</w:t>
            </w:r>
          </w:p>
        </w:tc>
      </w:tr>
      <w:tr>
        <w:tc>
          <w:tcPr>
            <w:tcW w:type="dxa" w:w="3120"/>
            <w:vAlign w:val="center"/>
            <w:tcMar>
              <w:top w:w="120" w:type="dxa"/>
              <w:start w:w="120" w:type="dxa"/>
              <w:bottom w:w="120" w:type="dxa"/>
              <w:end w:w="120" w:type="dxa"/>
            </w:tcMar>
          </w:tcPr>
          <w:p>
            <w:pPr>
              <w:spacing w:after="0"/>
            </w:pPr>
            <w:r/>
            <w:r>
              <w:rPr>
                <w:rFonts w:ascii="Calibri" w:hAnsi="Calibri"/>
                <w:b/>
                <w:color w:val="0B2545"/>
                <w:sz w:val="21"/>
              </w:rPr>
              <w:t>Facture PDF</w:t>
            </w:r>
          </w:p>
        </w:tc>
        <w:tc>
          <w:tcPr>
            <w:tcW w:type="dxa" w:w="3120"/>
            <w:vAlign w:val="center"/>
            <w:tcMar>
              <w:top w:w="120" w:type="dxa"/>
              <w:start w:w="120" w:type="dxa"/>
              <w:bottom w:w="120" w:type="dxa"/>
              <w:end w:w="120" w:type="dxa"/>
            </w:tcMar>
          </w:tcPr>
          <w:p>
            <w:pPr>
              <w:spacing w:after="0"/>
            </w:pPr>
            <w:r/>
            <w:r>
              <w:rPr>
                <w:rFonts w:ascii="Calibri" w:hAnsi="Calibri"/>
                <w:b w:val="0"/>
                <w:color w:val="0B2545"/>
                <w:sz w:val="21"/>
              </w:rPr>
              <w:t>Récapitulatif client, lignes de prestation, total et statut.</w:t>
            </w:r>
          </w:p>
        </w:tc>
        <w:tc>
          <w:tcPr>
            <w:tcW w:type="dxa" w:w="3120"/>
            <w:vAlign w:val="center"/>
            <w:tcMar>
              <w:top w:w="120" w:type="dxa"/>
              <w:start w:w="120" w:type="dxa"/>
              <w:bottom w:w="120" w:type="dxa"/>
              <w:end w:w="120" w:type="dxa"/>
            </w:tcMar>
          </w:tcPr>
          <w:p>
            <w:pPr>
              <w:spacing w:after="0"/>
            </w:pPr>
            <w:r/>
            <w:r>
              <w:rPr>
                <w:rFonts w:ascii="Calibri" w:hAnsi="Calibri"/>
                <w:b/>
                <w:color w:val="0F8B82"/>
                <w:sz w:val="21"/>
              </w:rPr>
              <w:t>Actif</w:t>
            </w:r>
          </w:p>
        </w:tc>
      </w:tr>
      <w:tr>
        <w:tc>
          <w:tcPr>
            <w:tcW w:type="dxa" w:w="3120"/>
            <w:vAlign w:val="center"/>
            <w:tcMar>
              <w:top w:w="120" w:type="dxa"/>
              <w:start w:w="120" w:type="dxa"/>
              <w:bottom w:w="120" w:type="dxa"/>
              <w:end w:w="120" w:type="dxa"/>
            </w:tcMar>
          </w:tcPr>
          <w:p>
            <w:pPr>
              <w:spacing w:after="0"/>
            </w:pPr>
            <w:r/>
            <w:r>
              <w:rPr>
                <w:rFonts w:ascii="Calibri" w:hAnsi="Calibri"/>
                <w:b/>
                <w:color w:val="0B2545"/>
                <w:sz w:val="21"/>
              </w:rPr>
              <w:t>Administration</w:t>
            </w:r>
          </w:p>
        </w:tc>
        <w:tc>
          <w:tcPr>
            <w:tcW w:type="dxa" w:w="3120"/>
            <w:vAlign w:val="center"/>
            <w:tcMar>
              <w:top w:w="120" w:type="dxa"/>
              <w:start w:w="120" w:type="dxa"/>
              <w:bottom w:w="120" w:type="dxa"/>
              <w:end w:w="120" w:type="dxa"/>
            </w:tcMar>
          </w:tcPr>
          <w:p>
            <w:pPr>
              <w:spacing w:after="0"/>
            </w:pPr>
            <w:r/>
            <w:r>
              <w:rPr>
                <w:rFonts w:ascii="Calibri" w:hAnsi="Calibri"/>
                <w:b w:val="0"/>
                <w:color w:val="0B2545"/>
                <w:sz w:val="21"/>
              </w:rPr>
              <w:t>Connexion, tableau de bord, clients, factures, paiements, services.</w:t>
            </w:r>
          </w:p>
        </w:tc>
        <w:tc>
          <w:tcPr>
            <w:tcW w:type="dxa" w:w="3120"/>
            <w:vAlign w:val="center"/>
            <w:tcMar>
              <w:top w:w="120" w:type="dxa"/>
              <w:start w:w="120" w:type="dxa"/>
              <w:bottom w:w="120" w:type="dxa"/>
              <w:end w:w="120" w:type="dxa"/>
            </w:tcMar>
          </w:tcPr>
          <w:p>
            <w:pPr>
              <w:spacing w:after="0"/>
            </w:pPr>
            <w:r/>
            <w:r>
              <w:rPr>
                <w:rFonts w:ascii="Calibri" w:hAnsi="Calibri"/>
                <w:b/>
                <w:color w:val="0F8B82"/>
                <w:sz w:val="21"/>
              </w:rPr>
              <w:t>Actif</w:t>
            </w:r>
          </w:p>
        </w:tc>
      </w:tr>
      <w:tr>
        <w:tc>
          <w:tcPr>
            <w:tcW w:type="dxa" w:w="3120"/>
            <w:vAlign w:val="center"/>
            <w:tcMar>
              <w:top w:w="120" w:type="dxa"/>
              <w:start w:w="120" w:type="dxa"/>
              <w:bottom w:w="120" w:type="dxa"/>
              <w:end w:w="120" w:type="dxa"/>
            </w:tcMar>
          </w:tcPr>
          <w:p>
            <w:pPr>
              <w:spacing w:after="0"/>
            </w:pPr>
            <w:r/>
            <w:r>
              <w:rPr>
                <w:rFonts w:ascii="Calibri" w:hAnsi="Calibri"/>
                <w:b/>
                <w:color w:val="0B2545"/>
                <w:sz w:val="21"/>
              </w:rPr>
              <w:t>Paiement</w:t>
            </w:r>
          </w:p>
        </w:tc>
        <w:tc>
          <w:tcPr>
            <w:tcW w:type="dxa" w:w="3120"/>
            <w:vAlign w:val="center"/>
            <w:tcMar>
              <w:top w:w="120" w:type="dxa"/>
              <w:start w:w="120" w:type="dxa"/>
              <w:bottom w:w="120" w:type="dxa"/>
              <w:end w:w="120" w:type="dxa"/>
            </w:tcMar>
          </w:tcPr>
          <w:p>
            <w:pPr>
              <w:spacing w:after="0"/>
            </w:pPr>
            <w:r/>
            <w:r>
              <w:rPr>
                <w:rFonts w:ascii="Calibri" w:hAnsi="Calibri"/>
                <w:b w:val="0"/>
                <w:color w:val="0B2545"/>
                <w:sz w:val="21"/>
              </w:rPr>
              <w:t>Formulaire de carte simulé pour les tests uniquement.</w:t>
            </w:r>
          </w:p>
        </w:tc>
        <w:tc>
          <w:tcPr>
            <w:tcW w:type="dxa" w:w="3120"/>
            <w:vAlign w:val="center"/>
            <w:tcMar>
              <w:top w:w="120" w:type="dxa"/>
              <w:start w:w="120" w:type="dxa"/>
              <w:bottom w:w="120" w:type="dxa"/>
              <w:end w:w="120" w:type="dxa"/>
            </w:tcMar>
          </w:tcPr>
          <w:p>
            <w:pPr>
              <w:spacing w:after="0"/>
            </w:pPr>
            <w:r/>
            <w:r>
              <w:rPr>
                <w:rFonts w:ascii="Calibri" w:hAnsi="Calibri"/>
                <w:b/>
                <w:color w:val="7A5A00"/>
                <w:sz w:val="21"/>
              </w:rPr>
              <w:t>Mode test</w:t>
            </w:r>
          </w:p>
        </w:tc>
      </w:tr>
      <w:tr>
        <w:tc>
          <w:tcPr>
            <w:tcW w:type="dxa" w:w="3120"/>
            <w:vAlign w:val="center"/>
            <w:tcMar>
              <w:top w:w="120" w:type="dxa"/>
              <w:start w:w="120" w:type="dxa"/>
              <w:bottom w:w="120" w:type="dxa"/>
              <w:end w:w="120" w:type="dxa"/>
            </w:tcMar>
          </w:tcPr>
          <w:p>
            <w:pPr>
              <w:spacing w:after="0"/>
            </w:pPr>
            <w:r/>
            <w:r>
              <w:rPr>
                <w:rFonts w:ascii="Calibri" w:hAnsi="Calibri"/>
                <w:b/>
                <w:color w:val="0B2545"/>
                <w:sz w:val="21"/>
              </w:rPr>
              <w:t>Paiement réel</w:t>
            </w:r>
          </w:p>
        </w:tc>
        <w:tc>
          <w:tcPr>
            <w:tcW w:type="dxa" w:w="3120"/>
            <w:vAlign w:val="center"/>
            <w:tcMar>
              <w:top w:w="120" w:type="dxa"/>
              <w:start w:w="120" w:type="dxa"/>
              <w:bottom w:w="120" w:type="dxa"/>
              <w:end w:w="120" w:type="dxa"/>
            </w:tcMar>
          </w:tcPr>
          <w:p>
            <w:pPr>
              <w:spacing w:after="0"/>
            </w:pPr>
            <w:r/>
            <w:r>
              <w:rPr>
                <w:rFonts w:ascii="Calibri" w:hAnsi="Calibri"/>
                <w:b w:val="0"/>
                <w:color w:val="0B2545"/>
                <w:sz w:val="21"/>
              </w:rPr>
              <w:t>Passerelle de paiement en ligne.</w:t>
            </w:r>
          </w:p>
        </w:tc>
        <w:tc>
          <w:tcPr>
            <w:tcW w:type="dxa" w:w="3120"/>
            <w:vAlign w:val="center"/>
            <w:tcMar>
              <w:top w:w="120" w:type="dxa"/>
              <w:start w:w="120" w:type="dxa"/>
              <w:bottom w:w="120" w:type="dxa"/>
              <w:end w:w="120" w:type="dxa"/>
            </w:tcMar>
          </w:tcPr>
          <w:p>
            <w:pPr>
              <w:spacing w:after="0"/>
            </w:pPr>
            <w:r/>
            <w:r>
              <w:rPr>
                <w:rFonts w:ascii="Calibri" w:hAnsi="Calibri"/>
                <w:b/>
                <w:color w:val="7A5A00"/>
                <w:sz w:val="21"/>
              </w:rPr>
              <w:t>Non activé</w:t>
            </w:r>
          </w:p>
        </w:tc>
      </w:tr>
    </w:tbl>
    <w:p>
      <w:pPr>
        <w:pStyle w:val="Heading1"/>
      </w:pPr>
      <w:r>
        <w:t>3. Parcours utilisateur et tests</w:t>
      </w:r>
    </w:p>
    <w:p>
      <w:pPr>
        <w:pStyle w:val="Heading2"/>
      </w:pPr>
      <w:r>
        <w:t>Test du client</w:t>
      </w:r>
    </w:p>
    <w:p>
      <w:pPr>
        <w:pStyle w:val="ListNumber"/>
      </w:pPr>
      <w:r>
        <w:t>Ouvrir la page d’accueil et parcourir le catalogue.</w:t>
      </w:r>
    </w:p>
    <w:p>
      <w:pPr>
        <w:pStyle w:val="ListNumber"/>
      </w:pPr>
      <w:r>
        <w:t>Ajouter une ou plusieurs prestations au panier.</w:t>
      </w:r>
    </w:p>
    <w:p>
      <w:pPr>
        <w:pStyle w:val="ListNumber"/>
      </w:pPr>
      <w:r>
        <w:t>Ouvrir le panier, puis choisir de passer commande.</w:t>
      </w:r>
    </w:p>
    <w:p>
      <w:pPr>
        <w:pStyle w:val="ListNumber"/>
      </w:pPr>
      <w:r>
        <w:t>Renseigner les coordonnées demandées.</w:t>
      </w:r>
    </w:p>
    <w:p>
      <w:pPr>
        <w:pStyle w:val="ListNumber"/>
      </w:pPr>
      <w:r>
        <w:t>Utiliser la carte de test proposée : 4242 4242 4242 4242, expiration 12/30, CVC 123.</w:t>
      </w:r>
    </w:p>
    <w:p>
      <w:pPr>
        <w:pStyle w:val="ListNumber"/>
      </w:pPr>
      <w:r>
        <w:t>Valider la commande de test, vérifier le numéro de commande et télécharger la facture PDF.</w:t>
      </w:r>
    </w:p>
    <w:p>
      <w:pPr>
        <w:pStyle w:val="Heading2"/>
      </w:pPr>
      <w:r>
        <w:t>Test de l’administrateur</w:t>
      </w:r>
    </w:p>
    <w:p>
      <w:pPr>
        <w:pStyle w:val="ListNumber"/>
      </w:pPr>
      <w:r>
        <w:t>Ouvrir /admin et créer ou utiliser un compte de connexion.</w:t>
      </w:r>
    </w:p>
    <w:p>
      <w:pPr>
        <w:pStyle w:val="ListNumber"/>
      </w:pPr>
      <w:r>
        <w:t>Vérifier le tableau de bord et la liste des services.</w:t>
      </w:r>
    </w:p>
    <w:p>
      <w:pPr>
        <w:pStyle w:val="ListNumber"/>
      </w:pPr>
      <w:r>
        <w:t>Créer un client, puis une facture associée.</w:t>
      </w:r>
    </w:p>
    <w:p>
      <w:pPr>
        <w:pStyle w:val="ListNumber"/>
      </w:pPr>
      <w:r>
        <w:t>Enregistrer un paiement afin de faire passer la facture au statut Payée.</w:t>
      </w:r>
    </w:p>
    <w:p>
      <w:pPr>
        <w:pStyle w:val="ListNumber"/>
      </w:pPr>
      <w:r>
        <w:t>Actualiser la page pour vérifier la persistance après configuration Supabase.</w:t>
      </w:r>
    </w:p>
    <w:p>
      <w:pPr>
        <w:pStyle w:val="Heading1"/>
      </w:pPr>
      <w:r>
        <w:t>4. Architecture technique</w:t>
      </w:r>
    </w:p>
    <w:p>
      <w:r>
        <w:t>Le front-end repose sur React, TypeScript et Vite. L’interface utilise Tailwind CSS et Lucide pour les icônes. Supabase fournit l’authentification, la base PostgreSQL et les règles de sécurité. Les factures de commande sont générées dans le navigateur au format PDF.</w:t>
      </w:r>
    </w:p>
    <w:tbl>
      <w:tblPr>
        <w:tblStyle w:val="TableGrid"/>
        <w:tblW w:type="auto" w:w="0"/>
        <w:tblLayout w:type="fixed"/>
        <w:tblLook w:firstColumn="1" w:firstRow="1" w:lastColumn="0" w:lastRow="0" w:noHBand="0" w:noVBand="1" w:val="04A0"/>
      </w:tblPr>
      <w:tblGrid>
        <w:gridCol w:w="4680"/>
        <w:gridCol w:w="4680"/>
      </w:tblGrid>
      <w:tr>
        <w:tc>
          <w:tcPr>
            <w:tcW w:type="dxa" w:w="2736"/>
            <w:shd w:fill="F2F4F7"/>
            <w:vAlign w:val="center"/>
            <w:tcMar>
              <w:top w:w="120" w:type="dxa"/>
              <w:start w:w="120" w:type="dxa"/>
              <w:bottom w:w="120" w:type="dxa"/>
              <w:end w:w="120" w:type="dxa"/>
            </w:tcMar>
          </w:tcPr>
          <w:p>
            <w:pPr>
              <w:spacing w:after="0"/>
            </w:pPr>
            <w:r/>
            <w:r>
              <w:rPr>
                <w:rFonts w:ascii="Calibri" w:hAnsi="Calibri"/>
                <w:b/>
                <w:color w:val="0B2545"/>
                <w:sz w:val="21"/>
              </w:rPr>
              <w:t>Composant</w:t>
            </w:r>
          </w:p>
        </w:tc>
        <w:tc>
          <w:tcPr>
            <w:tcW w:type="dxa" w:w="6624"/>
            <w:shd w:fill="F2F4F7"/>
            <w:vAlign w:val="center"/>
            <w:tcMar>
              <w:top w:w="120" w:type="dxa"/>
              <w:start w:w="120" w:type="dxa"/>
              <w:bottom w:w="120" w:type="dxa"/>
              <w:end w:w="120" w:type="dxa"/>
            </w:tcMar>
          </w:tcPr>
          <w:p>
            <w:pPr>
              <w:spacing w:after="0"/>
            </w:pPr>
            <w:r/>
            <w:r>
              <w:rPr>
                <w:rFonts w:ascii="Calibri" w:hAnsi="Calibri"/>
                <w:b/>
                <w:color w:val="0B2545"/>
                <w:sz w:val="21"/>
              </w:rPr>
              <w:t>Rôle</w:t>
            </w:r>
          </w:p>
        </w:tc>
      </w:tr>
      <w:tr>
        <w:tc>
          <w:tcPr>
            <w:tcW w:type="dxa" w:w="4680"/>
            <w:vAlign w:val="center"/>
            <w:tcMar>
              <w:top w:w="120" w:type="dxa"/>
              <w:start w:w="120" w:type="dxa"/>
              <w:bottom w:w="120" w:type="dxa"/>
              <w:end w:w="120" w:type="dxa"/>
            </w:tcMar>
          </w:tcPr>
          <w:p>
            <w:pPr>
              <w:spacing w:after="0"/>
            </w:pPr>
            <w:r/>
            <w:r>
              <w:rPr>
                <w:rFonts w:ascii="Calibri" w:hAnsi="Calibri"/>
                <w:b/>
                <w:color w:val="0B2545"/>
                <w:sz w:val="21"/>
              </w:rPr>
              <w:t>React / Vite</w:t>
            </w:r>
          </w:p>
        </w:tc>
        <w:tc>
          <w:tcPr>
            <w:tcW w:type="dxa" w:w="4680"/>
            <w:vAlign w:val="center"/>
            <w:tcMar>
              <w:top w:w="120" w:type="dxa"/>
              <w:start w:w="120" w:type="dxa"/>
              <w:bottom w:w="120" w:type="dxa"/>
              <w:end w:w="120" w:type="dxa"/>
            </w:tcMar>
          </w:tcPr>
          <w:p>
            <w:pPr>
              <w:spacing w:after="0"/>
            </w:pPr>
            <w:r/>
            <w:r>
              <w:rPr>
                <w:rFonts w:ascii="Calibri" w:hAnsi="Calibri"/>
                <w:b w:val="0"/>
                <w:color w:val="0B2545"/>
                <w:sz w:val="21"/>
              </w:rPr>
              <w:t>Application web, pages publiques et interface d’administration.</w:t>
            </w:r>
          </w:p>
        </w:tc>
      </w:tr>
      <w:tr>
        <w:tc>
          <w:tcPr>
            <w:tcW w:type="dxa" w:w="4680"/>
            <w:vAlign w:val="center"/>
            <w:tcMar>
              <w:top w:w="120" w:type="dxa"/>
              <w:start w:w="120" w:type="dxa"/>
              <w:bottom w:w="120" w:type="dxa"/>
              <w:end w:w="120" w:type="dxa"/>
            </w:tcMar>
          </w:tcPr>
          <w:p>
            <w:pPr>
              <w:spacing w:after="0"/>
            </w:pPr>
            <w:r/>
            <w:r>
              <w:rPr>
                <w:rFonts w:ascii="Calibri" w:hAnsi="Calibri"/>
                <w:b/>
                <w:color w:val="0B2545"/>
                <w:sz w:val="21"/>
              </w:rPr>
              <w:t>Supabase Auth</w:t>
            </w:r>
          </w:p>
        </w:tc>
        <w:tc>
          <w:tcPr>
            <w:tcW w:type="dxa" w:w="4680"/>
            <w:vAlign w:val="center"/>
            <w:tcMar>
              <w:top w:w="120" w:type="dxa"/>
              <w:start w:w="120" w:type="dxa"/>
              <w:bottom w:w="120" w:type="dxa"/>
              <w:end w:w="120" w:type="dxa"/>
            </w:tcMar>
          </w:tcPr>
          <w:p>
            <w:pPr>
              <w:spacing w:after="0"/>
            </w:pPr>
            <w:r/>
            <w:r>
              <w:rPr>
                <w:rFonts w:ascii="Calibri" w:hAnsi="Calibri"/>
                <w:b w:val="0"/>
                <w:color w:val="0B2545"/>
                <w:sz w:val="21"/>
              </w:rPr>
              <w:t>Connexion et gestion de session des utilisateurs.</w:t>
            </w:r>
          </w:p>
        </w:tc>
      </w:tr>
      <w:tr>
        <w:tc>
          <w:tcPr>
            <w:tcW w:type="dxa" w:w="4680"/>
            <w:vAlign w:val="center"/>
            <w:tcMar>
              <w:top w:w="120" w:type="dxa"/>
              <w:start w:w="120" w:type="dxa"/>
              <w:bottom w:w="120" w:type="dxa"/>
              <w:end w:w="120" w:type="dxa"/>
            </w:tcMar>
          </w:tcPr>
          <w:p>
            <w:pPr>
              <w:spacing w:after="0"/>
            </w:pPr>
            <w:r/>
            <w:r>
              <w:rPr>
                <w:rFonts w:ascii="Calibri" w:hAnsi="Calibri"/>
                <w:b/>
                <w:color w:val="0B2545"/>
                <w:sz w:val="21"/>
              </w:rPr>
              <w:t>Supabase Database</w:t>
            </w:r>
          </w:p>
        </w:tc>
        <w:tc>
          <w:tcPr>
            <w:tcW w:type="dxa" w:w="4680"/>
            <w:vAlign w:val="center"/>
            <w:tcMar>
              <w:top w:w="120" w:type="dxa"/>
              <w:start w:w="120" w:type="dxa"/>
              <w:bottom w:w="120" w:type="dxa"/>
              <w:end w:w="120" w:type="dxa"/>
            </w:tcMar>
          </w:tcPr>
          <w:p>
            <w:pPr>
              <w:spacing w:after="0"/>
            </w:pPr>
            <w:r/>
            <w:r>
              <w:rPr>
                <w:rFonts w:ascii="Calibri" w:hAnsi="Calibri"/>
                <w:b w:val="0"/>
                <w:color w:val="0B2545"/>
                <w:sz w:val="21"/>
              </w:rPr>
              <w:t>Services, commandes, clients, factures, paiements et paramètres.</w:t>
            </w:r>
          </w:p>
        </w:tc>
      </w:tr>
      <w:tr>
        <w:tc>
          <w:tcPr>
            <w:tcW w:type="dxa" w:w="4680"/>
            <w:vAlign w:val="center"/>
            <w:tcMar>
              <w:top w:w="120" w:type="dxa"/>
              <w:start w:w="120" w:type="dxa"/>
              <w:bottom w:w="120" w:type="dxa"/>
              <w:end w:w="120" w:type="dxa"/>
            </w:tcMar>
          </w:tcPr>
          <w:p>
            <w:pPr>
              <w:spacing w:after="0"/>
            </w:pPr>
            <w:r/>
            <w:r>
              <w:rPr>
                <w:rFonts w:ascii="Calibri" w:hAnsi="Calibri"/>
                <w:b/>
                <w:color w:val="0B2545"/>
                <w:sz w:val="21"/>
              </w:rPr>
              <w:t>RLS</w:t>
            </w:r>
          </w:p>
        </w:tc>
        <w:tc>
          <w:tcPr>
            <w:tcW w:type="dxa" w:w="4680"/>
            <w:vAlign w:val="center"/>
            <w:tcMar>
              <w:top w:w="120" w:type="dxa"/>
              <w:start w:w="120" w:type="dxa"/>
              <w:bottom w:w="120" w:type="dxa"/>
              <w:end w:w="120" w:type="dxa"/>
            </w:tcMar>
          </w:tcPr>
          <w:p>
            <w:pPr>
              <w:spacing w:after="0"/>
            </w:pPr>
            <w:r/>
            <w:r>
              <w:rPr>
                <w:rFonts w:ascii="Calibri" w:hAnsi="Calibri"/>
                <w:b w:val="0"/>
                <w:color w:val="0B2545"/>
                <w:sz w:val="21"/>
              </w:rPr>
              <w:t>Limitation des accès aux données d’administration.</w:t>
            </w:r>
          </w:p>
        </w:tc>
      </w:tr>
      <w:tr>
        <w:tc>
          <w:tcPr>
            <w:tcW w:type="dxa" w:w="4680"/>
            <w:vAlign w:val="center"/>
            <w:tcMar>
              <w:top w:w="120" w:type="dxa"/>
              <w:start w:w="120" w:type="dxa"/>
              <w:bottom w:w="120" w:type="dxa"/>
              <w:end w:w="120" w:type="dxa"/>
            </w:tcMar>
          </w:tcPr>
          <w:p>
            <w:pPr>
              <w:spacing w:after="0"/>
            </w:pPr>
            <w:r/>
            <w:r>
              <w:rPr>
                <w:rFonts w:ascii="Calibri" w:hAnsi="Calibri"/>
                <w:b/>
                <w:color w:val="0B2545"/>
                <w:sz w:val="21"/>
              </w:rPr>
              <w:t>jsPDF</w:t>
            </w:r>
          </w:p>
        </w:tc>
        <w:tc>
          <w:tcPr>
            <w:tcW w:type="dxa" w:w="4680"/>
            <w:vAlign w:val="center"/>
            <w:tcMar>
              <w:top w:w="120" w:type="dxa"/>
              <w:start w:w="120" w:type="dxa"/>
              <w:bottom w:w="120" w:type="dxa"/>
              <w:end w:w="120" w:type="dxa"/>
            </w:tcMar>
          </w:tcPr>
          <w:p>
            <w:pPr>
              <w:spacing w:after="0"/>
            </w:pPr>
            <w:r/>
            <w:r>
              <w:rPr>
                <w:rFonts w:ascii="Calibri" w:hAnsi="Calibri"/>
                <w:b w:val="0"/>
                <w:color w:val="0B2545"/>
                <w:sz w:val="21"/>
              </w:rPr>
              <w:t>Production de la facture téléchargeable après commande.</w:t>
            </w:r>
          </w:p>
        </w:tc>
      </w:tr>
    </w:tbl>
    <w:p>
      <w:pPr>
        <w:pStyle w:val="Heading1"/>
      </w:pPr>
      <w:r>
        <w:t>5. Sécurité et données</w:t>
      </w:r>
    </w:p>
    <w:p>
      <w:pPr>
        <w:pStyle w:val="ListBullet"/>
      </w:pPr>
      <w:r>
        <w:t>Aucune vraie donnée de carte ne doit être saisie dans le mode test.</w:t>
      </w:r>
    </w:p>
    <w:p>
      <w:pPr>
        <w:pStyle w:val="ListBullet"/>
      </w:pPr>
      <w:r>
        <w:t>Les clés privées ou API ne doivent jamais être placées dans les variables VITE_ du front-end.</w:t>
      </w:r>
    </w:p>
    <w:p>
      <w:pPr>
        <w:pStyle w:val="ListBullet"/>
      </w:pPr>
      <w:r>
        <w:t>Les politiques RLS Supabase doivent être appliquées avant la publication.</w:t>
      </w:r>
    </w:p>
    <w:p>
      <w:pPr>
        <w:pStyle w:val="ListBullet"/>
      </w:pPr>
      <w:r>
        <w:t>Les comptes administrateurs doivent être explicitement autorisés une fois Supabase configuré.</w:t>
      </w:r>
    </w:p>
    <w:p>
      <w:pPr>
        <w:pStyle w:val="ListBullet"/>
      </w:pPr>
      <w:r>
        <w:t>Le site doit être déployé uniquement derrière HTTPS avec un domaine de production.</w:t>
      </w:r>
    </w:p>
    <w:p>
      <w:pPr>
        <w:pStyle w:val="Heading2"/>
      </w:pPr>
      <w:r>
        <w:t>Limites actuelles</w:t>
      </w:r>
    </w:p>
    <w:p>
      <w:r>
        <w:t>La version actuelle est une démonstration. Le paiement par carte réel est désactivé à la demande. Les migrations Supabase doivent être exécutées afin d’activer la persistance sécurisée des clients, factures et paiements dans la base distante.</w:t>
      </w:r>
    </w:p>
    <w:p>
      <w:pPr>
        <w:pStyle w:val="Heading1"/>
      </w:pPr>
      <w:r>
        <w:t>6. Mise en production : checklist</w:t>
      </w:r>
    </w:p>
    <w:p>
      <w:pPr>
        <w:pStyle w:val="ListNumber"/>
      </w:pPr>
      <w:r>
        <w:t>Déployer le site sur un hébergeur compatible HTTPS (Vercel, Netlify ou hébergeur interne).</w:t>
      </w:r>
    </w:p>
    <w:p>
      <w:pPr>
        <w:pStyle w:val="ListNumber"/>
      </w:pPr>
      <w:r>
        <w:t>Connecter le nom de domaine et vérifier le certificat HTTPS.</w:t>
      </w:r>
    </w:p>
    <w:p>
      <w:pPr>
        <w:pStyle w:val="ListNumber"/>
      </w:pPr>
      <w:r>
        <w:t>Exécuter les migrations du dossier supabase/migrations dans Supabase SQL Editor.</w:t>
      </w:r>
    </w:p>
    <w:p>
      <w:pPr>
        <w:pStyle w:val="ListNumber"/>
      </w:pPr>
      <w:r>
        <w:t>Créer le premier compte et lui attribuer le rôle administrateur.</w:t>
      </w:r>
    </w:p>
    <w:p>
      <w:pPr>
        <w:pStyle w:val="ListNumber"/>
      </w:pPr>
      <w:r>
        <w:t>Définir VITE_REQUIRE_ADMIN_ROLE=true sur l’hébergement après le test des rôles.</w:t>
      </w:r>
    </w:p>
    <w:p>
      <w:pPr>
        <w:pStyle w:val="ListNumber"/>
      </w:pPr>
      <w:r>
        <w:t>Renseigner les informations légales de l’entreprise et faire valider le format des factures par le comptable.</w:t>
      </w:r>
    </w:p>
    <w:p>
      <w:pPr>
        <w:pStyle w:val="ListNumber"/>
      </w:pPr>
      <w:r>
        <w:t>Effectuer un test de commande complet et vérifier le PDF téléchargé.</w:t>
      </w:r>
    </w:p>
    <w:p>
      <w:pPr>
        <w:pStyle w:val="Heading1"/>
      </w:pPr>
      <w:r>
        <w:t>7. Livrables et fichiers utiles</w:t>
      </w:r>
    </w:p>
    <w:tbl>
      <w:tblPr>
        <w:tblStyle w:val="TableGrid"/>
        <w:tblW w:type="auto" w:w="0"/>
        <w:tblLayout w:type="fixed"/>
        <w:tblLook w:firstColumn="1" w:firstRow="1" w:lastColumn="0" w:lastRow="0" w:noHBand="0" w:noVBand="1" w:val="04A0"/>
      </w:tblPr>
      <w:tblGrid>
        <w:gridCol w:w="4680"/>
        <w:gridCol w:w="4680"/>
      </w:tblGrid>
      <w:tr>
        <w:tc>
          <w:tcPr>
            <w:tcW w:type="dxa" w:w="3312"/>
            <w:shd w:fill="F2F4F7"/>
            <w:vAlign w:val="center"/>
            <w:tcMar>
              <w:top w:w="120" w:type="dxa"/>
              <w:start w:w="120" w:type="dxa"/>
              <w:bottom w:w="120" w:type="dxa"/>
              <w:end w:w="120" w:type="dxa"/>
            </w:tcMar>
          </w:tcPr>
          <w:p>
            <w:pPr>
              <w:spacing w:after="0"/>
            </w:pPr>
            <w:r/>
            <w:r>
              <w:rPr>
                <w:rFonts w:ascii="Calibri" w:hAnsi="Calibri"/>
                <w:b/>
                <w:color w:val="0B2545"/>
                <w:sz w:val="21"/>
              </w:rPr>
              <w:t>Fichier / dossier</w:t>
            </w:r>
          </w:p>
        </w:tc>
        <w:tc>
          <w:tcPr>
            <w:tcW w:type="dxa" w:w="6048"/>
            <w:shd w:fill="F2F4F7"/>
            <w:vAlign w:val="center"/>
            <w:tcMar>
              <w:top w:w="120" w:type="dxa"/>
              <w:start w:w="120" w:type="dxa"/>
              <w:bottom w:w="120" w:type="dxa"/>
              <w:end w:w="120" w:type="dxa"/>
            </w:tcMar>
          </w:tcPr>
          <w:p>
            <w:pPr>
              <w:spacing w:after="0"/>
            </w:pPr>
            <w:r/>
            <w:r>
              <w:rPr>
                <w:rFonts w:ascii="Calibri" w:hAnsi="Calibri"/>
                <w:b/>
                <w:color w:val="0B2545"/>
                <w:sz w:val="21"/>
              </w:rPr>
              <w:t>Utilité</w:t>
            </w:r>
          </w:p>
        </w:tc>
      </w:tr>
      <w:tr>
        <w:tc>
          <w:tcPr>
            <w:tcW w:type="dxa" w:w="4680"/>
            <w:vAlign w:val="center"/>
            <w:tcMar>
              <w:top w:w="120" w:type="dxa"/>
              <w:start w:w="120" w:type="dxa"/>
              <w:bottom w:w="120" w:type="dxa"/>
              <w:end w:w="120" w:type="dxa"/>
            </w:tcMar>
          </w:tcPr>
          <w:p>
            <w:pPr>
              <w:spacing w:after="0"/>
            </w:pPr>
            <w:r/>
            <w:r>
              <w:rPr>
                <w:rFonts w:ascii="Calibri" w:hAnsi="Calibri"/>
                <w:b/>
                <w:color w:val="0B2545"/>
                <w:sz w:val="21"/>
              </w:rPr>
              <w:t>src/</w:t>
            </w:r>
          </w:p>
        </w:tc>
        <w:tc>
          <w:tcPr>
            <w:tcW w:type="dxa" w:w="4680"/>
            <w:vAlign w:val="center"/>
            <w:tcMar>
              <w:top w:w="120" w:type="dxa"/>
              <w:start w:w="120" w:type="dxa"/>
              <w:bottom w:w="120" w:type="dxa"/>
              <w:end w:w="120" w:type="dxa"/>
            </w:tcMar>
          </w:tcPr>
          <w:p>
            <w:pPr>
              <w:spacing w:after="0"/>
            </w:pPr>
            <w:r/>
            <w:r>
              <w:rPr>
                <w:rFonts w:ascii="Calibri" w:hAnsi="Calibri"/>
                <w:b w:val="0"/>
                <w:color w:val="0B2545"/>
                <w:sz w:val="21"/>
              </w:rPr>
              <w:t>Code de l’application React.</w:t>
            </w:r>
          </w:p>
        </w:tc>
      </w:tr>
      <w:tr>
        <w:tc>
          <w:tcPr>
            <w:tcW w:type="dxa" w:w="4680"/>
            <w:vAlign w:val="center"/>
            <w:tcMar>
              <w:top w:w="120" w:type="dxa"/>
              <w:start w:w="120" w:type="dxa"/>
              <w:bottom w:w="120" w:type="dxa"/>
              <w:end w:w="120" w:type="dxa"/>
            </w:tcMar>
          </w:tcPr>
          <w:p>
            <w:pPr>
              <w:spacing w:after="0"/>
            </w:pPr>
            <w:r/>
            <w:r>
              <w:rPr>
                <w:rFonts w:ascii="Calibri" w:hAnsi="Calibri"/>
                <w:b/>
                <w:color w:val="0B2545"/>
                <w:sz w:val="21"/>
              </w:rPr>
              <w:t>supabase/migrations/</w:t>
            </w:r>
          </w:p>
        </w:tc>
        <w:tc>
          <w:tcPr>
            <w:tcW w:type="dxa" w:w="4680"/>
            <w:vAlign w:val="center"/>
            <w:tcMar>
              <w:top w:w="120" w:type="dxa"/>
              <w:start w:w="120" w:type="dxa"/>
              <w:bottom w:w="120" w:type="dxa"/>
              <w:end w:w="120" w:type="dxa"/>
            </w:tcMar>
          </w:tcPr>
          <w:p>
            <w:pPr>
              <w:spacing w:after="0"/>
            </w:pPr>
            <w:r/>
            <w:r>
              <w:rPr>
                <w:rFonts w:ascii="Calibri" w:hAnsi="Calibri"/>
                <w:b w:val="0"/>
                <w:color w:val="0B2545"/>
                <w:sz w:val="21"/>
              </w:rPr>
              <w:t>Schéma et règles de sécurité Supabase.</w:t>
            </w:r>
          </w:p>
        </w:tc>
      </w:tr>
      <w:tr>
        <w:tc>
          <w:tcPr>
            <w:tcW w:type="dxa" w:w="4680"/>
            <w:vAlign w:val="center"/>
            <w:tcMar>
              <w:top w:w="120" w:type="dxa"/>
              <w:start w:w="120" w:type="dxa"/>
              <w:bottom w:w="120" w:type="dxa"/>
              <w:end w:w="120" w:type="dxa"/>
            </w:tcMar>
          </w:tcPr>
          <w:p>
            <w:pPr>
              <w:spacing w:after="0"/>
            </w:pPr>
            <w:r/>
            <w:r>
              <w:rPr>
                <w:rFonts w:ascii="Calibri" w:hAnsi="Calibri"/>
                <w:b/>
                <w:color w:val="0B2545"/>
                <w:sz w:val="21"/>
              </w:rPr>
              <w:t>PRODUCTION_SETUP.md</w:t>
            </w:r>
          </w:p>
        </w:tc>
        <w:tc>
          <w:tcPr>
            <w:tcW w:type="dxa" w:w="4680"/>
            <w:vAlign w:val="center"/>
            <w:tcMar>
              <w:top w:w="120" w:type="dxa"/>
              <w:start w:w="120" w:type="dxa"/>
              <w:bottom w:w="120" w:type="dxa"/>
              <w:end w:w="120" w:type="dxa"/>
            </w:tcMar>
          </w:tcPr>
          <w:p>
            <w:pPr>
              <w:spacing w:after="0"/>
            </w:pPr>
            <w:r/>
            <w:r>
              <w:rPr>
                <w:rFonts w:ascii="Calibri" w:hAnsi="Calibri"/>
                <w:b w:val="0"/>
                <w:color w:val="0B2545"/>
                <w:sz w:val="21"/>
              </w:rPr>
              <w:t>Procédure d’activation de la base, des rôles et du HTTPS.</w:t>
            </w:r>
          </w:p>
        </w:tc>
      </w:tr>
      <w:tr>
        <w:tc>
          <w:tcPr>
            <w:tcW w:type="dxa" w:w="4680"/>
            <w:vAlign w:val="center"/>
            <w:tcMar>
              <w:top w:w="120" w:type="dxa"/>
              <w:start w:w="120" w:type="dxa"/>
              <w:bottom w:w="120" w:type="dxa"/>
              <w:end w:w="120" w:type="dxa"/>
            </w:tcMar>
          </w:tcPr>
          <w:p>
            <w:pPr>
              <w:spacing w:after="0"/>
            </w:pPr>
            <w:r/>
            <w:r>
              <w:rPr>
                <w:rFonts w:ascii="Calibri" w:hAnsi="Calibri"/>
                <w:b/>
                <w:color w:val="0B2545"/>
                <w:sz w:val="21"/>
              </w:rPr>
              <w:t>PAYMEE_SETUP.md</w:t>
            </w:r>
          </w:p>
        </w:tc>
        <w:tc>
          <w:tcPr>
            <w:tcW w:type="dxa" w:w="4680"/>
            <w:vAlign w:val="center"/>
            <w:tcMar>
              <w:top w:w="120" w:type="dxa"/>
              <w:start w:w="120" w:type="dxa"/>
              <w:bottom w:w="120" w:type="dxa"/>
              <w:end w:w="120" w:type="dxa"/>
            </w:tcMar>
          </w:tcPr>
          <w:p>
            <w:pPr>
              <w:spacing w:after="0"/>
            </w:pPr>
            <w:r/>
            <w:r>
              <w:rPr>
                <w:rFonts w:ascii="Calibri" w:hAnsi="Calibri"/>
                <w:b w:val="0"/>
                <w:color w:val="0B2545"/>
                <w:sz w:val="21"/>
              </w:rPr>
              <w:t>Préparation technique existante, non activée dans cette version.</w:t>
            </w:r>
          </w:p>
        </w:tc>
      </w:tr>
      <w:tr>
        <w:tc>
          <w:tcPr>
            <w:tcW w:type="dxa" w:w="4680"/>
            <w:vAlign w:val="center"/>
            <w:tcMar>
              <w:top w:w="120" w:type="dxa"/>
              <w:start w:w="120" w:type="dxa"/>
              <w:bottom w:w="120" w:type="dxa"/>
              <w:end w:w="120" w:type="dxa"/>
            </w:tcMar>
          </w:tcPr>
          <w:p>
            <w:pPr>
              <w:spacing w:after="0"/>
            </w:pPr>
            <w:r/>
            <w:r>
              <w:rPr>
                <w:rFonts w:ascii="Calibri" w:hAnsi="Calibri"/>
                <w:b/>
                <w:color w:val="0B2545"/>
                <w:sz w:val="21"/>
              </w:rPr>
              <w:t>package.json</w:t>
            </w:r>
          </w:p>
        </w:tc>
        <w:tc>
          <w:tcPr>
            <w:tcW w:type="dxa" w:w="4680"/>
            <w:vAlign w:val="center"/>
            <w:tcMar>
              <w:top w:w="120" w:type="dxa"/>
              <w:start w:w="120" w:type="dxa"/>
              <w:bottom w:w="120" w:type="dxa"/>
              <w:end w:w="120" w:type="dxa"/>
            </w:tcMar>
          </w:tcPr>
          <w:p>
            <w:pPr>
              <w:spacing w:after="0"/>
            </w:pPr>
            <w:r/>
            <w:r>
              <w:rPr>
                <w:rFonts w:ascii="Calibri" w:hAnsi="Calibri"/>
                <w:b w:val="0"/>
                <w:color w:val="0B2545"/>
                <w:sz w:val="21"/>
              </w:rPr>
              <w:t>Scripts de lancement, contrôle et compilation.</w:t>
            </w:r>
          </w:p>
        </w:tc>
      </w:tr>
    </w:tbl>
    <w:p>
      <w:pPr>
        <w:pStyle w:val="Heading1"/>
      </w:pPr>
      <w:r>
        <w:t>Conclusion</w:t>
      </w:r>
    </w:p>
    <w:p>
      <w:r>
        <w:t>PLM Ressource dispose d’un parcours cohérent de présentation, commande, facturation et gestion interne. Le projet est prêt pour démonstration. La mise en ligne publique exige l’application des migrations Supabase, la configuration des accès administrateurs et un déploiement HTTPS. Le paiement en ligne réel demeure hors périmètre de cette version.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Document de synthèse - version de démonstration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PLM RESSOURCE  |  RAPPORT PROJET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PLM Ressource</dc:title>
  <dc:subject/>
  <dc:creator>PLM Ressource</dc:creator>
  <cp:keywords/>
  <dc:description>generated by python-docx</dc:description>
  <cp:lastModifiedBy/>
  <cp:revision>1</cp:revision>
  <dcterms:created xsi:type="dcterms:W3CDTF">2013-12-23T23:15:00Z</dcterms:created>
  <dcterms:modified xsi:type="dcterms:W3CDTF">2013-12-23T23:15:00Z</dcterms:modified>
  <cp:category/>
</cp:coreProperties>
</file>