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- GRUPO D:</w:t>
      </w:r>
    </w:p>
    <w:tbl>
      <w:tblPr>
        <w:tblStyle w:val="Table1"/>
        <w:tblpPr w:leftFromText="180" w:rightFromText="180" w:topFromText="180" w:bottomFromText="180" w:vertAnchor="text" w:horzAnchor="text" w:tblpX="1614.0000000000005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Lavilla Pillco Elizabeth Carina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990179027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72557556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Rojas Aparicio Alejandro Fabricio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980789417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https://github.com/GabyMarconi/Taller-de-proyectos-1-Grupo-D.git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varias sesiones de trabajo colaborativo, el equipo acordó de manera conjunta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 principales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debe incluir el proyecto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Paqu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Estos fueron discutidos, priorizados y validados por todos los integrantes, con el objetivo de asegurar que la aplicación cubra tanto las necesidades pedagógicas como la experiencia de usuario.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funciones definidas son las siguientes: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Registro, autenticación y sincronización de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permitirá que cada usuario cree su cuenta, inicie sesión con correo o redes sociales, y mantenga su progreso almacenado en la nube, para poder continuar su aprendizaje en diferentes dispositivos.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de lecciones progresivas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las lecciones estarán organizadas por niveles, con actividades interactivas que incluyen imágenes, audio y ejercicios prácticos para facilitar el aprendizaje.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“Orígenes y variantes del quechua”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presentará una sección cultural que narre la historia del quechua y muestre sus diferentes variantes regionales a través de mapas e infografías.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Traductor quechua-español bidireccional con audio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permitirá traducir palabras en ambos idiomas e incluirá la opción de escuchar la pronunciación correcta mediante integración con modelos de voz basados en IA.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Diccionario y expresiones culturales típicas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repositorio temático con palabras y frases clasificadas por categorías, como saludos, comida o tradiciones, cada una con su traducción y audio.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de gamificación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incluirá minijuegos (memoria, retos contrarreloj, entre otros), junto con un sistema de logros, niveles, vidas y recompensas, para motivar a los usuarios a practicar diariamente.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de cuentos culturales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ofrecerá cuentos tradicionales andinos narrados en quechua y español, con opción de escuchar el relato en formato de audio tipo “podcast”.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Modo offline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permitirá descargar lecciones y juegos para seguir aprendiendo sin conexión a internet, con sincronización automática al reconectarse.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Panel de estadísticas y seguimiento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mostrará gráficas semanales del progreso del usuario (tiempo, lecciones completadas, rachas activas), reforzando la motivación.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de repaso espaciado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ofrecerá sesiones de revisión personalizadas, recordando al usuario las palabras justo antes de que las olvide, para consolidar el aprendizaje.</w:t>
        <w:br w:type="textWrapping"/>
      </w:r>
    </w:p>
    <w:p w:rsidR="00000000" w:rsidDel="00000000" w:rsidP="00000000" w:rsidRDefault="00000000" w:rsidRPr="00000000" w14:paraId="00000024">
      <w:pPr>
        <w:pStyle w:val="Heading2"/>
        <w:spacing w:after="80" w:before="360" w:line="259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oj4e9sj0gd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spacing w:after="80" w:before="360" w:line="259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q1ubl6gvjr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Requerimientos Tecnológicos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requerimientos fueron también discutidos y acordados de manera grupal, garantizando que los recursos seleccionados se adapten a las capacidades del equipo y a las exigencias del proyecto.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necesario: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Laptops o computadoras con sistema operativo Windows, procesadores de 4 a 8 núcleos, memoria RAM de 8 a 16 GB, y almacenamiento SSD de 256 GB o superior, lo cual asegura un entorno de desarrollo ágil y sin retrasos.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Dispositivos móviles de prueba: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Smartphones con sistema operativo Android 7.0 (API 24) o superior, de diferentes gamas y tamaños de pantalla, para validar la usabilidad en distintas condiciones.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Servidores cloud: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Servicios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proveen autenticación, base de datos en tiempo real y almacenamiento de archivos.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requerido: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Entorno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 (Java) y Visual Studio Code (Python), cubriendo tanto la programación de la aplicación como el soporte para servicios externos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Native con Expo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seleccionado por su versatilidad multiplataforma y facilidad de despliegue.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Lottie y React Native Animatable, para enriquecer la interfaz con movimientos fluidos y atractivos.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Firebase, complementado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Realm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manejo de almacenamiento offline.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 y visualización: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 Native SVG Charts, para la representación de estadísticas y progreso del usuario.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Generación de voz: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Integración con APIs de Inteligencia Artificial semi-entrenadas en quechua, que permitirán la reproducción de audio de vocabulario y narraciones.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Git, con repositorios alojados en GitHub, para asegurar un flujo de trabajo colaborativo y controlado.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diseño: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Miro, para la elaboración de prototipos, diagramas de flujo y wireframes de la aplicación.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1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i w:val="1"/>
        <w:smallCaps w:val="0"/>
        <w:strike w:val="0"/>
        <w:color w:val="000000"/>
        <w:u w:val="none"/>
        <w:shd w:fill="auto" w:val="clear"/>
        <w:vertAlign w:val="baseline"/>
        <w:rtl w:val="0"/>
      </w:rPr>
      <w:t xml:space="preserve">Taller 1 de Proyectos en Ingeniería de Sistemas e Informática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-266698</wp:posOffset>
          </wp:positionH>
          <wp:positionV relativeFrom="paragraph">
            <wp:posOffset>-123823</wp:posOffset>
          </wp:positionV>
          <wp:extent cx="1296353" cy="356307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6353" cy="356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abyMarconi/Taller-de-proyectos-1-Grupo-D.g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1bq7ruNU9fBSK9WssJyDDJ/0rw==">CgMxLjAyDmgub2o0ZTlzajBnZGVoMg5oLnExdWJsNmd2anJyejgAciExQjRSUHROZVFZbE1iRmNHUS1RTl8xQ0RPWTBwMTVKT24=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