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jc w:val="center"/>
        <w:rPr>
          <w:b w:val="1"/>
          <w:bCs w:val="1"/>
          <w:sz w:val="24"/>
          <w:szCs w:val="24"/>
        </w:rPr>
      </w:pPr>
      <w:r>
        <w:rPr>
          <w:rFonts w:ascii="Times New Roman" w:hAnsi="Times New Roman"/>
          <w:b/>
          <w:sz w:val="24"/>
        </w:rPr>
        <w:t>CLASSIFICAÇÃO TEMPORAL DE QUEDAS NA PRODUÇÃO MUNICIPAL DE LEITE NO PARANÁ COM APRENDIZADO DE MÁQUINA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b w:val="1"/>
          <w:bCs w:val="1"/>
          <w:sz w:val="18"/>
          <w:szCs w:val="18"/>
        </w:rPr>
      </w:pPr>
      <w:r>
        <w:rPr>
          <w:rFonts w:ascii="Times New Roman" w:hAnsi="Times New Roman"/>
          <w:b/>
          <w:sz w:val="17"/>
        </w:rPr>
        <w:t>Andressa Aparecida Guimarães - Universidade Estadual de Ponta Grossa (UEPG)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b w:val="1"/>
          <w:bCs w:val="1"/>
          <w:sz w:val="18"/>
          <w:szCs w:val="18"/>
        </w:rPr>
      </w:pPr>
      <w:r>
        <w:rPr>
          <w:rFonts w:ascii="Times New Roman" w:hAnsi="Times New Roman"/>
          <w:b/>
          <w:sz w:val="17"/>
        </w:rPr>
        <w:t>Gabrielly de Queiroz Pereira - Universidade Estadual de Ponta Grossa (UEPG)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b w:val="1"/>
          <w:bCs w:val="1"/>
          <w:sz w:val="18"/>
          <w:szCs w:val="18"/>
        </w:rPr>
        <w:sectPr>
          <w:headerReference r:id="rId7" w:type="default"/>
          <w:footerReference r:id="rId8" w:type="default"/>
          <w:pgSz w:h="16834" w:w="11909" w:orient="portrait"/>
          <w:pgMar w:bottom="1134" w:top="1440" w:left="1134" w:right="1134" w:header="340" w:footer="340"/>
          <w:pgNumType w:start="1"/>
        </w:sectPr>
      </w:pPr>
      <w:r>
        <w:rPr>
          <w:rFonts w:ascii="Times New Roman" w:hAnsi="Times New Roman"/>
          <w:b/>
          <w:sz w:val="17"/>
        </w:rPr>
        <w:t>Maria Salete Marcon Gomes Vaz - Universidade Estadual de Ponta Grossa (UEPG)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7"/>
        </w:rPr>
        <w:t>Resumo: Este estudo investiga um problema distinto da previsão de volumes: identificar municípios com queda anual de produção de leite igual ou superior a 10%. A partir da PPM/IBGE-SIDRA (tabela 74, produto 2682) e do painel agroclimático público já integrado, foram usados somente atributos disponíveis até t-1. Random Forest e XGBoost foram avaliados em teste temporal 2017-2019 (1.197 observações); a prevalência de quedas foi 24,1%. Os resultados ficaram próximos da referência sem queda, indicando que esses dados não sustentaram um alerta confiável neste recorte.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Palavras-chave: produção leiteira; classificação; alerta de queda; Random Forest; XGBoost.</w:t>
      </w:r>
    </w:p>
    <w:p>
      <w:pPr>
        <w:keepNext/>
        <w:spacing w:after="60" w:before="100" w:line="240" w:lineRule="auto"/>
        <w:jc w:val="left"/>
      </w:pPr>
      <w:r>
        <w:rPr>
          <w:rFonts w:ascii="Times New Roman" w:hAnsi="Times New Roman"/>
          <w:b/>
          <w:i w:val="0"/>
          <w:sz w:val="20"/>
        </w:rPr>
        <w:t>1. Introdução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A produção municipal de leite pode variar entre anos, e reconhecer retrações expressivas é um problema diferente de estimar o volume produzido. Estudos de aprendizagem de máquina no setor leiteiro concentram-se sobretudo em predição produtiva e manejo, com desempenho dependente da escala e das variáveis observadas (Slob et al., 2021; Palma et al., 2025). Em vez de estimar um valor contínuo, este estudo define uma tarefa de classificação de quedas anuais, sem inferir causas.</w:t>
      </w:r>
    </w:p>
    <w:p>
      <w:pPr>
        <w:keepNext/>
        <w:spacing w:after="60" w:before="100" w:line="240" w:lineRule="auto"/>
        <w:jc w:val="left"/>
      </w:pPr>
      <w:r>
        <w:rPr>
          <w:rFonts w:ascii="Times New Roman" w:hAnsi="Times New Roman"/>
          <w:b/>
          <w:i w:val="0"/>
          <w:sz w:val="20"/>
        </w:rPr>
        <w:t>2. Materiais e Métodos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A unidade foi município-ano, usando 399 municípios e a produção anual da PPM/IBGE, tabela SIDRA 74, produto leite 2682 (https://sidra.ibge.gov.br/tabela/74). O alvo é 1 quando (produção_t / produção_t-1) - 1 ≤ -0,10; o limiar de 10% é uma definição operacional deste estudo. O painel reutiliza fontes públicas da análise de regressão do grupo, mas muda a variável-resposta e a tarefa: classificação de quedas, não estimativa de volume. Os preditores foram produção em t-1 e t-2, crescimento até t-1, ano, código municipal e variáveis meteorológicas da estação INMET A819 de Castro agregadas ao ano anterior (https://portal.inmet.gov.br/dadoshistoricos). Não se usou clima do ano-alvo. A análise usa 2008-2019; dados ausentes nos lags necessários foram excluídos.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Compararam-se Random Forest (RF) e XGBoost (XGB) com baseline que classifica todos os casos como ‘sem queda’. Hiperparâmetros foram escolhidos por average precision em folds temporais completos de 2015 e 2016, sempre treinando em anos anteriores; o ajuste final usou dados até 2016 e teste intocado em 2017-2019. RF pesquisou 200/500 árvores, profundidade 6/12 e folha mínima 2/5, com pesos balanceados; selecionou 500, 12 e 5. XGB pesquisou 150/300 árvores, profundidade 2/4 e taxa 0,03/0,08, com amostragens 0,8; selecionou 150, 2 e 0,08. O limiar probabilístico foi fixo em 0,5. Métricas: precisão, sensibilidade (recall), F1, acurácia balanceada, average precision (AP) e ROC-AUC.</w:t>
      </w:r>
    </w:p>
    <w:p>
      <w:pPr>
        <w:keepNext/>
        <w:spacing w:after="60" w:before="100" w:line="240" w:lineRule="auto"/>
        <w:jc w:val="left"/>
      </w:pPr>
      <w:r>
        <w:rPr>
          <w:rFonts w:ascii="Times New Roman" w:hAnsi="Times New Roman"/>
          <w:b/>
          <w:i w:val="0"/>
          <w:sz w:val="20"/>
        </w:rPr>
        <w:t>3. Resultados e Discussão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AAB8B8"/>
          <w:left w:val="single" w:sz="4" w:color="AAB8B8"/>
          <w:bottom w:val="single" w:sz="4" w:color="AAB8B8"/>
          <w:right w:val="single" w:sz="4" w:color="AAB8B8"/>
          <w:insideH w:val="single" w:sz="4" w:color="AAB8B8"/>
          <w:insideV w:val="single" w:sz="4" w:color="AAB8B8"/>
        </w:tblBorders>
      </w:tblPr>
      <w:tblGrid>
        <w:gridCol w:w="1607"/>
        <w:gridCol w:w="1607"/>
        <w:gridCol w:w="1607"/>
        <w:gridCol w:w="1607"/>
        <w:gridCol w:w="1607"/>
        <w:gridCol w:w="1607"/>
      </w:tblGrid>
      <w:tr>
        <w:trPr>
          <w:cantSplit/>
          <w:tblHeader w:val="true"/>
        </w:trPr>
        <w:tc>
          <w:tcPr>
            <w:tcW w:type="dxa" w:w="1440"/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1F4E4D"/>
                <w:sz w:val="12"/>
              </w:rPr>
              <w:t>Modelo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1F4E4D"/>
                <w:sz w:val="12"/>
              </w:rPr>
              <w:t>Prec.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1F4E4D"/>
                <w:sz w:val="12"/>
              </w:rPr>
              <w:t>Sens.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1F4E4D"/>
                <w:sz w:val="12"/>
              </w:rPr>
              <w:t>F1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1F4E4D"/>
                <w:sz w:val="12"/>
              </w:rPr>
              <w:t>AP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1F4E4D"/>
                <w:sz w:val="12"/>
              </w:rPr>
              <w:t>AUC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Sem queda (baseline)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0,00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0,00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0,00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0,24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0,50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Random Forest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0,22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0,29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0,25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0,24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0,49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XGBoost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0,00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0,00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0,00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0,24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0,50</w:t>
            </w:r>
          </w:p>
        </w:tc>
      </w:tr>
    </w:tbl>
    <w:p>
      <w:pPr>
        <w:spacing w:after="0"/>
      </w:pPr>
    </w:p>
    <w:p>
      <w:pPr>
        <w:spacing w:after="20" w:before="0" w:line="240" w:lineRule="auto"/>
        <w:jc w:val="center"/>
      </w:pPr>
      <w:r>
        <w:rPr>
          <w:rFonts w:ascii="Times New Roman" w:hAnsi="Times New Roman"/>
          <w:b w:val="0"/>
          <w:i w:val="0"/>
          <w:sz w:val="13"/>
        </w:rPr>
        <w:t>Tabela 1. Métricas de classificação no teste temporal (2017-2019). Fonte: elaboração própria.</w:t>
      </w:r>
    </w:p>
    <w:p>
      <w:pPr>
        <w:keepNext/>
        <w:spacing w:after="20"/>
        <w:jc w:val="center"/>
      </w:pPr>
      <w:r>
        <w:drawing>
          <wp:inline>
            <wp:extent cx="2788920" cy="13226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ces_confusion_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1322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80" w:before="0" w:line="240" w:lineRule="auto"/>
        <w:jc w:val="center"/>
      </w:pPr>
      <w:r>
        <w:rPr>
          <w:rFonts w:ascii="Times New Roman" w:hAnsi="Times New Roman"/>
          <w:b w:val="0"/>
          <w:i w:val="0"/>
          <w:sz w:val="16"/>
        </w:rPr>
        <w:t>Figura 1. Casos reais e sinalizados pelos classificadores com limiar 0,5. Fonte: elaboração própria.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As quedas corresponderam a 24,1% do teste. O RF identificou 85 dos 289 casos (sensibilidade=0,29), mas gerou 296 falsos alertas e precisão de 0,22; sua AP (0,236) ficou abaixo da referência (0,241). O XGBoost obteve AP=0,242, praticamente igual à prevalência, e não sinalizou casos com o limiar fixo. As acurácias balanceadas foram 0,484 (RF) e 0,498 (XGB); AUCs próximas de 0,5 indicam discriminação insuficiente. Os resultados não justificam uso operacional como alerta.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A regra ‘sem queda’ acertaria a maioria das observações por causa do desbalanceamento, mas teria sensibilidade nula; por isso, acurácia simples não seria evidência de alerta útil. O RF recuperou menos de um terço das retrações e mais de três quartos dos seus avisos foram falsos. A AP próxima da prevalência mostra que ordenar municípios por risco quase não melhorou em relação ao acaso. Em aplicações reais, falsos alertas também têm custo operacional e exigiriam validação com agentes do setor.</w:t>
      </w:r>
    </w:p>
    <w:p>
      <w:pPr>
        <w:keepNext/>
        <w:spacing w:after="60" w:before="100" w:line="240" w:lineRule="auto"/>
        <w:jc w:val="left"/>
      </w:pPr>
      <w:r>
        <w:rPr>
          <w:rFonts w:ascii="Times New Roman" w:hAnsi="Times New Roman"/>
          <w:b/>
          <w:i w:val="0"/>
          <w:sz w:val="20"/>
        </w:rPr>
        <w:t>4. Conclusión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Este recorte formula uma pergunta diferente da regressão do volume anual: avaliar detecção de retrações com atributos defasados e teste cronológico. Neste experimento, RF e XGBoost não superaram a referência simples; portanto, não se recomenda implantar alertas com estas variáveis. A PPM anual e o clima de uma única estação, replicado no estado, oferecem pouca informação espacial, e a queda de 10% é uma definição operacional sensível a revisões e flutuações. Estudos futuros devem incluir clima espacializado, tamanho e estrutura do rebanho e séries mais longas, validar o limiar com especialistas e avaliar sensibilidade, calibração e validação externa.</w:t>
      </w:r>
    </w:p>
    <w:p>
      <w:pPr>
        <w:keepNext/>
        <w:spacing w:after="60" w:before="100" w:line="240" w:lineRule="auto"/>
        <w:jc w:val="left"/>
      </w:pPr>
      <w:r>
        <w:rPr>
          <w:rFonts w:ascii="Times New Roman" w:hAnsi="Times New Roman"/>
          <w:b/>
          <w:i w:val="0"/>
          <w:sz w:val="20"/>
        </w:rPr>
        <w:t>Referências</w:t>
      </w:r>
    </w:p>
    <w:p>
      <w:pPr>
        <w:spacing w:after="20" w:before="0" w:line="240" w:lineRule="auto"/>
        <w:jc w:val="left"/>
      </w:pPr>
      <w:r>
        <w:rPr>
          <w:rFonts w:ascii="Times New Roman" w:hAnsi="Times New Roman"/>
          <w:b w:val="0"/>
          <w:i w:val="0"/>
          <w:sz w:val="13"/>
        </w:rPr>
        <w:t>IBGE. Pesquisa da Pecuária Municipal, tabela SIDRA 74. https://sidra.ibge.gov.br/tabela/74. Acesso em: 20 out. 2026.</w:t>
      </w:r>
    </w:p>
    <w:p>
      <w:pPr>
        <w:spacing w:after="20" w:before="0" w:line="240" w:lineRule="auto"/>
        <w:jc w:val="left"/>
      </w:pPr>
      <w:r>
        <w:rPr>
          <w:rFonts w:ascii="Times New Roman" w:hAnsi="Times New Roman"/>
          <w:b w:val="0"/>
          <w:i w:val="0"/>
          <w:sz w:val="13"/>
        </w:rPr>
        <w:t>INMET. Dados históricos de estações meteorológicas. https://portal.inmet.gov.br/dadoshistoricos. Acesso em: 20 out. 2026.</w:t>
      </w:r>
    </w:p>
    <w:p>
      <w:pPr>
        <w:spacing w:after="20" w:before="0" w:line="240" w:lineRule="auto"/>
        <w:jc w:val="left"/>
      </w:pPr>
      <w:r>
        <w:rPr>
          <w:rFonts w:ascii="Times New Roman" w:hAnsi="Times New Roman"/>
          <w:b w:val="0"/>
          <w:i w:val="0"/>
          <w:sz w:val="13"/>
        </w:rPr>
        <w:t>PALMA, O. et al. AI and data analytics in the dairy farms: a scoping review. Animals, 15(9), 1291, 2025. doi:10.3390/ani15091291.</w:t>
      </w:r>
    </w:p>
    <w:p>
      <w:pPr>
        <w:spacing w:after="20" w:before="0" w:line="240" w:lineRule="auto"/>
        <w:jc w:val="left"/>
      </w:pPr>
      <w:r>
        <w:rPr>
          <w:rFonts w:ascii="Times New Roman" w:hAnsi="Times New Roman"/>
          <w:b w:val="0"/>
          <w:i w:val="0"/>
          <w:sz w:val="13"/>
        </w:rPr>
        <w:t>SLOB, N.; CATAL, C.; KASSAHUN, A. Application of machine learning to improve dairy farm management. Preventive Veterinary Medicine, 187, 105237, 2021. doi:10.1016/j.prevetmed.2020.105237.</w:t>
      </w:r>
    </w:p>
    <w:sectPr>
      <w:type w:val="continuous"/>
      <w:pgSz w:h="16834" w:w="11909" w:orient="portrait"/>
      <w:pgMar w:bottom="1440" w:top="1440" w:left="1134" w:right="1134" w:header="340" w:footer="340"/>
      <w:cols w:equalWidth="0" w:num="2">
        <w:col w:space="720" w:w="4458.88"/>
        <w:col w:space="0" w:w="4458.8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spacing w:line="276" w:lineRule="auto"/>
      <w:ind w:left="-566.9291338582677" w:right="-597.7952755905517" w:firstLine="0"/>
      <w:rPr/>
    </w:pPr>
    <w:r w:rsidDel="00000000" w:rsidR="00000000" w:rsidRPr="00000000">
      <w:rPr/>
      <w:drawing>
        <wp:inline distB="114300" distT="114300" distL="114300" distR="114300">
          <wp:extent cx="6542813" cy="762000"/>
          <wp:effectExtent b="0" l="0" r="0" t="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1509" l="0" r="0" t="22431"/>
                  <a:stretch>
                    <a:fillRect/>
                  </a:stretch>
                </pic:blipFill>
                <pic:spPr>
                  <a:xfrm>
                    <a:off x="0" y="0"/>
                    <a:ext cx="6542813" cy="7620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spacing w:line="240" w:lineRule="auto"/>
      <w:ind w:left="-566.9291338582677" w:firstLine="0"/>
      <w:jc w:val="center"/>
      <w:rPr/>
    </w:pPr>
    <w:r w:rsidDel="00000000" w:rsidR="00000000" w:rsidRPr="00000000">
      <w:rPr/>
      <w:drawing>
        <wp:inline distB="114300" distT="114300" distL="114300" distR="114300">
          <wp:extent cx="6464138" cy="847725"/>
          <wp:effectExtent b="0" l="0" r="0" t="0"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20520" l="0" r="0" t="16802"/>
                  <a:stretch>
                    <a:fillRect/>
                  </a:stretch>
                </pic:blipFill>
                <pic:spPr>
                  <a:xfrm>
                    <a:off x="0" y="0"/>
                    <a:ext cx="6464138" cy="84772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0" Type="http://schemas.openxmlformats.org/officeDocument/2006/relationships/image" Target="media/image4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+MN5Z455Jk1R074sd4DRP1u8yQ==">CgMxLjA4AHIhMWNEN3BJU2NLLXl2YXpHWFhnTmpYVkJNSU4tUmttODRy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