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b w:val="1"/>
          <w:bCs w:val="1"/>
          <w:sz w:val="24"/>
          <w:szCs w:val="24"/>
        </w:rPr>
      </w:pPr>
      <w:r>
        <w:rPr>
          <w:rFonts w:ascii="Times New Roman" w:hAnsi="Times New Roman"/>
          <w:b/>
          <w:sz w:val="24"/>
        </w:rPr>
        <w:t>PREDIÇÃO DA PRODUÇÃO MUNICIPAL DE LEITE NO PARANÁ: COMPARAÇÃO TEMPORAL DE MODELOS DE APRENDIZADO DE MÁQUINA E DADOS AGROCLIMÁTICOS PÚBLICOS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18"/>
          <w:szCs w:val="18"/>
        </w:rPr>
      </w:pPr>
      <w:r>
        <w:rPr>
          <w:rFonts w:ascii="Times New Roman" w:hAnsi="Times New Roman"/>
          <w:b/>
          <w:sz w:val="17"/>
        </w:rPr>
        <w:t>Andressa Aparecida Guimarães - Universidade Estadual de Ponta Grossa (UEPG)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sz w:val="18"/>
          <w:szCs w:val="18"/>
        </w:rPr>
      </w:pPr>
      <w:r>
        <w:rPr>
          <w:rFonts w:ascii="Times New Roman" w:hAnsi="Times New Roman"/>
          <w:b/>
          <w:sz w:val="17"/>
        </w:rPr>
        <w:t>Gabrielly de Queiroz Pereira - Universidade Estadual de Ponta Grossa (UEPG)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18"/>
          <w:szCs w:val="18"/>
        </w:rPr>
        <w:sectPr>
          <w:headerReference r:id="rId7" w:type="default"/>
          <w:footerReference r:id="rId8" w:type="default"/>
          <w:pgSz w:h="16834" w:w="11909" w:orient="portrait"/>
          <w:pgMar w:bottom="1134" w:top="1440" w:left="1134" w:right="1134" w:header="340" w:footer="340"/>
          <w:pgNumType w:start="1"/>
        </w:sectPr>
      </w:pPr>
      <w:r>
        <w:rPr>
          <w:rFonts w:ascii="Times New Roman" w:hAnsi="Times New Roman"/>
          <w:b/>
          <w:sz w:val="17"/>
        </w:rPr>
        <w:t>Maria Salete Marcon Gomes Vaz - Universidade Estadual de Ponta Grossa (UEPG)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Resumo: Compara-se a previsão anual da produção municipal de leite no Paraná usando dados públicos agropecuários e meteorológicos. Integraram-se a PPM/IBGE-SIDRA e dados horários da estação INMET A819, em Castro/PR, agregados por ano. O painel contém 5,586 observações de 399 municípios (2006-2019). Foram avaliados persistência lag-1, Random Forest e XGBoost, com teste temporal em 2017-2019. A persistência apresentou o menor RMSE (2.974 mil litros), superando RF (3.959) e XGBoost (6.267). O resultado evidencia a força do histórico produtivo e a necessidade de validar modelos complexos contra uma referência simples.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Palavras-chave: produção de leite; previsão municipal; dados públicos; Random Forest; XGBoost.</w:t>
      </w:r>
    </w:p>
    <w:p>
      <w:pPr>
        <w:keepNext/>
        <w:spacing w:after="60" w:before="10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1. Introdução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A aprendizagem de máquina tem sido aplicada à predição de produção leiteira em escalas que vão de rebanhos a séries nacionais, com desempenho dependente da escala e dos dados disponíveis (Samson et al., 2023; Slob et al., 2021). O histórico produtivo pode ser mais informativo que o clima em certos contextos, tornando essencial a comparação com baselines temporais (Gasser et al., 2023). Este estudo avalia modelos para prever a produção anual de leite dos municípios paranaenses com dados públicos agropecuários e agroclimáticos.</w:t>
      </w:r>
    </w:p>
    <w:p>
      <w:pPr>
        <w:keepNext/>
        <w:spacing w:after="60" w:before="10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2. Materiais e Métodos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A variável-alvo foi a produção de leite (mil litros) da PPM, tabela SIDRA 74, produto 2682 (IBGE, https://sidra.ibge.gov.br/tabela/74). As covariáveis climáticas vieram dos registros horários históricos da estação automática INMET A819, Castro/PR (https://portal.inmet.gov.br/dadoshistoricos), agregados anualmente: precipitação, temperaturas, radiação, umidade, vento e dias secos aproximados. A junção por ano gerou 5.586 registros de 399 municípios em 2006-2019. Foram calculados lag-1, lag-2, média dos três anos anteriores e crescimento defasado; o sinal climático de Castro é comum a todos os municípios.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Compararam-se a persistência (previsão = produção do ano anterior), Random Forest (Breiman, 2001) e XGBoost (Chen; Guestrin, 2016), com alvo log(1+y) nos modelos de ML. Treino: 2008-2016; seleção por RMSE em folds anuais de 2015 e 2016, treinando sempre em anos anteriores; teste intocado: 2017-2019 (1.197 observações por modelo). A previsão é de um passo à frente, atualizada com a produção observada do ano precedente. Busca e selecionados: RF, árvores 100/300, profundidade 8/ilimitada (100/8), folha mínima 2; XGBoost, árvores 100/300, profundidade 2/4 (300/4), taxa 0,05, amostragens de linhas/atributos 0,8. Métricas: MAE, RMSE, R² e MAPE.</w:t>
      </w:r>
    </w:p>
    <w:p>
      <w:pPr>
        <w:keepNext/>
        <w:spacing w:after="60" w:before="10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3. Resultados e Discussão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B8"/>
          <w:left w:val="single" w:sz="4" w:color="AAB8B8"/>
          <w:bottom w:val="single" w:sz="4" w:color="AAB8B8"/>
          <w:right w:val="single" w:sz="4" w:color="AAB8B8"/>
          <w:insideH w:val="single" w:sz="4" w:color="AAB8B8"/>
          <w:insideV w:val="single" w:sz="4" w:color="AAB8B8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325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3"/>
              </w:rPr>
              <w:t>Modelo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3"/>
              </w:rPr>
              <w:t>MAE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3"/>
              </w:rPr>
              <w:t>RMSE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3"/>
              </w:rPr>
              <w:t>R²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1F4E4D"/>
                <w:sz w:val="13"/>
              </w:rPr>
              <w:t>MAPE</w:t>
            </w:r>
          </w:p>
        </w:tc>
      </w:tr>
      <w:tr>
        <w:trPr>
          <w:cantSplit/>
        </w:trPr>
        <w:tc>
          <w:tcPr>
            <w:tcW w:type="dxa" w:w="132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Persistencia lag-1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1.139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2.974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0,980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20,0%</w:t>
            </w:r>
          </w:p>
        </w:tc>
      </w:tr>
      <w:tr>
        <w:trPr>
          <w:cantSplit/>
        </w:trPr>
        <w:tc>
          <w:tcPr>
            <w:tcW w:type="dxa" w:w="132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Random Forest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1.521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3.959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0,964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23,5%</w:t>
            </w:r>
          </w:p>
        </w:tc>
      </w:tr>
      <w:tr>
        <w:trPr>
          <w:cantSplit/>
        </w:trPr>
        <w:tc>
          <w:tcPr>
            <w:tcW w:type="dxa" w:w="1325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XGBoost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1.663</w:t>
            </w:r>
          </w:p>
        </w:tc>
        <w:tc>
          <w:tcPr>
            <w:tcW w:type="dxa" w:w="69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6.267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0,911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3"/>
              </w:rPr>
              <w:t>23,4%</w:t>
            </w:r>
          </w:p>
        </w:tc>
      </w:tr>
    </w:tbl>
    <w:p>
      <w:pPr>
        <w:spacing w:after="0"/>
      </w:pPr>
    </w:p>
    <w:p>
      <w:pPr>
        <w:spacing w:after="20" w:before="0" w:line="240" w:lineRule="auto"/>
        <w:jc w:val="center"/>
      </w:pPr>
      <w:r>
        <w:rPr>
          <w:rFonts w:ascii="Times New Roman" w:hAnsi="Times New Roman"/>
          <w:b w:val="0"/>
          <w:i w:val="0"/>
          <w:sz w:val="14"/>
        </w:rPr>
        <w:t>Tabela 1. Métricas no teste (MAE/RMSE em mil litros). Fonte: elaboração própria.</w:t>
      </w:r>
    </w:p>
    <w:p>
      <w:pPr>
        <w:keepNext/>
        <w:spacing w:after="20"/>
        <w:jc w:val="center"/>
      </w:pPr>
      <w:r>
        <w:drawing>
          <wp:inline>
            <wp:extent cx="2788920" cy="1184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resumo_uma_pagi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18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80" w:before="0" w:line="240" w:lineRule="auto"/>
        <w:jc w:val="center"/>
      </w:pPr>
      <w:r>
        <w:rPr>
          <w:rFonts w:ascii="Times New Roman" w:hAnsi="Times New Roman"/>
          <w:b w:val="0"/>
          <w:i w:val="0"/>
          <w:sz w:val="16"/>
        </w:rPr>
        <w:t>Figura 1. RMSE no período de teste; menor valor indica menor erro. Fonte: elaboração própria.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A persistência superou o melhor modelo de ML (Random Forest) em 985 mil litros de RMSE; seu R² foi 0,980, contra 0,964 do RF. A importância do lag-1 no RF (97,2%) confirma o peso do histórico, mas não demonstra causalidade. O erro agregado também pode ocultar diferenças entre municípios pequenos e grandes.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A persistência também teve MAPE de 20,0%, ante 23,5% no RF e 23,4% no XGBoost. O R² agregado deve ser interpretado junto aos erros absolutos e percentuais, pois a amplitude de produção entre municípios pode elevar o ajuste global sem assegurar precisão uniforme. O RMSE do XGBoost, muito acima do seu MAE, indica penalização de alguns erros grandes. Assim, a persistência serve como referência para acompanhamento municipal, não para estimar coleta em fazendas individuais.</w:t>
      </w:r>
    </w:p>
    <w:p>
      <w:pPr>
        <w:keepNext/>
        <w:spacing w:after="60" w:before="10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4. Conclusão</w:t>
      </w:r>
    </w:p>
    <w:p>
      <w:pPr>
        <w:spacing w:after="60" w:before="0" w:line="240" w:lineRule="auto"/>
        <w:jc w:val="both"/>
      </w:pPr>
      <w:r>
        <w:rPr>
          <w:rFonts w:ascii="Times New Roman" w:hAnsi="Times New Roman"/>
          <w:b w:val="0"/>
          <w:i w:val="0"/>
          <w:sz w:val="17"/>
        </w:rPr>
        <w:t>O histórico do ano anterior foi a referência mais precisa neste recorte; RF e XGBoost não trouxeram ganho sobre a persistência. A análise é limitada pela série de teste curta e pelo uso de uma única estação climática replicada no Paraná, sem dados por fazenda ou manejo. Próximos estudos devem testar clima espacializado, mais anos e validação externa com cooperativas ou laticínios.</w:t>
      </w:r>
    </w:p>
    <w:p>
      <w:pPr>
        <w:keepNext/>
        <w:spacing w:after="60" w:before="100" w:line="240" w:lineRule="auto"/>
        <w:jc w:val="left"/>
      </w:pPr>
      <w:r>
        <w:rPr>
          <w:rFonts w:ascii="Times New Roman" w:hAnsi="Times New Roman"/>
          <w:b/>
          <w:i w:val="0"/>
          <w:sz w:val="20"/>
        </w:rPr>
        <w:t>Referências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BREIMAN, L. Random forests. Machine Learning, 45, 5-32, 2001. doi:10.1023/A:1010933404324.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CHEN, T.; GUESTRIN, C. XGBoost: a scalable tree boosting system. KDD, p. 785-794, 2016. doi:10.1145/2939672.2939785.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GASSER, L.; PEREZ CRUZ, F.; COCKBURN, M. Journal of Dairy Science, 106(8), 5501-5516, 2023. doi:10.3168/jds.2022-22980.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IBGE. Pesquisa da Pecuária Municipal. sidra.ibge.gov.br/tabela/74. Acesso em: 20 out. 2026.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INMET. Dados históricos. portal.inmet.gov.br/dadoshistoricos. Acesso em: 20 out. 2026.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SAMSON, T. K. et al. IOP Conf. Ser.: Earth Environ. Sci., 1219, 012008, 2023. doi:10.1088/1755-1315/1219/1/012008.</w:t>
      </w:r>
    </w:p>
    <w:p>
      <w:pPr>
        <w:spacing w:after="20" w:before="0" w:line="240" w:lineRule="auto"/>
        <w:jc w:val="left"/>
      </w:pPr>
      <w:r>
        <w:rPr>
          <w:rFonts w:ascii="Times New Roman" w:hAnsi="Times New Roman"/>
          <w:b w:val="0"/>
          <w:i w:val="0"/>
          <w:sz w:val="13"/>
        </w:rPr>
        <w:t>SLOB, N.; CATAL, C.; KASSAHUN, A. Preventive Veterinary Medicine, 187, 105237, 2021. doi:10.1016/j.prevetmed.2020.105237.</w:t>
      </w:r>
    </w:p>
    <w:sectPr>
      <w:type w:val="continuous"/>
      <w:pgSz w:h="16834" w:w="11909" w:orient="portrait"/>
      <w:pgMar w:bottom="1440" w:top="1440" w:left="1134" w:right="1134" w:header="340" w:footer="340"/>
      <w:cols w:equalWidth="0" w:num="2">
        <w:col w:space="720" w:w="4458.88"/>
        <w:col w:space="0" w:w="4458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line="276" w:lineRule="auto"/>
      <w:ind w:left="-566.9291338582677" w:right="-597.7952755905517" w:firstLine="0"/>
      <w:rPr/>
    </w:pPr>
    <w:r w:rsidDel="00000000" w:rsidR="00000000" w:rsidRPr="00000000">
      <w:rPr/>
      <w:drawing>
        <wp:inline distB="114300" distT="114300" distL="114300" distR="114300">
          <wp:extent cx="6542813" cy="762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1509" l="0" r="0" t="22431"/>
                  <a:stretch>
                    <a:fillRect/>
                  </a:stretch>
                </pic:blipFill>
                <pic:spPr>
                  <a:xfrm>
                    <a:off x="0" y="0"/>
                    <a:ext cx="6542813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line="240" w:lineRule="auto"/>
      <w:ind w:left="-566.9291338582677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6464138" cy="847725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20" l="0" r="0" t="16802"/>
                  <a:stretch>
                    <a:fillRect/>
                  </a:stretch>
                </pic:blipFill>
                <pic:spPr>
                  <a:xfrm>
                    <a:off x="0" y="0"/>
                    <a:ext cx="6464138" cy="8477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+MN5Z455Jk1R074sd4DRP1u8yQ==">CgMxLjA4AHIhMWNEN3BJU2NLLXl2YXpHWFhnTmpYVkJNSU4tUmttODRy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