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20"/>
          <w:szCs w:val="20"/>
        </w:rPr>
      </w:pPr>
      <w:r w:rsidDel="00000000" w:rsidR="00000000" w:rsidRPr="00000000">
        <w:rPr>
          <w:rFonts w:ascii="Times New Roman" w:hAnsi="Times New Roman" w:eastAsia="Times New Roman"/>
          <w:b/>
          <w:bCs w:val="1"/>
          <w:i w:val="0"/>
          <w:sz w:val="22"/>
          <w:szCs w:val="20"/>
          <w:rtl w:val="0"/>
        </w:rPr>
        <w:t xml:space="preserve">PREDICCIÓN DE LA PRODUCCIÓN LECHERA MUNICIPAL EN PARANÁ MEDIANTE APRENDIZAJE AUTOMÁTICO Y DATOS AGROCLIMÁTICOS PÚBLICOS</w:t>
      </w:r>
    </w:p>
    <w:p w:rsidR="00000000" w:rsidDel="00000000" w:rsidP="00000000" w:rsidRDefault="00000000" w:rsidRPr="00000000" w14:paraId="00000002">
      <w:pPr>
        <w:jc w:val="center"/>
        <w:rPr>
          <w:sz w:val="20"/>
          <w:szCs w:val="20"/>
        </w:rPr>
      </w:pPr>
      <w:r w:rsidDel="00000000" w:rsidR="00000000" w:rsidRPr="00000000">
        <w:rPr>
          <w:rtl w:val="0"/>
        </w:rPr>
      </w:r>
    </w:p>
    <w:p w:rsidR="00000000" w:rsidDel="00000000" w:rsidP="00000000" w:rsidRDefault="00000000" w:rsidRPr="00000000" w14:paraId="00000003">
      <w:pPr>
        <w:jc w:val="center"/>
        <w:rPr>
          <w:sz w:val="20"/>
          <w:szCs w:val="20"/>
        </w:rPr>
      </w:pPr>
      <w:r w:rsidDel="00000000" w:rsidR="00000000" w:rsidRPr="00000000">
        <w:rPr>
          <w:rFonts w:ascii="Times New Roman" w:hAnsi="Times New Roman" w:eastAsia="Times New Roman"/>
          <w:b w:val="0"/>
          <w:i w:val="0"/>
          <w:sz w:val="20"/>
          <w:szCs w:val="20"/>
          <w:rtl w:val="0"/>
        </w:rPr>
        <w:t xml:space="preserve">Andressa Aparecida Guimarães, Maria Salete, Gabrielly de Queiroz Pereira</w:t>
      </w:r>
    </w:p>
    <w:p w:rsidR="00000000" w:rsidDel="00000000" w:rsidP="00000000" w:rsidRDefault="00000000" w:rsidRPr="00000000" w14:paraId="00000004">
      <w:pPr>
        <w:jc w:val="center"/>
        <w:rPr>
          <w:sz w:val="20"/>
          <w:szCs w:val="20"/>
        </w:rPr>
      </w:pPr>
      <w:r w:rsidDel="00000000" w:rsidR="00000000" w:rsidRPr="00000000">
        <w:rPr>
          <w:rtl w:val="0"/>
        </w:rPr>
      </w:r>
    </w:p>
    <w:p w:rsidR="00000000" w:rsidDel="00000000" w:rsidP="00000000" w:rsidRDefault="00000000" w:rsidRPr="00000000" w14:paraId="00000005">
      <w:pPr>
        <w:spacing w:after="160" w:before="240" w:line="240" w:lineRule="auto"/>
        <w:rPr>
          <w:b w:val="1"/>
          <w:bCs w:val="1"/>
          <w:sz w:val="20"/>
          <w:szCs w:val="20"/>
        </w:rPr>
      </w:pPr>
      <w:r w:rsidDel="00000000" w:rsidR="00000000" w:rsidRPr="00000000">
        <w:rPr>
          <w:rtl w:val="0"/>
        </w:rPr>
      </w:r>
    </w:p>
    <w:p w:rsidR="00000000" w:rsidDel="00000000" w:rsidP="00000000" w:rsidRDefault="00000000" w:rsidRPr="00000000" w14:paraId="00000006">
      <w:pPr>
        <w:spacing w:after="160" w:before="240" w:line="240"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RESUMEN</w:t>
      </w:r>
    </w:p>
    <w:p w:rsidR="00000000" w:rsidDel="00000000" w:rsidP="00000000" w:rsidRDefault="00000000" w:rsidRPr="00000000" w14:paraId="00000007">
      <w:pPr>
        <w:spacing w:after="160" w:before="240" w:line="276"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PALABRAS CLAVE</w:t>
      </w:r>
    </w:p>
    <w:p w:rsidR="00000000" w:rsidDel="00000000" w:rsidP="00000000" w:rsidRDefault="00000000" w:rsidRPr="00000000" w14:paraId="00000008">
      <w:pPr>
        <w:spacing w:after="160" w:before="240" w:line="276" w:lineRule="auto"/>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09">
      <w:pPr>
        <w:spacing w:line="276" w:lineRule="auto"/>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0A">
      <w:pPr>
        <w:spacing w:line="276"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ABSTRACT</w:t>
      </w:r>
    </w:p>
    <w:p w:rsidR="00000000" w:rsidDel="00000000" w:rsidP="00000000" w:rsidRDefault="00000000" w:rsidRPr="00000000" w14:paraId="0000000B">
      <w:pPr>
        <w:spacing w:after="160" w:before="240" w:line="276"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KEYWORDS</w:t>
      </w:r>
    </w:p>
    <w:p w:rsidR="00000000" w:rsidDel="00000000" w:rsidP="00000000" w:rsidRDefault="00000000" w:rsidRPr="00000000" w14:paraId="0000000C">
      <w:pPr>
        <w:spacing w:after="160" w:before="240" w:line="240" w:lineRule="auto"/>
        <w:rPr>
          <w:sz w:val="20"/>
          <w:szCs w:val="20"/>
        </w:rPr>
      </w:pPr>
      <w:r w:rsidDel="00000000" w:rsidR="00000000" w:rsidRPr="00000000">
        <w:rPr>
          <w:rtl w:val="0"/>
        </w:rPr>
      </w:r>
    </w:p>
    <w:p w:rsidR="00000000" w:rsidDel="00000000" w:rsidP="00000000" w:rsidRDefault="00000000" w:rsidRPr="00000000" w14:paraId="0000000D">
      <w:pPr>
        <w:spacing w:after="160" w:before="240" w:line="240" w:lineRule="auto"/>
        <w:rPr>
          <w:sz w:val="20"/>
          <w:szCs w:val="20"/>
        </w:rPr>
      </w:pPr>
      <w:r w:rsidDel="00000000" w:rsidR="00000000" w:rsidRPr="00000000">
        <w:rPr>
          <w:rtl w:val="0"/>
        </w:rPr>
      </w:r>
    </w:p>
    <w:p w:rsidR="00000000" w:rsidDel="00000000" w:rsidP="00000000" w:rsidRDefault="00000000" w:rsidRPr="00000000" w14:paraId="0000000E">
      <w:pPr>
        <w:spacing w:after="160" w:before="240" w:line="240" w:lineRule="auto"/>
        <w:rPr>
          <w:sz w:val="20"/>
          <w:szCs w:val="20"/>
        </w:rPr>
      </w:pPr>
      <w:r w:rsidDel="00000000" w:rsidR="00000000" w:rsidRPr="00000000">
        <w:rPr>
          <w:rtl w:val="0"/>
        </w:rPr>
      </w:r>
    </w:p>
    <w:p w:rsidR="00000000" w:rsidDel="00000000" w:rsidP="00000000" w:rsidRDefault="00000000" w:rsidRPr="00000000" w14:paraId="0000000F">
      <w:pPr>
        <w:numPr>
          <w:ilvl w:val="0"/>
          <w:numId w:val="2"/>
        </w:numPr>
        <w:spacing w:after="0" w:afterAutospacing="0" w:before="240" w:line="240" w:lineRule="auto"/>
        <w:ind w:left="720" w:hanging="360"/>
        <w:jc w:val="center"/>
        <w:rPr>
          <w:b w:val="1"/>
          <w:bCs w:val="1"/>
          <w:sz w:val="20"/>
          <w:szCs w:val="20"/>
          <w:u w:val="none"/>
        </w:rPr>
      </w:pPr>
      <w:r w:rsidDel="00000000" w:rsidR="00000000" w:rsidRPr="00000000">
        <w:rPr>
          <w:rFonts w:ascii="Times New Roman" w:hAnsi="Times New Roman" w:eastAsia="Times New Roman"/>
          <w:b/>
          <w:bCs w:val="1"/>
          <w:i w:val="0"/>
          <w:sz w:val="20"/>
          <w:szCs w:val="20"/>
          <w:rtl w:val="0"/>
        </w:rPr>
        <w:t xml:space="preserve">INTRODUCCIÓN</w:t>
      </w:r>
    </w:p>
    <w:p w:rsidR="00000000" w:rsidDel="00000000" w:rsidP="00000000" w:rsidRDefault="00000000" w:rsidRPr="00000000" w14:paraId="00000010">
      <w:pPr>
        <w:numPr>
          <w:ilvl w:val="0"/>
          <w:numId w:val="1"/>
        </w:numPr>
        <w:spacing w:after="120" w:afterAutospacing="0" w:before="120" w:beforeAutospacing="0" w:line="240" w:lineRule="auto"/>
        <w:ind w:left="720" w:firstLine="0"/>
        <w:jc w:val="center"/>
        <w:rPr>
          <w:b w:val="1"/>
          <w:bCs w:val="1"/>
          <w:sz w:val="20"/>
          <w:szCs w:val="20"/>
        </w:rPr>
      </w:pPr>
      <w:r>
        <w:rPr>
          <w:rFonts w:ascii="Times New Roman" w:hAnsi="Times New Roman" w:eastAsia="Times New Roman"/>
          <w:b/>
          <w:i w:val="0"/>
          <w:sz w:val="20"/>
        </w:rPr>
        <w:t>MATERIALES Y MÉTODOS</w:t>
      </w:r>
    </w:p>
    <w:p>
      <w:pPr>
        <w:ind w:firstLine="0"/>
      </w:pPr>
      <w:r>
        <w:rPr>
          <w:rFonts w:ascii="Times New Roman" w:hAnsi="Times New Roman" w:eastAsia="Times New Roman"/>
          <w:b/>
          <w:i w:val="0"/>
          <w:sz w:val="20"/>
        </w:rPr>
        <w:t>Diseño metodológico</w:t>
      </w:r>
    </w:p>
    <w:p>
      <w:r>
        <w:rPr>
          <w:rFonts w:ascii="Times New Roman" w:hAnsi="Times New Roman" w:eastAsia="Times New Roman"/>
          <w:b w:val="0"/>
          <w:i w:val="0"/>
          <w:sz w:val="20"/>
        </w:rPr>
        <w:t>El estudio fue desarrollado como un experimento computacional de predicción supervisada para estimar la producción anual de leche de los municipios del estado de Paraná, Brasil. La unidad de observación fue el municipio-año y la variable dependiente fue la producción municipal de leche, expresada en mil litros. La propuesta metodológica se basó en la integración de datos agropecuarios públicos con variables agroclimáticas anuales, seguida por la comparación entre un modelo base y dos algoritmos de aprendizaje automático.</w:t>
      </w:r>
    </w:p>
    <w:p>
      <w:r>
        <w:rPr>
          <w:rFonts w:ascii="Times New Roman" w:hAnsi="Times New Roman" w:eastAsia="Times New Roman"/>
          <w:b w:val="0"/>
          <w:i w:val="0"/>
          <w:sz w:val="20"/>
        </w:rPr>
        <w:t>El flujo experimental fue organizado en cinco etapas: recopilación de las bases públicas; limpieza y estandarización de los registros; construcción de variables temporales y climáticas; entrenamiento y ajuste de los algoritmos; y evaluación comparativa mediante métricas de regresión. Aunque se analizaron otras bases públicas para etapas futuras de investigación, como MapBiomas, TOPODATA, CAR, SIGEF, red vial, CHIRPS, ANA/HidroWeb e hidrografía, estas no fueron utilizadas en los modelos presentados en este artículo, pues el alcance del congreso fue una versión simplificada centrada en predicción municipal anual.</w:t>
      </w:r>
    </w:p>
    <w:p>
      <w:pPr>
        <w:ind w:firstLine="0"/>
      </w:pPr>
      <w:r>
        <w:rPr>
          <w:rFonts w:ascii="Times New Roman" w:hAnsi="Times New Roman" w:eastAsia="Times New Roman"/>
          <w:b/>
          <w:i w:val="0"/>
          <w:sz w:val="20"/>
        </w:rPr>
        <w:t>Archivos utilizados y reproducibilidad</w:t>
      </w:r>
    </w:p>
    <w:tbl>
      <w:tblPr>
        <w:tblW w:type="auto" w:w="0"/>
        <w:tblLayout w:type="autofit"/>
        <w:tblLook w:firstColumn="1" w:firstRow="1" w:lastColumn="0" w:lastRow="0" w:noHBand="0" w:noVBand="1" w:val="04A0"/>
      </w:tblPr>
      <w:tblGrid>
        <w:gridCol w:w="3024"/>
        <w:gridCol w:w="3024"/>
        <w:gridCol w:w="3024"/>
      </w:tblGrid>
      <w:tr>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Elemento</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Archivo o ruta utilizada</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Función en el estudio</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Script principal</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C:\Users\gabri\Documents\UEPG\MestradoAndressa\scripts\build_article_models.py</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Descarga, integración, entrenamiento, evaluación y generación de salidas.</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Base integrada</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C:\Users\gabri\Documents\UEPG\MestradoAndressa\article_outputs\data\base_integrada_leite_agroclima.csv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Panel final municipio-año con producción, variables temporales y clima anual.</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Clima anual</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C:\Users\gabri\Documents\UEPG\MestradoAndressa\article_outputs\data\clima_castro_a819_anual.csv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Indicadores anuales agregados a partir de la estación INMET A819.</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Métricas</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C:\Users\gabri\Documents\UEPG\MestradoAndressa\article_outputs\tables\metricas_modelos.csv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Comparación cuantitativa entre persistencia, Random Forest y XGBoost.</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Predicciones</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C:\Users\gabri\Documents\UEPG\MestradoAndressa\article_outputs\tables\predicciones_prueba.csv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Valores observados y predichos en el período de prueba.</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Importancia</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C:\Users\gabri\Documents\UEPG\MestradoAndressa\article_outputs\tables\importancia_variables.csv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Importancia de variables del mejor modelo de aprendizaje automático.</w:t>
            </w:r>
          </w:p>
        </w:tc>
      </w:tr>
    </w:tbl>
    <w:p>
      <w:pPr>
        <w:spacing w:after="120" w:line="240" w:lineRule="auto"/>
        <w:ind w:firstLine="0"/>
      </w:pPr>
    </w:p>
    <w:p>
      <w:pPr>
        <w:jc w:val="center"/>
      </w:pPr>
      <w:r>
        <w:rPr>
          <w:rFonts w:ascii="Times New Roman" w:hAnsi="Times New Roman" w:eastAsia="Times New Roman"/>
          <w:b w:val="0"/>
          <w:i w:val="0"/>
          <w:sz w:val="20"/>
        </w:rPr>
        <w:t>Tabla 1. Archivos locales utilizados para reproducir la base integrada, los algoritmos y los resultados.</w:t>
      </w:r>
    </w:p>
    <w:p>
      <w:pPr>
        <w:ind w:firstLine="0"/>
      </w:pPr>
      <w:r>
        <w:rPr>
          <w:rFonts w:ascii="Times New Roman" w:hAnsi="Times New Roman" w:eastAsia="Times New Roman"/>
          <w:b/>
          <w:i w:val="0"/>
          <w:sz w:val="20"/>
        </w:rPr>
        <w:t>Bases de datos realmente utilizadas</w:t>
      </w:r>
    </w:p>
    <w:p>
      <w:r>
        <w:rPr>
          <w:rFonts w:ascii="Times New Roman" w:hAnsi="Times New Roman" w:eastAsia="Times New Roman"/>
          <w:b w:val="0"/>
          <w:i w:val="0"/>
          <w:sz w:val="20"/>
        </w:rPr>
        <w:t>La primera base fue la Pesquisa da Pecuária Municipal, obtenida por medio de la plataforma SIDRA del IBGE, específicamente la tabla 74 para el producto leche. De esta fuente se extrajeron el código del municipio, el nombre del municipio, el año y la cantidad anual de leche producida. La serie disponible comprende registros desde 1974 hasta 2024 para los municipios paranaenses; sin embargo, para el modelado se utilizó el período de 2008 a 2019, por ser el intervalo con compatibilidad entre las variables rezagadas y los datos climáticos tratados.</w:t>
      </w:r>
    </w:p>
    <w:p>
      <w:r>
        <w:rPr>
          <w:rFonts w:ascii="Times New Roman" w:hAnsi="Times New Roman" w:eastAsia="Times New Roman"/>
          <w:b w:val="0"/>
          <w:i w:val="0"/>
          <w:sz w:val="20"/>
        </w:rPr>
        <w:t>La segunda base fue compuesta por datos meteorológicos horarios de la estación automática A819, localizada en Castro/PR y disponibilizada por el INMET. Fueron empleados registros de precipitación, temperatura del aire, humedad relativa, radiación solar global y velocidad del viento. Los datos fueron tratados para remover códigos de falla, valores nulos y registros incompatibles, además de convertir separadores decimales y formatos de fecha.</w:t>
      </w:r>
    </w:p>
    <w:p>
      <w:r>
        <w:rPr>
          <w:rFonts w:ascii="Times New Roman" w:hAnsi="Times New Roman" w:eastAsia="Times New Roman"/>
          <w:b w:val="0"/>
          <w:i w:val="0"/>
          <w:sz w:val="20"/>
        </w:rPr>
        <w:t>A partir de los datos horarios del INMET fueron generadas variables anuales: precipitación total acumulada, temperatura media anual, temperatura máxima observada, humedad relativa media, radicación solar media, velocidad media del viento y número aproximado de días secos, definidos como días con precipitación diaria inferior a 1 mm. Estas variables fueron integradas al panel municipal por año, funcionando como una señal agroclimática anual común para el estado.</w:t>
      </w:r>
    </w:p>
    <w:p>
      <w:pPr>
        <w:ind w:firstLine="0"/>
      </w:pPr>
      <w:r>
        <w:rPr>
          <w:rFonts w:ascii="Times New Roman" w:hAnsi="Times New Roman" w:eastAsia="Times New Roman"/>
          <w:b/>
          <w:i w:val="0"/>
          <w:sz w:val="20"/>
        </w:rPr>
        <w:t>Construcción de la base integrada</w:t>
      </w:r>
    </w:p>
    <w:p>
      <w:r>
        <w:rPr>
          <w:rFonts w:ascii="Times New Roman" w:hAnsi="Times New Roman" w:eastAsia="Times New Roman"/>
          <w:b w:val="0"/>
          <w:i w:val="0"/>
          <w:sz w:val="20"/>
        </w:rPr>
        <w:t>La base integrada fue creada a partir de la unión entre la producción municipal de leche y los indicadores climáticos anuales. Inicialmente, los registros de producción fueron ordenados por municipio y año. En seguida, fueron generadas variables de memoria temporal: producción del año anterior, producción de dos años anteriores, media móvil de tres años y crecimiento porcentual observado en el año anterior.</w:t>
      </w:r>
    </w:p>
    <w:p>
      <w:r>
        <w:rPr>
          <w:rFonts w:ascii="Times New Roman" w:hAnsi="Times New Roman" w:eastAsia="Times New Roman"/>
          <w:b w:val="0"/>
          <w:i w:val="0"/>
          <w:sz w:val="20"/>
        </w:rPr>
        <w:t>Después de la generación de rezagos, los registros sin historial suficiente fueron eliminados del conjunto de modelado. Esta decisión evita que el algoritmo aprenda con valores imputados artificialmente en los primeros años de cada serie municipal. El resultado fue un panel anual capaz de representar tanto la inercia productiva de cada municipio como variaciones climáticas agregadas.</w:t>
      </w:r>
    </w:p>
    <w:tbl>
      <w:tblPr>
        <w:tblW w:type="auto" w:w="0"/>
        <w:tblLayout w:type="autofit"/>
        <w:tblLook w:firstColumn="1" w:firstRow="1" w:lastColumn="0" w:lastRow="0" w:noHBand="0" w:noVBand="1" w:val="04A0"/>
      </w:tblPr>
      <w:tblGrid>
        <w:gridCol w:w="4535"/>
        <w:gridCol w:w="4535"/>
      </w:tblGrid>
      <w:tr>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Grupo</w:t>
            </w:r>
          </w:p>
        </w:tc>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Variables</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Identificación</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codigo_municipio, municipio, ano</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Histórico productivo</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leite_lag_1, leite_lag_2, leite_media_3anos, crescimento_lag_1_pct</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Clima anual</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precipitacao_anual_mm, temperatura_media_c, temperatura_max_media_c, radiacao_media_kj_m2, umidade_media_pct, vento_medio_ms, dias_secos_aprox</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Respuesta</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leite_mil_litros</w:t>
            </w:r>
          </w:p>
        </w:tc>
      </w:tr>
    </w:tbl>
    <w:p>
      <w:pPr>
        <w:spacing w:after="120" w:line="240" w:lineRule="auto"/>
        <w:ind w:firstLine="0"/>
      </w:pPr>
    </w:p>
    <w:p>
      <w:pPr>
        <w:jc w:val="center"/>
      </w:pPr>
      <w:r>
        <w:rPr>
          <w:rFonts w:ascii="Times New Roman" w:hAnsi="Times New Roman" w:eastAsia="Times New Roman"/>
          <w:b w:val="0"/>
          <w:i w:val="0"/>
          <w:sz w:val="20"/>
        </w:rPr>
        <w:t>Tabla 2. Variables utilizadas en la base final de modelado.</w:t>
      </w:r>
    </w:p>
    <w:p>
      <w:pPr>
        <w:ind w:firstLine="0"/>
      </w:pPr>
      <w:r>
        <w:rPr>
          <w:rFonts w:ascii="Times New Roman" w:hAnsi="Times New Roman" w:eastAsia="Times New Roman"/>
          <w:b/>
          <w:i w:val="0"/>
          <w:sz w:val="20"/>
        </w:rPr>
        <w:t>Creación de los algoritmos</w:t>
      </w:r>
    </w:p>
    <w:p>
      <w:r>
        <w:rPr>
          <w:rFonts w:ascii="Times New Roman" w:hAnsi="Times New Roman" w:eastAsia="Times New Roman"/>
          <w:b w:val="0"/>
          <w:i w:val="0"/>
          <w:sz w:val="20"/>
        </w:rPr>
        <w:t>Los modelos fueron desarrollados en Python con pandas, scikit-learn, XGBoost y matplotlib. Para las variables numéricas se aplicó imputación por mediana y estandarización. Las variables categóricas asociadas al municipio fueron transformadas mediante one-hot encoding. La variable objetivo fue transformada por log(1 + y) en Random Forest y XGBoost, con retorno posterior a la escala original mediante exp(y) - 1.</w:t>
      </w:r>
    </w:p>
    <w:p>
      <w:r>
        <w:rPr>
          <w:rFonts w:ascii="Times New Roman" w:hAnsi="Times New Roman" w:eastAsia="Times New Roman"/>
          <w:b w:val="0"/>
          <w:i w:val="0"/>
          <w:sz w:val="20"/>
        </w:rPr>
        <w:t>La separación de datos respetó la secuencia temporal. Los años hasta 2016 se utilizaron para entrenamiento, validación interna y selección de hiperparámetros; los años de 2017 a 2019 fueron reservados para la prueba final. Esta estrategia evita que observaciones futuras influyan en el entrenamiento y permite una evaluación más realista.</w:t>
      </w:r>
    </w:p>
    <w:p>
      <w:r>
        <w:rPr>
          <w:rFonts w:ascii="Times New Roman" w:hAnsi="Times New Roman" w:eastAsia="Times New Roman"/>
          <w:b w:val="0"/>
          <w:i w:val="0"/>
          <w:sz w:val="20"/>
        </w:rPr>
        <w:t>Se compararon tres enfoques. El primero fue la persistencia lag-1, en la cual la predicción de un municipio en el año t es igual a la producción observada en el año t - 1. El segundo fue Random Forest Regressor, un ensamble de árboles de decisión capaz de modelar relaciones no lineales. El tercero fue XGBoost Regressor, basado en boosting de gradiente, que ajusta árboles secuenciales para reducir errores residuales.</w:t>
      </w:r>
    </w:p>
    <w:tbl>
      <w:tblPr>
        <w:tblW w:type="auto" w:w="0"/>
        <w:tblLayout w:type="autofit"/>
        <w:tblLook w:firstColumn="1" w:firstRow="1" w:lastColumn="0" w:lastRow="0" w:noHBand="0" w:noVBand="1" w:val="04A0"/>
      </w:tblPr>
      <w:tblGrid>
        <w:gridCol w:w="3024"/>
        <w:gridCol w:w="3024"/>
        <w:gridCol w:w="3024"/>
      </w:tblGrid>
      <w:tr>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Modelo</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Hiperparámetros evaluados</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Configuración utilizada</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Persistencia lag-1</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No aplica</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Predicción igual al año anterior.</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Random Forest</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max_depth, min_samples_leaf</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 400; max_depth = 12; min_samples_leaf = 1.</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XGBoost</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max_depth, learning_rate, subsample, colsample_bytree</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 500; max_depth = 3; learning_rate = 0,05; subsample = 0,90; colsample_bytree = 0,90.</w:t>
            </w:r>
          </w:p>
        </w:tc>
      </w:tr>
    </w:tbl>
    <w:p>
      <w:pPr>
        <w:spacing w:after="120" w:line="240" w:lineRule="auto"/>
        <w:ind w:firstLine="0"/>
      </w:pPr>
    </w:p>
    <w:p>
      <w:pPr>
        <w:jc w:val="center"/>
      </w:pPr>
      <w:r>
        <w:rPr>
          <w:rFonts w:ascii="Times New Roman" w:hAnsi="Times New Roman" w:eastAsia="Times New Roman"/>
          <w:b w:val="0"/>
          <w:i w:val="0"/>
          <w:sz w:val="20"/>
        </w:rPr>
        <w:t>Tabla 3. Algoritmos comparados y configuración final de hiperparámetros.</w:t>
      </w:r>
    </w:p>
    <w:p>
      <w:r>
        <w:rPr>
          <w:rFonts w:ascii="Times New Roman" w:hAnsi="Times New Roman" w:eastAsia="Times New Roman"/>
          <w:b w:val="0"/>
          <w:i w:val="0"/>
          <w:sz w:val="20"/>
        </w:rPr>
        <w:t>La selección de hiperparámetros fue realizada con GridSearchCV y validación cruzada temporal TimeSeriesSplit con tres divisiones. La métrica de optimización fue el menor RMSE. Para la evaluación final se calcularon MAE, RMSE, R² y MAPE, permitiendo analizar error absoluto, penalización de errores grandes, variabilidad explicada y error porcentual relativo.</w:t>
      </w:r>
    </w:p>
    <w:p w:rsidR="00000000" w:rsidDel="00000000" w:rsidP="00000000" w:rsidRDefault="00000000" w:rsidRPr="00000000" w14:paraId="00000011">
      <w:pPr>
        <w:numPr>
          <w:ilvl w:val="0"/>
          <w:numId w:val="1"/>
        </w:numPr>
        <w:spacing w:after="120" w:afterAutospacing="0" w:before="120" w:beforeAutospacing="0" w:line="240" w:lineRule="auto"/>
        <w:ind w:left="720" w:firstLine="0"/>
        <w:jc w:val="center"/>
        <w:rPr>
          <w:b w:val="1"/>
          <w:bCs w:val="1"/>
          <w:sz w:val="20"/>
          <w:szCs w:val="20"/>
        </w:rPr>
      </w:pPr>
      <w:r>
        <w:rPr>
          <w:rFonts w:ascii="Times New Roman" w:hAnsi="Times New Roman" w:eastAsia="Times New Roman"/>
          <w:b/>
          <w:i w:val="0"/>
          <w:sz w:val="20"/>
        </w:rPr>
        <w:t>RESULTADOS Y DISCUSIÓN</w:t>
      </w:r>
    </w:p>
    <w:tbl>
      <w:tblPr>
        <w:tblW w:type="auto" w:w="0"/>
        <w:tblLayout w:type="autofit"/>
        <w:tblLook w:firstColumn="1" w:firstRow="1" w:lastColumn="0" w:lastRow="0" w:noHBand="0" w:noVBand="1" w:val="04A0"/>
      </w:tblPr>
      <w:tblGrid>
        <w:gridCol w:w="1814"/>
        <w:gridCol w:w="1814"/>
        <w:gridCol w:w="1814"/>
        <w:gridCol w:w="1814"/>
        <w:gridCol w:w="1814"/>
      </w:tblGrid>
      <w:tr>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Modelo</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MAE</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RMSE</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R²</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MAPE (%)</w:t>
            </w:r>
          </w:p>
        </w:tc>
      </w:tr>
      <w:tr>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Persistencia lag-1</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1.139,22</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2.974,01</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0,9800</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20,01</w:t>
            </w:r>
          </w:p>
        </w:tc>
      </w:tr>
      <w:tr>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Random Forest</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1.448,93</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3.789,03</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0,9675</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22,64</w:t>
            </w:r>
          </w:p>
        </w:tc>
      </w:tr>
      <w:tr>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XGBoost</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1.746,63</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6.341,84</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0,9088</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24,12</w:t>
            </w:r>
          </w:p>
        </w:tc>
      </w:tr>
    </w:tbl>
    <w:p>
      <w:pPr>
        <w:spacing w:after="120" w:line="240" w:lineRule="auto"/>
        <w:ind w:firstLine="0"/>
      </w:pPr>
    </w:p>
    <w:p>
      <w:pPr>
        <w:jc w:val="center"/>
      </w:pPr>
      <w:r>
        <w:rPr>
          <w:rFonts w:ascii="Times New Roman" w:hAnsi="Times New Roman" w:eastAsia="Times New Roman"/>
          <w:b w:val="0"/>
          <w:i w:val="0"/>
          <w:sz w:val="20"/>
        </w:rPr>
        <w:t>Tabla 4. Desempeño de los modelos en la base de prueba de 2017 a 2019.</w:t>
      </w:r>
    </w:p>
    <w:p>
      <w:r>
        <w:rPr>
          <w:rFonts w:ascii="Times New Roman" w:hAnsi="Times New Roman" w:eastAsia="Times New Roman"/>
          <w:b w:val="0"/>
          <w:i w:val="0"/>
          <w:sz w:val="20"/>
        </w:rPr>
        <w:t>Los resultados muestran que la producción lechera municipal presenta fuerte dependencia temporal. El modelo de persistencia obtuvo el menor RMSE, con 2.974,01 mil litros, MAE de 1.139,22 mil litros, R² de 0,9800 y MAPE de 20,01%. Este comportamiento indica que, para una serie anual municipal, la producción del año anterior ya contiene gran parte de la información necesaria para predecir el año siguiente.</w:t>
      </w:r>
    </w:p>
    <w:p>
      <w:r>
        <w:rPr>
          <w:rFonts w:ascii="Times New Roman" w:hAnsi="Times New Roman" w:eastAsia="Times New Roman"/>
          <w:b w:val="0"/>
          <w:i w:val="0"/>
          <w:sz w:val="20"/>
        </w:rPr>
        <w:t>Entre los algoritmos de aprendizaje automático, Random Forest presentó el mejor desempeño general, con RMSE de 3.789,03 mil litros, MAE de 1.448,93 mil litros, R² de 0,9675 y MAPE de 22,64%. Aunque no superó el baseline de persistencia, el valor elevado de R² demuestra que el modelo capturó de forma consistente a estrutura produtiva dos municípios. El XGBoost obtuvo RMSE de 6.341,84 mil litros y R² de 0,9088, indicando mayor sensibilidad a la configuración de hiperparámetros y a la escala desigual entre municipios.</w:t>
      </w:r>
    </w:p>
    <w:p>
      <w:pPr>
        <w:jc w:val="center"/>
      </w:pPr>
      <w:r>
        <w:drawing>
          <wp:inline>
            <wp:extent cx="4752000" cy="2970000"/>
            <wp:docPr id="1" name="Picture 1"/>
            <wp:cNvGraphicFramePr>
              <a:graphicFrameLocks noChangeAspect="1"/>
            </wp:cNvGraphicFramePr>
            <a:graphic>
              <a:graphicData uri="http://schemas.openxmlformats.org/drawingml/2006/picture">
                <pic:pic>
                  <pic:nvPicPr>
                    <pic:cNvPr id="0" name="figura_01_rmse_modelos.png"/>
                    <pic:cNvPicPr/>
                  </pic:nvPicPr>
                  <pic:blipFill>
                    <a:blip r:embed="rId7"/>
                    <a:stretch>
                      <a:fillRect/>
                    </a:stretch>
                  </pic:blipFill>
                  <pic:spPr>
                    <a:xfrm>
                      <a:off x="0" y="0"/>
                      <a:ext cx="4752000" cy="2970000"/>
                    </a:xfrm>
                    <a:prstGeom prst="rect"/>
                  </pic:spPr>
                </pic:pic>
              </a:graphicData>
            </a:graphic>
          </wp:inline>
        </w:drawing>
      </w:r>
    </w:p>
    <w:p>
      <w:pPr>
        <w:jc w:val="center"/>
      </w:pPr>
      <w:r>
        <w:rPr>
          <w:rFonts w:ascii="Times New Roman" w:hAnsi="Times New Roman" w:eastAsia="Times New Roman"/>
          <w:b w:val="0"/>
          <w:i w:val="0"/>
          <w:sz w:val="20"/>
        </w:rPr>
        <w:t>Figura 1. Comparación del RMSE entre los modelos evaluados.</w:t>
      </w:r>
    </w:p>
    <w:p>
      <w:pPr>
        <w:jc w:val="center"/>
      </w:pPr>
      <w:r>
        <w:drawing>
          <wp:inline>
            <wp:extent cx="4752000" cy="4752000"/>
            <wp:docPr id="2" name="Picture 2"/>
            <wp:cNvGraphicFramePr>
              <a:graphicFrameLocks noChangeAspect="1"/>
            </wp:cNvGraphicFramePr>
            <a:graphic>
              <a:graphicData uri="http://schemas.openxmlformats.org/drawingml/2006/picture">
                <pic:pic>
                  <pic:nvPicPr>
                    <pic:cNvPr id="0" name="figura_02_observado_predicho.png"/>
                    <pic:cNvPicPr/>
                  </pic:nvPicPr>
                  <pic:blipFill>
                    <a:blip r:embed="rId8"/>
                    <a:stretch>
                      <a:fillRect/>
                    </a:stretch>
                  </pic:blipFill>
                  <pic:spPr>
                    <a:xfrm>
                      <a:off x="0" y="0"/>
                      <a:ext cx="4752000" cy="4752000"/>
                    </a:xfrm>
                    <a:prstGeom prst="rect"/>
                  </pic:spPr>
                </pic:pic>
              </a:graphicData>
            </a:graphic>
          </wp:inline>
        </w:drawing>
      </w:r>
    </w:p>
    <w:p>
      <w:pPr>
        <w:jc w:val="center"/>
      </w:pPr>
      <w:r>
        <w:rPr>
          <w:rFonts w:ascii="Times New Roman" w:hAnsi="Times New Roman" w:eastAsia="Times New Roman"/>
          <w:b w:val="0"/>
          <w:i w:val="0"/>
          <w:sz w:val="20"/>
        </w:rPr>
        <w:t>Figura 2. Relación entre producción observada y producción predicha por los modelos.</w:t>
      </w:r>
    </w:p>
    <w:p>
      <w:pPr>
        <w:jc w:val="center"/>
      </w:pPr>
      <w:r>
        <w:drawing>
          <wp:inline>
            <wp:extent cx="4752000" cy="2851200"/>
            <wp:docPr id="3" name="Picture 3"/>
            <wp:cNvGraphicFramePr>
              <a:graphicFrameLocks noChangeAspect="1"/>
            </wp:cNvGraphicFramePr>
            <a:graphic>
              <a:graphicData uri="http://schemas.openxmlformats.org/drawingml/2006/picture">
                <pic:pic>
                  <pic:nvPicPr>
                    <pic:cNvPr id="0" name="figura_03_series_municipios_lideres.png"/>
                    <pic:cNvPicPr/>
                  </pic:nvPicPr>
                  <pic:blipFill>
                    <a:blip r:embed="rId9"/>
                    <a:stretch>
                      <a:fillRect/>
                    </a:stretch>
                  </pic:blipFill>
                  <pic:spPr>
                    <a:xfrm>
                      <a:off x="0" y="0"/>
                      <a:ext cx="4752000" cy="2851200"/>
                    </a:xfrm>
                    <a:prstGeom prst="rect"/>
                  </pic:spPr>
                </pic:pic>
              </a:graphicData>
            </a:graphic>
          </wp:inline>
        </w:drawing>
      </w:r>
    </w:p>
    <w:p>
      <w:pPr>
        <w:jc w:val="center"/>
      </w:pPr>
      <w:r>
        <w:rPr>
          <w:rFonts w:ascii="Times New Roman" w:hAnsi="Times New Roman" w:eastAsia="Times New Roman"/>
          <w:b w:val="0"/>
          <w:i w:val="0"/>
          <w:sz w:val="20"/>
        </w:rPr>
        <w:t>Figura 3. Series históricas de municipios líderes en producción lechera.</w:t>
      </w:r>
    </w:p>
    <w:p>
      <w:pPr>
        <w:jc w:val="center"/>
      </w:pPr>
      <w:r>
        <w:drawing>
          <wp:inline>
            <wp:extent cx="4752000" cy="3168000"/>
            <wp:docPr id="4" name="Picture 4"/>
            <wp:cNvGraphicFramePr>
              <a:graphicFrameLocks noChangeAspect="1"/>
            </wp:cNvGraphicFramePr>
            <a:graphic>
              <a:graphicData uri="http://schemas.openxmlformats.org/drawingml/2006/picture">
                <pic:pic>
                  <pic:nvPicPr>
                    <pic:cNvPr id="0" name="figura_04_importancia_variables.png"/>
                    <pic:cNvPicPr/>
                  </pic:nvPicPr>
                  <pic:blipFill>
                    <a:blip r:embed="rId10"/>
                    <a:stretch>
                      <a:fillRect/>
                    </a:stretch>
                  </pic:blipFill>
                  <pic:spPr>
                    <a:xfrm>
                      <a:off x="0" y="0"/>
                      <a:ext cx="4752000" cy="3168000"/>
                    </a:xfrm>
                    <a:prstGeom prst="rect"/>
                  </pic:spPr>
                </pic:pic>
              </a:graphicData>
            </a:graphic>
          </wp:inline>
        </w:drawing>
      </w:r>
    </w:p>
    <w:p>
      <w:pPr>
        <w:jc w:val="center"/>
      </w:pPr>
      <w:r>
        <w:rPr>
          <w:rFonts w:ascii="Times New Roman" w:hAnsi="Times New Roman" w:eastAsia="Times New Roman"/>
          <w:b w:val="0"/>
          <w:i w:val="0"/>
          <w:sz w:val="20"/>
        </w:rPr>
        <w:t>Figura 4. Importancia de variables del mejor modelo de aprendizaje automático.</w:t>
      </w:r>
    </w:p>
    <w:tbl>
      <w:tblPr>
        <w:tblW w:type="auto" w:w="0"/>
        <w:tblLayout w:type="autofit"/>
        <w:tblLook w:firstColumn="1" w:firstRow="1" w:lastColumn="0" w:lastRow="0" w:noHBand="0" w:noVBand="1" w:val="04A0"/>
      </w:tblPr>
      <w:tblGrid>
        <w:gridCol w:w="4535"/>
        <w:gridCol w:w="4535"/>
      </w:tblGrid>
      <w:tr>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Variable</w:t>
            </w:r>
          </w:p>
        </w:tc>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Importancia</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leite_lag_1</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0,9564</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leite_media_3anos</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0,0131</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leite_lag_2</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0,0037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crescimento_lag_1_pct</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0,0018</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radiacao_media_kj_m2</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0,0009</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codigo_municipio_4103701</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ano</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umidade_media_pct</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temperatura_max_media_c</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0,0006</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temperatura_media_c</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0,0006</w:t>
            </w:r>
          </w:p>
        </w:tc>
      </w:tr>
    </w:tbl>
    <w:p>
      <w:pPr>
        <w:spacing w:after="120" w:line="240" w:lineRule="auto"/>
        <w:ind w:firstLine="0"/>
      </w:pPr>
    </w:p>
    <w:p>
      <w:pPr>
        <w:jc w:val="center"/>
      </w:pPr>
      <w:r>
        <w:rPr>
          <w:rFonts w:ascii="Times New Roman" w:hAnsi="Times New Roman" w:eastAsia="Times New Roman"/>
          <w:b w:val="0"/>
          <w:i w:val="0"/>
          <w:sz w:val="20"/>
        </w:rPr>
        <w:t>Tabla 5. Diez variables más importantes en el modelo Random Forest.</w:t>
      </w:r>
    </w:p>
    <w:p>
      <w:r>
        <w:rPr>
          <w:rFonts w:ascii="Times New Roman" w:hAnsi="Times New Roman" w:eastAsia="Times New Roman"/>
          <w:b w:val="0"/>
          <w:i w:val="0"/>
          <w:sz w:val="20"/>
        </w:rPr>
        <w:t>La variable más importante fue leite_lag_1, con importancia de 0,9564, seguida por leite_media_3anos y leite_lag_2. Esto confirma que la dinámica histórica de producción explica la mayor parte del comportamiento futuro. Las variables climáticas aparecieron con importancia menor, lo que puede estar relacionado con la escala anual del problema y con el uso de una única estación meteorológica como señal regional.</w:t>
      </w:r>
    </w:p>
    <w:p>
      <w:r>
        <w:rPr>
          <w:rFonts w:ascii="Times New Roman" w:hAnsi="Times New Roman" w:eastAsia="Times New Roman"/>
          <w:b w:val="0"/>
          <w:i w:val="0"/>
          <w:sz w:val="20"/>
        </w:rPr>
        <w:t>Desde el punto de vista agrícola, el resultado es relevante porque muestra que bases públicas pueden apoyar estimaciones municipales de producción lechera con bajo costo computacional. Un sistema de este tipo puede auxiliar cooperativas, gestores públicos y laticinios en diagnósticos territoriales, planeamiento de demanda, identificación de municipios con mayor estabilidad productiva y construcción de escenarios preliminares para políticas de apoyo a la cadena del leite.</w:t>
      </w:r>
    </w:p>
    <w:p>
      <w:r>
        <w:rPr>
          <w:rFonts w:ascii="Times New Roman" w:hAnsi="Times New Roman" w:eastAsia="Times New Roman"/>
          <w:b w:val="0"/>
          <w:i w:val="0"/>
          <w:sz w:val="20"/>
        </w:rPr>
        <w:t>La comparación también revela un punto metodológico importante: cuando la serie histórica es muy fuerte, un algoritmo complejo no necesariamente supera un baseline temporal simple. Por eso, para estudios futuros, se recomienda ampliar la base con información espacialmente distribuida, como precipitación CHIRPS, cobertura de pastagens MapBiomas, relevo TOPODATA y características socioeconómicas o zootécnicas. Con esta ampliación, modelos más avançados, incluyendo aprendizaje profundo y técnicas de explicabilidad, pueden tener mayor potencial de contribuir con predicciones robustas.</w:t>
      </w:r>
    </w:p>
    <w:p w:rsidR="00000000" w:rsidDel="00000000" w:rsidP="00000000" w:rsidRDefault="00000000" w:rsidRPr="00000000" w14:paraId="00000012">
      <w:pPr>
        <w:numPr>
          <w:ilvl w:val="0"/>
          <w:numId w:val="1"/>
        </w:numPr>
        <w:spacing w:after="120" w:afterAutospacing="0" w:before="120" w:beforeAutospacing="0" w:line="240" w:lineRule="auto"/>
        <w:ind w:left="720" w:firstLine="0"/>
        <w:jc w:val="center"/>
        <w:rPr>
          <w:b w:val="1"/>
          <w:bCs w:val="1"/>
          <w:sz w:val="20"/>
          <w:szCs w:val="20"/>
        </w:rPr>
      </w:pPr>
      <w:r>
        <w:rPr>
          <w:rFonts w:ascii="Times New Roman" w:hAnsi="Times New Roman" w:eastAsia="Times New Roman"/>
          <w:b/>
          <w:i w:val="0"/>
          <w:sz w:val="20"/>
        </w:rPr>
        <w:t>CONCLUSIÓN</w:t>
      </w:r>
    </w:p>
    <w:p w:rsidR="00000000" w:rsidDel="00000000" w:rsidP="00000000" w:rsidRDefault="00000000" w:rsidRPr="00000000" w14:paraId="00000013">
      <w:pPr>
        <w:numPr>
          <w:ilvl w:val="0"/>
          <w:numId w:val="1"/>
        </w:numPr>
        <w:spacing w:after="120" w:before="120" w:beforeAutospacing="0" w:line="240" w:lineRule="auto"/>
        <w:ind w:left="720" w:firstLine="0"/>
        <w:jc w:val="center"/>
        <w:rPr>
          <w:b w:val="1"/>
          <w:bCs w:val="1"/>
          <w:sz w:val="20"/>
          <w:szCs w:val="20"/>
        </w:rPr>
      </w:pPr>
      <w:r>
        <w:rPr>
          <w:rFonts w:ascii="Times New Roman" w:hAnsi="Times New Roman" w:eastAsia="Times New Roman"/>
          <w:b/>
          <w:i w:val="0"/>
          <w:sz w:val="20"/>
        </w:rPr>
        <w:t>REFERENCIAS BIBLIOGRÁFICAS</w:t>
      </w:r>
    </w:p>
    <w:p w:rsidR="00000000" w:rsidDel="00000000" w:rsidP="00000000" w:rsidRDefault="00000000" w:rsidRPr="00000000" w14:paraId="00000014">
      <w:pPr>
        <w:spacing w:after="160" w:before="240" w:line="240" w:lineRule="auto"/>
        <w:ind w:left="0" w:firstLine="0"/>
        <w:rPr>
          <w:sz w:val="20"/>
          <w:szCs w:val="20"/>
        </w:rPr>
      </w:pPr>
      <w:r w:rsidDel="00000000" w:rsidR="00000000" w:rsidRPr="00000000">
        <w:rPr>
          <w:rtl w:val="0"/>
        </w:rPr>
      </w:r>
    </w:p>
    <w:p w:rsidR="00000000" w:rsidDel="00000000" w:rsidP="00000000" w:rsidRDefault="00000000" w:rsidRPr="00000000" w14:paraId="00000015">
      <w:pPr>
        <w:spacing w:line="240" w:lineRule="auto"/>
        <w:jc w:val="left"/>
        <w:rPr>
          <w:sz w:val="20"/>
          <w:szCs w:val="20"/>
        </w:rPr>
      </w:pPr>
      <w:r w:rsidDel="00000000" w:rsidR="00000000" w:rsidRPr="00000000">
        <w:rPr>
          <w:rtl w:val="0"/>
        </w:rPr>
      </w:r>
    </w:p>
    <w:p w:rsidR="00000000" w:rsidDel="00000000" w:rsidP="00000000" w:rsidRDefault="00000000" w:rsidRPr="00000000" w14:paraId="00000016">
      <w:pPr>
        <w:spacing w:line="240" w:lineRule="auto"/>
        <w:rPr>
          <w:sz w:val="20"/>
          <w:szCs w:val="20"/>
        </w:rPr>
      </w:pPr>
      <w:r w:rsidDel="00000000" w:rsidR="00000000" w:rsidRPr="00000000">
        <w:rPr>
          <w:rtl w:val="0"/>
        </w:rPr>
      </w:r>
    </w:p>
    <w:p w:rsidR="00000000" w:rsidDel="00000000" w:rsidP="00000000" w:rsidRDefault="00000000" w:rsidRPr="00000000" w14:paraId="00000017">
      <w:pPr>
        <w:spacing w:line="240" w:lineRule="auto"/>
        <w:rPr>
          <w:sz w:val="20"/>
          <w:szCs w:val="20"/>
        </w:rPr>
      </w:pPr>
      <w:r w:rsidDel="00000000" w:rsidR="00000000" w:rsidRPr="00000000">
        <w:rPr>
          <w:rtl w:val="0"/>
        </w:rPr>
      </w:r>
    </w:p>
    <w:p w:rsidR="00000000" w:rsidDel="00000000" w:rsidP="00000000" w:rsidRDefault="00000000" w:rsidRPr="00000000" w14:paraId="00000018">
      <w:pPr>
        <w:spacing w:line="240" w:lineRule="auto"/>
        <w:rPr>
          <w:sz w:val="20"/>
          <w:szCs w:val="20"/>
        </w:rPr>
      </w:pPr>
      <w:r w:rsidDel="00000000" w:rsidR="00000000" w:rsidRPr="00000000">
        <w:rPr>
          <w:rtl w:val="0"/>
        </w:rPr>
      </w:r>
    </w:p>
    <w:p w:rsidR="00000000" w:rsidDel="00000000" w:rsidP="00000000" w:rsidRDefault="00000000" w:rsidRPr="00000000" w14:paraId="00000019">
      <w:pPr>
        <w:spacing w:line="240" w:lineRule="auto"/>
        <w:rPr>
          <w:sz w:val="20"/>
          <w:szCs w:val="20"/>
        </w:rPr>
      </w:pPr>
      <w:r w:rsidDel="00000000" w:rsidR="00000000" w:rsidRPr="00000000">
        <w:rPr>
          <w:rtl w:val="0"/>
        </w:rPr>
      </w:r>
    </w:p>
    <w:p>
      <w:pPr>
        <w:spacing w:after="60" w:line="240" w:lineRule="auto"/>
        <w:ind w:firstLine="0"/>
      </w:pPr>
    </w:p>
    <w:p>
      <w:pPr>
        <w:spacing w:after="120" w:line="240" w:lineRule="auto"/>
        <w:ind w:firstLine="425"/>
      </w:pPr>
    </w:p>
    <w:p>
      <w:pPr>
        <w:spacing w:after="120" w:line="240" w:lineRule="auto"/>
        <w:ind w:firstLine="425"/>
      </w:pPr>
    </w:p>
    <w:p>
      <w:pPr>
        <w:spacing w:after="60" w:line="240" w:lineRule="auto"/>
        <w:ind w:firstLine="0"/>
      </w:pPr>
    </w:p>
    <w:p>
      <w:pPr>
        <w:spacing w:after="120" w:line="240" w:lineRule="auto"/>
        <w:ind w:firstLine="0"/>
      </w:pP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0"/>
      </w:pP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120" w:line="240" w:lineRule="auto"/>
        <w:ind w:firstLine="0"/>
      </w:pPr>
    </w:p>
    <w:p>
      <w:pPr>
        <w:spacing w:after="120" w:line="240" w:lineRule="auto"/>
        <w:ind w:firstLine="425"/>
      </w:pPr>
    </w:p>
    <w:p>
      <w:pPr>
        <w:spacing w:after="120" w:line="240" w:lineRule="auto"/>
        <w:ind w:firstLine="0"/>
      </w:pPr>
    </w:p>
    <w:p>
      <w:pPr>
        <w:spacing w:after="120" w:line="240" w:lineRule="auto"/>
        <w:ind w:firstLine="425"/>
      </w:pPr>
    </w:p>
    <w:p>
      <w:pPr>
        <w:spacing w:after="120" w:line="240" w:lineRule="auto"/>
        <w:ind w:firstLine="425"/>
      </w:pPr>
    </w:p>
    <w:p>
      <w:pPr>
        <w:spacing w:after="60" w:line="240" w:lineRule="auto"/>
        <w:ind w:firstLine="0"/>
      </w:pPr>
    </w:p>
    <w:p>
      <w:pPr>
        <w:spacing w:after="160" w:line="240" w:lineRule="auto"/>
        <w:ind w:firstLine="0"/>
      </w:pPr>
    </w:p>
    <w:p>
      <w:pPr>
        <w:spacing w:after="60" w:line="240" w:lineRule="auto"/>
        <w:ind w:firstLine="0"/>
      </w:pPr>
    </w:p>
    <w:p>
      <w:pPr>
        <w:spacing w:after="160" w:line="240" w:lineRule="auto"/>
        <w:ind w:firstLine="0"/>
      </w:pPr>
    </w:p>
    <w:p>
      <w:pPr>
        <w:spacing w:after="60" w:line="240" w:lineRule="auto"/>
        <w:ind w:firstLine="0"/>
      </w:pPr>
    </w:p>
    <w:p>
      <w:pPr>
        <w:spacing w:after="160" w:line="240" w:lineRule="auto"/>
        <w:ind w:firstLine="0"/>
      </w:pPr>
    </w:p>
    <w:p>
      <w:pPr>
        <w:spacing w:after="60" w:line="240" w:lineRule="auto"/>
        <w:ind w:firstLine="0"/>
      </w:pPr>
    </w:p>
    <w:p>
      <w:pPr>
        <w:spacing w:after="160" w:line="240" w:lineRule="auto"/>
        <w:ind w:firstLine="0"/>
      </w:pPr>
    </w:p>
    <w:p>
      <w:pPr>
        <w:spacing w:after="12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sectPr>
      <w:pgSz w:h="16838" w:w="11906"/>
      <w:pgMar w:bottom="1133.8582677165355" w:top="1700.7874015748032" w:left="1842.51968503937"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hQmkJjvu5lhA2JmA6QlgVyyXuw==">CgMxLjA4AHIhMWg3c2xzaVhfTVJCRUZrQ2FlblduclptM0Rqb2hUMWJ5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