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jc w:val="center"/>
        <w:rPr>
          <w:b w:val="1"/>
          <w:bCs w:val="1"/>
          <w:sz w:val="24"/>
          <w:szCs w:val="24"/>
        </w:rPr>
      </w:pPr>
      <w:r>
        <w:rPr>
          <w:rFonts w:ascii="Times New Roman" w:hAnsi="Times New Roman"/>
          <w:b/>
          <w:sz w:val="24"/>
        </w:rPr>
        <w:t>CLASSIFICAÇÃO TEMPORAL DE QUEDAS NA PRODUÇÃO MUNICIPAL DE LEITE NO PARANÁ COM APRENDIZADO DE MÁQUINA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18"/>
          <w:szCs w:val="18"/>
        </w:rPr>
      </w:pPr>
      <w:r>
        <w:rPr>
          <w:rFonts w:ascii="Times New Roman" w:hAnsi="Times New Roman"/>
          <w:b/>
          <w:sz w:val="17"/>
        </w:rPr>
        <w:t>Andressa Aparecida Guimarães - Universidade Estadual de Ponta Grossa (UEPG)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  <w:sz w:val="18"/>
          <w:szCs w:val="18"/>
        </w:rPr>
      </w:pPr>
      <w:r>
        <w:rPr>
          <w:rFonts w:ascii="Times New Roman" w:hAnsi="Times New Roman"/>
          <w:b/>
          <w:sz w:val="17"/>
        </w:rPr>
        <w:t>Gabrielly de Queiroz Pereira - Universidade Estadual de Ponta Grossa (UEPG)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bCs w:val="1"/>
          <w:sz w:val="18"/>
          <w:szCs w:val="18"/>
        </w:rPr>
        <w:sectPr>
          <w:headerReference r:id="rId7" w:type="default"/>
          <w:footerReference r:id="rId8" w:type="default"/>
          <w:pgSz w:h="16834" w:w="11909" w:orient="portrait"/>
          <w:pgMar w:bottom="1134" w:top="1440" w:left="1134" w:right="1134" w:header="340" w:footer="340"/>
          <w:pgNumType w:start="1"/>
        </w:sectPr>
      </w:pPr>
      <w:r>
        <w:rPr>
          <w:rFonts w:ascii="Times New Roman" w:hAnsi="Times New Roman"/>
          <w:b/>
          <w:sz w:val="17"/>
        </w:rPr>
        <w:t>Maria Salete Marcon Gomes Vaz - Universidade Estadual de Ponta Grossa (UEPG)</w:t>
      </w:r>
    </w:p>
    <w:p>
      <w:pPr>
        <w:spacing w:after="60" w:before="0" w:line="240" w:lineRule="auto"/>
        <w:jc w:val="both"/>
      </w:pPr>
      <w:r>
        <w:rPr>
          <w:rFonts w:ascii="Times New Roman" w:hAnsi="Times New Roman"/>
          <w:b w:val="0"/>
          <w:i w:val="0"/>
          <w:sz w:val="17"/>
        </w:rPr>
        <w:t>Resumo: Este estudo investiga um problema distinto da previsão de volumes: identificar municípios com queda anual de produção de leite igual ou superior a 10%. A partir da PPM/IBGE-SIDRA (tabela 74, produto 2682) e do painel agroclimático público já integrado, foram usados somente atributos disponíveis até t-1. Floresta Aleatória e XGBoost foram avaliados em teste temporal 2017-2019 (1.197 observações); a prevalência de quedas foi 24,1%. Os resultados ficaram próximos da referência sem queda, indicando que esses dados não sustentaram um alerta confiável neste recorte.</w:t>
      </w:r>
    </w:p>
    <w:p>
      <w:pPr>
        <w:spacing w:after="60" w:before="0" w:line="240" w:lineRule="auto"/>
        <w:jc w:val="both"/>
      </w:pPr>
      <w:r>
        <w:rPr>
          <w:rFonts w:ascii="Times New Roman" w:hAnsi="Times New Roman"/>
          <w:b w:val="0"/>
          <w:i w:val="0"/>
          <w:sz w:val="16"/>
        </w:rPr>
        <w:t>Palavras-chave: produção leiteira; classificação; alerta de queda; floresta aleatória; XGBoost.</w:t>
      </w:r>
    </w:p>
    <w:p>
      <w:pPr>
        <w:keepNext/>
        <w:spacing w:after="40" w:before="60" w:line="240" w:lineRule="auto"/>
        <w:jc w:val="left"/>
      </w:pPr>
      <w:r>
        <w:rPr>
          <w:rFonts w:ascii="Times New Roman" w:hAnsi="Times New Roman"/>
          <w:b/>
          <w:i w:val="0"/>
          <w:sz w:val="20"/>
        </w:rPr>
        <w:t>1. Introdução</w:t>
      </w:r>
    </w:p>
    <w:p>
      <w:pPr>
        <w:spacing w:after="60" w:before="0" w:line="240" w:lineRule="auto"/>
        <w:jc w:val="both"/>
      </w:pPr>
      <w:r>
        <w:rPr>
          <w:rFonts w:ascii="Times New Roman" w:hAnsi="Times New Roman"/>
          <w:b w:val="0"/>
          <w:i w:val="0"/>
          <w:sz w:val="16"/>
        </w:rPr>
        <w:t>A aprendizagem de máquina tem sido aplicada à predição da produção e ao manejo leiteiro, em tarefas cuja escala e desempenho dependem dos dados disponíveis (Slob et al., 2021; Palma et al., 2025). Estudos modelaram séries mensais de leite em sistemas de pastagem (Perez-Guerra et al., 2023) e produção nacional com dados climáticos e econômicos (Cesarini et al., 2024). Na agricultura brasileira, clima e sensoriamento remoto também foram integrados para prever produtividade municipal de soja (von Bloh et al., 2023). Esses trabalhos estimam volumes; este artigo propõe um recorte diferente: classificar retrações anuais da produção leiteira municipal, sem atribuir causas, e avaliar se dados públicos defasados permitem sinalizá-las.</w:t>
      </w:r>
    </w:p>
    <w:p>
      <w:pPr>
        <w:keepNext/>
        <w:spacing w:after="40" w:before="60" w:line="240" w:lineRule="auto"/>
        <w:jc w:val="left"/>
      </w:pPr>
      <w:r>
        <w:rPr>
          <w:rFonts w:ascii="Times New Roman" w:hAnsi="Times New Roman"/>
          <w:b/>
          <w:i w:val="0"/>
          <w:sz w:val="20"/>
        </w:rPr>
        <w:t>2. Materiais e Métodos</w:t>
      </w:r>
    </w:p>
    <w:p>
      <w:pPr>
        <w:spacing w:after="60" w:before="0" w:line="240" w:lineRule="auto"/>
        <w:jc w:val="both"/>
      </w:pPr>
      <w:r>
        <w:rPr>
          <w:rFonts w:ascii="Times New Roman" w:hAnsi="Times New Roman"/>
          <w:b w:val="0"/>
          <w:i w:val="0"/>
          <w:sz w:val="16"/>
        </w:rPr>
        <w:t>A unidade município-ano abrange 399 municípios. A produção anual (mil litros) vem da PPM/IBGE-SIDRA, tabela 74, produto leite 2682 (https://sidra.ibge.gov.br/tabela/74). O alvo vale 1 quando a queda ante t-1 é de pelo menos 10%, limiar operacional. Preditores: produção em t-1/t-2, crescimento até t-1, ano, código municipal categórico e clima defasado da estação INMET A819, em Castro (https://portal.inmet.gov.br/dadoshistoricos): precipitação, temperaturas média e máxima média, radiação, umidade, vento e dias secos aproximados. O clima de t não prevê o próprio t; após remover ausências necessárias aos lags, modelaram-se 2008-2019. O clima de Castro é comum aos municípios, e o alvo classifica quedas, não volume.</w:t>
      </w:r>
    </w:p>
    <w:p>
      <w:pPr>
        <w:spacing w:after="40" w:before="0" w:line="240" w:lineRule="auto"/>
        <w:jc w:val="both"/>
      </w:pPr>
      <w:r>
        <w:rPr>
          <w:rFonts w:ascii="Times New Roman" w:hAnsi="Times New Roman"/>
          <w:b w:val="0"/>
          <w:i w:val="0"/>
          <w:sz w:val="16"/>
        </w:rPr>
        <w:t>Compararam-se Floresta Aleatória (RF) e XGBoost (XGB) com a referência ‘sem queda’. A precisão média (AP) selecionou hiperparâmetros em validações cronológicas de 2015 e 2016, treinadas apenas com anos anteriores; 2017-2019 ficou como teste intocado. No RF, a busca combinou 200/500 árvores, profundidade 6/12 e folha mínima 2/5, com pesos balanceados; selecionou 500, 12 e 5. No XGB, testaram-se 150/300 árvores, profundidade 2/4, taxa 0,03/0,08 e subamostragens de 0,8; selecionou 150, 2 e 0,08. Usou-se limiar 0,5. Métricas: precisão, sensibilidade, F1, acurácia balanceada, AP e área sob a curva ROC (ROC-AUC). Código: https://github.com/GabyQueiroz/CITREN_leite, script scripts/build_decline_risk_models.py.</w:t>
      </w:r>
    </w:p>
    <w:p>
      <w:pPr>
        <w:keepNext/>
        <w:spacing w:after="40" w:before="60" w:line="240" w:lineRule="auto"/>
        <w:jc w:val="left"/>
      </w:pPr>
      <w:r>
        <w:rPr>
          <w:rFonts w:ascii="Times New Roman" w:hAnsi="Times New Roman"/>
          <w:b/>
          <w:i w:val="0"/>
          <w:sz w:val="20"/>
        </w:rPr>
        <w:t>3. Resultados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B8B8"/>
          <w:left w:val="single" w:sz="4" w:color="AAB8B8"/>
          <w:bottom w:val="single" w:sz="4" w:color="AAB8B8"/>
          <w:right w:val="single" w:sz="4" w:color="AAB8B8"/>
          <w:insideH w:val="single" w:sz="4" w:color="AAB8B8"/>
          <w:insideV w:val="single" w:sz="4" w:color="AAB8B8"/>
        </w:tblBorders>
        <w:tblCellMar>
          <w:top w:w="20" w:type="dxa"/>
          <w:bottom w:w="20" w:type="dxa"/>
          <w:left w:w="40" w:type="dxa"/>
          <w:right w:w="40" w:type="dxa"/>
        </w:tblCellMar>
      </w:tblPr>
      <w:tblGrid>
        <w:gridCol w:w="1607"/>
        <w:gridCol w:w="1607"/>
        <w:gridCol w:w="1607"/>
        <w:gridCol w:w="1607"/>
        <w:gridCol w:w="1607"/>
        <w:gridCol w:w="1607"/>
      </w:tblGrid>
      <w:tr>
        <w:trPr>
          <w:cantSplit/>
        </w:trPr>
        <w:tc>
          <w:tcPr>
            <w:tcW w:type="dxa" w:w="576"/>
            <w:gridSpan w:val="6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i/>
                <w:sz w:val="13"/>
              </w:rPr>
              <w:t>Tabela 1. Métricas de classificação no teste temporal (2017-2019). Fonte: elaboração própria.</w:t>
            </w:r>
          </w:p>
        </w:tc>
      </w:tr>
      <w:tr>
        <w:trPr>
          <w:cantSplit/>
          <w:tblHeader w:val="true"/>
        </w:trP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F4E4D"/>
                <w:sz w:val="12"/>
              </w:rPr>
              <w:t>Modelo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F4E4D"/>
                <w:sz w:val="12"/>
              </w:rPr>
              <w:t>Prec.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F4E4D"/>
                <w:sz w:val="12"/>
              </w:rPr>
              <w:t>Sens.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F4E4D"/>
                <w:sz w:val="12"/>
              </w:rPr>
              <w:t>F1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F4E4D"/>
                <w:sz w:val="12"/>
              </w:rPr>
              <w:t>AP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F4E4D"/>
                <w:sz w:val="12"/>
              </w:rPr>
              <w:t>ROC-AUC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2"/>
              </w:rPr>
              <w:t>Sem queda (referência)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2"/>
              </w:rPr>
              <w:t>0,00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2"/>
              </w:rPr>
              <w:t>0,00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2"/>
              </w:rPr>
              <w:t>0,00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2"/>
              </w:rPr>
              <w:t>0,24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2"/>
              </w:rPr>
              <w:t>0,50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2"/>
              </w:rPr>
              <w:t>Floresta Aleatória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2"/>
              </w:rPr>
              <w:t>0,22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2"/>
              </w:rPr>
              <w:t>0,29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2"/>
              </w:rPr>
              <w:t>0,25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2"/>
              </w:rPr>
              <w:t>0,24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2"/>
              </w:rPr>
              <w:t>0,49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2"/>
              </w:rPr>
              <w:t>XGBoost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2"/>
              </w:rPr>
              <w:t>0,00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2"/>
              </w:rPr>
              <w:t>0,00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2"/>
              </w:rPr>
              <w:t>0,00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2"/>
              </w:rPr>
              <w:t>0,24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2"/>
              </w:rPr>
              <w:t>0,50</w:t>
            </w:r>
          </w:p>
        </w:tc>
      </w:tr>
    </w:tbl>
    <w:p>
      <w:pPr>
        <w:spacing w:after="0"/>
      </w:pPr>
    </w:p>
    <w:p>
      <w:pPr>
        <w:keepNext/>
        <w:spacing w:after="20"/>
        <w:jc w:val="center"/>
      </w:pPr>
      <w:r>
        <w:drawing>
          <wp:inline>
            <wp:extent cx="2788920" cy="13226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ces_confusion_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322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80" w:before="0" w:line="240" w:lineRule="auto"/>
        <w:jc w:val="center"/>
      </w:pPr>
      <w:r>
        <w:rPr>
          <w:rFonts w:ascii="Times New Roman" w:hAnsi="Times New Roman"/>
          <w:b w:val="0"/>
          <w:i w:val="0"/>
          <w:sz w:val="16"/>
        </w:rPr>
        <w:t>Figura 1. Casos reais e sinalizados pelos classificadores com limiar 0,5. Fonte: elaboração própria.</w:t>
      </w:r>
    </w:p>
    <w:p>
      <w:pPr>
        <w:spacing w:after="60" w:before="0" w:line="240" w:lineRule="auto"/>
        <w:jc w:val="both"/>
      </w:pPr>
      <w:r>
        <w:rPr>
          <w:rFonts w:ascii="Times New Roman" w:hAnsi="Times New Roman"/>
          <w:b w:val="0"/>
          <w:i w:val="0"/>
          <w:sz w:val="16"/>
        </w:rPr>
        <w:t>As quedas corresponderam a 24,1% do teste. A Floresta Aleatória identificou 85 dos 289 casos (sensibilidade=0,29), mas gerou 296 falsos alertas e precisão de 0,22; sua AP (0,236) ficou abaixo da referência (0,241). O XGBoost teve AP=0,242, próxima à prevalência: não identificou quedas e gerou três falsos alertas. As acurácias balanceadas foram 0,484 (RF) e 0,498 (XGB); ROC-AUCs próximas de 0,5 indicam discriminação insuficiente. Os resultados não justificam uso operacional como alerta.</w:t>
      </w:r>
    </w:p>
    <w:p>
      <w:pPr>
        <w:spacing w:after="60" w:before="0" w:line="240" w:lineRule="auto"/>
        <w:jc w:val="both"/>
      </w:pPr>
      <w:r>
        <w:rPr>
          <w:rFonts w:ascii="Times New Roman" w:hAnsi="Times New Roman"/>
          <w:b w:val="0"/>
          <w:i w:val="0"/>
          <w:sz w:val="16"/>
        </w:rPr>
        <w:t>A regra ‘sem queda’ acertaria a maioria das observações por causa do desbalanceamento, mas teria sensibilidade nula; por isso, acurácia simples não seria evidência de alerta útil. O RF recuperou menos de um terço das retrações e mais de três quartos dos seus avisos foram falsos. A AP próxima da prevalência mostra que ordenar municípios por risco quase não melhorou em relação ao acaso. Em aplicações reais, falsos alertas também têm custo operacional e exigiriam validação com agentes do setor.</w:t>
      </w:r>
    </w:p>
    <w:p>
      <w:pPr>
        <w:keepNext/>
        <w:spacing w:after="40" w:before="60" w:line="240" w:lineRule="auto"/>
        <w:jc w:val="left"/>
      </w:pPr>
      <w:r>
        <w:rPr>
          <w:rFonts w:ascii="Times New Roman" w:hAnsi="Times New Roman"/>
          <w:b/>
          <w:i w:val="0"/>
          <w:sz w:val="20"/>
        </w:rPr>
        <w:t>4. Conclusão</w:t>
      </w:r>
    </w:p>
    <w:p>
      <w:pPr>
        <w:spacing w:after="60" w:before="0" w:line="240" w:lineRule="auto"/>
        <w:jc w:val="both"/>
      </w:pPr>
      <w:r>
        <w:rPr>
          <w:rFonts w:ascii="Times New Roman" w:hAnsi="Times New Roman"/>
          <w:b w:val="0"/>
          <w:i w:val="0"/>
          <w:sz w:val="16"/>
        </w:rPr>
        <w:t>Este recorte formula uma pergunta diferente da regressão do volume anual: avaliar detecção de retrações com atributos defasados e teste cronológico. Neste experimento, RF e XGBoost não superaram a referência simples; portanto, não se recomenda implantar alertas com estas variáveis. A PPM anual e o clima de uma única estação, replicado no estado, oferecem pouca informação espacial, e a queda de 10% é uma definição operacional sensível a revisões e flutuações. Estudos futuros devem incluir clima espacializado, tamanho e estrutura do rebanho e séries mais longas, validar o limiar com especialistas e avaliar sensibilidade, calibração e validação externa.</w:t>
      </w:r>
    </w:p>
    <w:p>
      <w:pPr>
        <w:keepNext/>
        <w:spacing w:after="40" w:before="60" w:line="240" w:lineRule="auto"/>
        <w:jc w:val="left"/>
      </w:pPr>
      <w:r>
        <w:rPr>
          <w:rFonts w:ascii="Times New Roman" w:hAnsi="Times New Roman"/>
          <w:b/>
          <w:i w:val="0"/>
          <w:sz w:val="20"/>
        </w:rPr>
        <w:t>Referências</w:t>
      </w:r>
    </w:p>
    <w:p>
      <w:pPr>
        <w:spacing w:after="20" w:before="0" w:line="240" w:lineRule="auto"/>
        <w:jc w:val="left"/>
      </w:pPr>
      <w:r>
        <w:rPr>
          <w:rFonts w:ascii="Times New Roman" w:hAnsi="Times New Roman"/>
          <w:b w:val="0"/>
          <w:i w:val="0"/>
          <w:sz w:val="13"/>
        </w:rPr>
        <w:t>IBGE. Pesquisa da Pecuária Municipal, tabela SIDRA 74. https://sidra.ibge.gov.br/tabela/74. Acesso em: 20 out. 2026.</w:t>
      </w:r>
    </w:p>
    <w:p>
      <w:pPr>
        <w:spacing w:after="20" w:before="0" w:line="240" w:lineRule="auto"/>
        <w:jc w:val="left"/>
      </w:pPr>
      <w:r>
        <w:rPr>
          <w:rFonts w:ascii="Times New Roman" w:hAnsi="Times New Roman"/>
          <w:b w:val="0"/>
          <w:i w:val="0"/>
          <w:sz w:val="13"/>
        </w:rPr>
        <w:t>INMET. Dados históricos de estações meteorológicas. https://portal.inmet.gov.br/dadoshistoricos. Acesso em: 20 out. 2026.</w:t>
      </w:r>
    </w:p>
    <w:p>
      <w:pPr>
        <w:spacing w:after="20" w:before="0" w:line="240" w:lineRule="auto"/>
        <w:jc w:val="left"/>
      </w:pPr>
      <w:r>
        <w:rPr>
          <w:rFonts w:ascii="Times New Roman" w:hAnsi="Times New Roman"/>
          <w:b w:val="0"/>
          <w:i w:val="0"/>
          <w:sz w:val="13"/>
        </w:rPr>
        <w:t>CESARINI, L. et al. Comparison of deep learning models for milk production forecasting at national scale. Computers and Electronics in Agriculture, 221, 108933, 2024. doi:10.1016/j.compag.2024.108933.</w:t>
      </w:r>
    </w:p>
    <w:p>
      <w:pPr>
        <w:spacing w:after="20" w:before="0" w:line="240" w:lineRule="auto"/>
        <w:jc w:val="left"/>
      </w:pPr>
      <w:r>
        <w:rPr>
          <w:rFonts w:ascii="Times New Roman" w:hAnsi="Times New Roman"/>
          <w:b w:val="0"/>
          <w:i w:val="0"/>
          <w:sz w:val="13"/>
        </w:rPr>
        <w:t>PALMA, O. et al. AI and data analytics in the dairy farms: a scoping review. Animals, 15(9), 1291, 2025. doi:10.3390/ani15091291.</w:t>
      </w:r>
    </w:p>
    <w:p>
      <w:pPr>
        <w:spacing w:after="20" w:before="0" w:line="240" w:lineRule="auto"/>
        <w:jc w:val="left"/>
      </w:pPr>
      <w:r>
        <w:rPr>
          <w:rFonts w:ascii="Times New Roman" w:hAnsi="Times New Roman"/>
          <w:b w:val="0"/>
          <w:i w:val="0"/>
          <w:sz w:val="13"/>
        </w:rPr>
        <w:t>PEREZ-GUERRA, U. H. et al. Seasonal autoregressive integrated moving average (SARIMA) time-series model for milk production forecasting in pasture-based dairy cows in the Andean highlands. PLOS ONE, 18, e0288849, 2023. doi:10.1371/journal.pone.0288849.</w:t>
      </w:r>
    </w:p>
    <w:p>
      <w:pPr>
        <w:spacing w:after="20" w:before="0" w:line="240" w:lineRule="auto"/>
        <w:jc w:val="left"/>
      </w:pPr>
      <w:r>
        <w:rPr>
          <w:rFonts w:ascii="Times New Roman" w:hAnsi="Times New Roman"/>
          <w:b w:val="0"/>
          <w:i w:val="0"/>
          <w:sz w:val="13"/>
        </w:rPr>
        <w:t>SLOB, N.; CATAL, C.; KASSAHUN, A. Application of machine learning to improve dairy farm management. Preventive Veterinary Medicine, 187, 105237, 2021. doi:10.1016/j.prevetmed.2020.105237.</w:t>
      </w:r>
    </w:p>
    <w:p>
      <w:pPr>
        <w:spacing w:after="20" w:before="0" w:line="240" w:lineRule="auto"/>
        <w:jc w:val="left"/>
      </w:pPr>
      <w:r>
        <w:rPr>
          <w:rFonts w:ascii="Times New Roman" w:hAnsi="Times New Roman"/>
          <w:b w:val="0"/>
          <w:i w:val="0"/>
          <w:sz w:val="13"/>
        </w:rPr>
        <w:t>VON BLOH, M. et al. Machine learning for soybean yield forecasting in Brazil. Agricultural and Forest Meteorology, 341, 109670, 2023. doi:10.1016/j.agrformet.2023.109670.</w:t>
      </w:r>
    </w:p>
    <w:sectPr>
      <w:type w:val="continuous"/>
      <w:pgSz w:h="16834" w:w="11909" w:orient="portrait"/>
      <w:pgMar w:bottom="1440" w:top="1440" w:left="1134" w:right="1134" w:header="340" w:footer="340"/>
      <w:cols w:equalWidth="0" w:num="2">
        <w:col w:space="720" w:w="4458.88"/>
        <w:col w:space="0" w:w="4458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spacing w:line="276" w:lineRule="auto"/>
      <w:ind w:left="-566.9291338582677" w:right="-597.7952755905517" w:firstLine="0"/>
      <w:rPr/>
    </w:pPr>
    <w:r w:rsidDel="00000000" w:rsidR="00000000" w:rsidRPr="00000000">
      <w:rPr/>
      <w:drawing>
        <wp:inline distB="114300" distT="114300" distL="114300" distR="114300">
          <wp:extent cx="6542813" cy="76200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1509" l="0" r="0" t="22431"/>
                  <a:stretch>
                    <a:fillRect/>
                  </a:stretch>
                </pic:blipFill>
                <pic:spPr>
                  <a:xfrm>
                    <a:off x="0" y="0"/>
                    <a:ext cx="6542813" cy="762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spacing w:line="240" w:lineRule="auto"/>
      <w:ind w:left="-566.9291338582677" w:firstLine="0"/>
      <w:jc w:val="center"/>
      <w:rPr/>
    </w:pPr>
    <w:r w:rsidDel="00000000" w:rsidR="00000000" w:rsidRPr="00000000">
      <w:rPr/>
      <w:drawing>
        <wp:inline distB="114300" distT="114300" distL="114300" distR="114300">
          <wp:extent cx="6464138" cy="847725"/>
          <wp:effectExtent b="0" l="0" r="0" t="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0520" l="0" r="0" t="16802"/>
                  <a:stretch>
                    <a:fillRect/>
                  </a:stretch>
                </pic:blipFill>
                <pic:spPr>
                  <a:xfrm>
                    <a:off x="0" y="0"/>
                    <a:ext cx="6464138" cy="8477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+MN5Z455Jk1R074sd4DRP1u8yQ==">CgMxLjA4AHIhMWNEN3BJU2NLLXl2YXpHWFhnTmpYVkJNSU4tUmttODRy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