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jc w:val="center"/>
        <w:rPr>
          <w:b w:val="1"/>
          <w:bCs w:val="1"/>
          <w:sz w:val="24"/>
          <w:szCs w:val="24"/>
        </w:rPr>
      </w:pPr>
      <w:r>
        <w:rPr>
          <w:rFonts w:ascii="Times New Roman" w:hAnsi="Times New Roman"/>
          <w:b/>
          <w:sz w:val="24"/>
        </w:rPr>
        <w:t>CLASSIFICAÇÃO TEMPORAL DE QUEDAS NA PRODUÇÃO MUNICIPAL DE LEITE NO PARANÁ COM APRENDIZADO DE MÁQUINA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b w:val="1"/>
          <w:bCs w:val="1"/>
          <w:sz w:val="18"/>
          <w:szCs w:val="18"/>
        </w:rPr>
      </w:pPr>
      <w:r>
        <w:rPr>
          <w:rFonts w:ascii="Times New Roman" w:hAnsi="Times New Roman"/>
          <w:b/>
          <w:sz w:val="17"/>
        </w:rPr>
        <w:t>Andressa Aparecida Guimarães - Universidade Estadual de Ponta Grossa (UEPG)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bCs w:val="1"/>
          <w:sz w:val="18"/>
          <w:szCs w:val="18"/>
        </w:rPr>
      </w:pPr>
      <w:r>
        <w:rPr>
          <w:rFonts w:ascii="Times New Roman" w:hAnsi="Times New Roman"/>
          <w:b/>
          <w:sz w:val="17"/>
        </w:rPr>
        <w:t>Gabrielly de Queiroz Pereira - Universidade Estadual de Ponta Grossa (UEPG)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b w:val="1"/>
          <w:bCs w:val="1"/>
          <w:sz w:val="18"/>
          <w:szCs w:val="18"/>
        </w:rPr>
        <w:sectPr>
          <w:headerReference r:id="rId7" w:type="default"/>
          <w:footerReference r:id="rId8" w:type="default"/>
          <w:pgSz w:h="16834" w:w="11909" w:orient="portrait"/>
          <w:pgMar w:bottom="1134" w:top="1440" w:left="1134" w:right="1134" w:header="340" w:footer="340"/>
          <w:pgNumType w:start="1"/>
        </w:sectPr>
      </w:pPr>
      <w:r>
        <w:rPr>
          <w:rFonts w:ascii="Times New Roman" w:hAnsi="Times New Roman"/>
          <w:b/>
          <w:sz w:val="17"/>
        </w:rPr>
        <w:t>Maria Salete Marcon Gomes Vaz - Universidade Estadual de Ponta Grossa (UEPG)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7"/>
        </w:rPr>
        <w:t>Resumo: Este estudo investiga um problema distinto da previsão de volumes: identificar municípios com queda anual de produção de leite igual ou superior a 10%. A partir da PPM/IBGE-SIDRA (tabela 74, produto 2682) e do painel agroclimático público já integrado, foram usados somente atributos disponíveis até t-1. Random Forest e XGBoost foram avaliados em teste temporal 2017-2019 (1.197 observações); a prevalência de quedas foi 24,1%. Os resultados ficaram próximos da referência sem queda, indicando que esses dados não sustentaram um alerta confiável neste recorte.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Palavras-chave: produção leiteira; classificação; alerta de queda; Random Forest; XGBoost.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1. Introdução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produção municipal de leite pode variar entre anos, e reconhecer retrações expressivas é um problema diferente de estimar o volume produzido. Estudos de aprendizagem de máquina no setor leiteiro concentram-se sobretudo em predição produtiva e manejo, com desempenho dependente da escala e das variáveis observadas (Slob et al., 2021; Palma et al., 2025). Em vez de estimar um valor contínuo, este estudo define uma tarefa de classificação de quedas anuais, sem inferir causas.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2. Materiais e Métodos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unidade foi município-ano, usando 399 municípios e a produção anual da PPM/IBGE, tabela SIDRA 74, produto leite 2682 (https://sidra.ibge.gov.br/tabela/74). O alvo é 1 quando (produção_t / produção_t-1) - 1 ≤ -0,10; o limiar de 10% é uma definição operacional deste estudo. O painel reutiliza fontes públicas da análise de regressão do grupo, mas muda a variável-resposta e a tarefa: classificação de quedas, não estimativa de volume. Os preditores foram produção em t-1 e t-2, crescimento até t-1, ano, código municipal e variáveis meteorológicas da estação INMET A819 de Castro agregadas ao ano anterior (https://portal.inmet.gov.br/dadoshistoricos). Não se usou clima do ano-alvo. A análise usa 2008-2019; dados ausentes nos lags necessários foram excluídos.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Compararam-se Random Forest (RF) e XGBoost (XGB) com baseline que classifica todos os casos como ‘sem queda’. Hiperparâmetros foram escolhidos por average precision em folds temporais completos de 2015 e 2016, sempre treinando em anos anteriores; o ajuste final usou dados até 2016 e teste intocado em 2017-2019. RF pesquisou 200/500 árvores, profundidade 6/12 e folha mínima 2/5, com pesos balanceados; selecionou 500, 12 e 5. XGB pesquisou 150/300 árvores, profundidade 2/4 e taxa 0,03/0,08, com amostragens 0,8; selecionou 150, 2 e 0,08. O limiar probabilístico foi fixo em 0,5. Métricas: precisão, sensibilidade (recall), F1, acurácia balanceada, average precision (AP) e ROC-AUC. Código e saídas: https://github.com/GabyQueiroz/CITREN_leite, script scripts/build_decline_risk_models.py.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3. Resultados e Discussão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AB8B8"/>
          <w:left w:val="single" w:sz="4" w:color="AAB8B8"/>
          <w:bottom w:val="single" w:sz="4" w:color="AAB8B8"/>
          <w:right w:val="single" w:sz="4" w:color="AAB8B8"/>
          <w:insideH w:val="single" w:sz="4" w:color="AAB8B8"/>
          <w:insideV w:val="single" w:sz="4" w:color="AAB8B8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cantSplit/>
          <w:tblHeader w:val="true"/>
        </w:trPr>
        <w:tc>
          <w:tcPr>
            <w:tcW w:type="dxa" w:w="1440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Modelo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Prec.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Sens.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F1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AP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1F4E4D"/>
                <w:sz w:val="12"/>
              </w:rPr>
              <w:t>AUC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Sem queda (baseline)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0,50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Random Forest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0,22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0,29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0,25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0,49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XGBoost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0,00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0,24</w:t>
            </w:r>
          </w:p>
        </w:tc>
        <w:tc>
          <w:tcPr>
            <w:tcW w:type="dxa" w:w="576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2"/>
              </w:rPr>
              <w:t>0,50</w:t>
            </w:r>
          </w:p>
        </w:tc>
      </w:tr>
    </w:tbl>
    <w:p>
      <w:pPr>
        <w:spacing w:after="0"/>
      </w:pPr>
    </w:p>
    <w:p>
      <w:pPr>
        <w:spacing w:after="20" w:before="0" w:line="240" w:lineRule="auto"/>
        <w:jc w:val="center"/>
      </w:pPr>
      <w:r>
        <w:rPr>
          <w:rFonts w:ascii="Times New Roman" w:hAnsi="Times New Roman"/>
          <w:b w:val="0"/>
          <w:i w:val="0"/>
          <w:sz w:val="13"/>
        </w:rPr>
        <w:t>Tabela 1. Métricas de classificação no teste temporal (2017-2019). Fonte: elaboração própria.</w:t>
      </w:r>
    </w:p>
    <w:p>
      <w:pPr>
        <w:keepNext/>
        <w:spacing w:after="20"/>
        <w:jc w:val="center"/>
      </w:pPr>
      <w:r>
        <w:drawing>
          <wp:inline>
            <wp:extent cx="2788920" cy="1322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confusi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322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80" w:before="0" w:line="240" w:lineRule="auto"/>
        <w:jc w:val="center"/>
      </w:pPr>
      <w:r>
        <w:rPr>
          <w:rFonts w:ascii="Times New Roman" w:hAnsi="Times New Roman"/>
          <w:b w:val="0"/>
          <w:i w:val="0"/>
          <w:sz w:val="16"/>
        </w:rPr>
        <w:t>Figura 1. Casos reais e sinalizados pelos classificadores com limiar 0,5. Fonte: elaboração própria.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As quedas corresponderam a 24,1% do teste. O RF identificou 85 dos 289 casos (sensibilidade=0,29), mas gerou 296 falsos alertas e precisão de 0,22; sua AP (0,236) ficou abaixo da referência (0,241). O XGBoost obteve AP=0,242, praticamente igual à prevalência, e não sinalizou casos com o limiar fixo. As acurácias balanceadas foram 0,484 (RF) e 0,498 (XGB); AUCs próximas de 0,5 indicam discriminação insuficiente. Os resultados não justificam uso operacional como alerta.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A regra ‘sem queda’ acertaria a maioria das observações por causa do desbalanceamento, mas teria sensibilidade nula; por isso, acurácia simples não seria evidência de alerta útil. O RF recuperou menos de um terço das retrações e mais de três quartos dos seus avisos foram falsos. A AP próxima da prevalência mostra que ordenar municípios por risco quase não melhorou em relação ao acaso. Em aplicações reais, falsos alertas também têm custo operacional e exigiriam validação com agentes do setor.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4. Conclusión</w:t>
      </w:r>
    </w:p>
    <w:p>
      <w:pPr>
        <w:spacing w:after="60" w:before="0" w:line="240" w:lineRule="auto"/>
        <w:jc w:val="both"/>
      </w:pPr>
      <w:r>
        <w:rPr>
          <w:rFonts w:ascii="Times New Roman" w:hAnsi="Times New Roman"/>
          <w:b w:val="0"/>
          <w:i w:val="0"/>
          <w:sz w:val="16"/>
        </w:rPr>
        <w:t>Este recorte formula uma pergunta diferente da regressão do volume anual: avaliar detecção de retrações com atributos defasados e teste cronológico. Neste experimento, RF e XGBoost não superaram a referência simples; portanto, não se recomenda implantar alertas com estas variáveis. A PPM anual e o clima de uma única estação, replicado no estado, oferecem pouca informação espacial, e a queda de 10% é uma definição operacional sensível a revisões e flutuações. Estudos futuros devem incluir clima espacializado, tamanho e estrutura do rebanho e séries mais longas, validar o limiar com especialistas e avaliar sensibilidade, calibração e validação externa.</w:t>
      </w:r>
    </w:p>
    <w:p>
      <w:pPr>
        <w:keepNext/>
        <w:spacing w:after="60" w:before="100" w:line="240" w:lineRule="auto"/>
        <w:jc w:val="left"/>
      </w:pPr>
      <w:r>
        <w:rPr>
          <w:rFonts w:ascii="Times New Roman" w:hAnsi="Times New Roman"/>
          <w:b/>
          <w:i w:val="0"/>
          <w:sz w:val="20"/>
        </w:rPr>
        <w:t>Referências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IBGE. Pesquisa da Pecuária Municipal, tabela SIDRA 74. https://sidra.ibge.gov.br/tabela/74. Acesso em: 20 out. 2026.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INMET. Dados históricos de estações meteorológicas. https://portal.inmet.gov.br/dadoshistoricos. Acesso em: 20 out. 2026.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PALMA, O. et al. AI and data analytics in the dairy farms: a scoping review. Animals, 15(9), 1291, 2025. doi:10.3390/ani15091291.</w:t>
      </w:r>
    </w:p>
    <w:p>
      <w:pPr>
        <w:spacing w:after="20" w:before="0" w:line="240" w:lineRule="auto"/>
        <w:jc w:val="left"/>
      </w:pPr>
      <w:r>
        <w:rPr>
          <w:rFonts w:ascii="Times New Roman" w:hAnsi="Times New Roman"/>
          <w:b w:val="0"/>
          <w:i w:val="0"/>
          <w:sz w:val="13"/>
        </w:rPr>
        <w:t>SLOB, N.; CATAL, C.; KASSAHUN, A. Application of machine learning to improve dairy farm management. Preventive Veterinary Medicine, 187, 105237, 2021. doi:10.1016/j.prevetmed.2020.105237.</w:t>
      </w:r>
    </w:p>
    <w:sectPr>
      <w:type w:val="continuous"/>
      <w:pgSz w:h="16834" w:w="11909" w:orient="portrait"/>
      <w:pgMar w:bottom="1440" w:top="1440" w:left="1134" w:right="1134" w:header="340" w:footer="340"/>
      <w:cols w:equalWidth="0" w:num="2">
        <w:col w:space="720" w:w="4458.88"/>
        <w:col w:space="0" w:w="4458.8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spacing w:line="276" w:lineRule="auto"/>
      <w:ind w:left="-566.9291338582677" w:right="-597.7952755905517" w:firstLine="0"/>
      <w:rPr/>
    </w:pPr>
    <w:r w:rsidDel="00000000" w:rsidR="00000000" w:rsidRPr="00000000">
      <w:rPr/>
      <w:drawing>
        <wp:inline distB="114300" distT="114300" distL="114300" distR="114300">
          <wp:extent cx="6542813" cy="762000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1509" l="0" r="0" t="22431"/>
                  <a:stretch>
                    <a:fillRect/>
                  </a:stretch>
                </pic:blipFill>
                <pic:spPr>
                  <a:xfrm>
                    <a:off x="0" y="0"/>
                    <a:ext cx="6542813" cy="7620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spacing w:line="240" w:lineRule="auto"/>
      <w:ind w:left="-566.9291338582677" w:firstLine="0"/>
      <w:jc w:val="center"/>
      <w:rPr/>
    </w:pPr>
    <w:r w:rsidDel="00000000" w:rsidR="00000000" w:rsidRPr="00000000">
      <w:rPr/>
      <w:drawing>
        <wp:inline distB="114300" distT="114300" distL="114300" distR="114300">
          <wp:extent cx="6464138" cy="847725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20520" l="0" r="0" t="16802"/>
                  <a:stretch>
                    <a:fillRect/>
                  </a:stretch>
                </pic:blipFill>
                <pic:spPr>
                  <a:xfrm>
                    <a:off x="0" y="0"/>
                    <a:ext cx="6464138" cy="8477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0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+MN5Z455Jk1R074sd4DRP1u8yQ==">CgMxLjA4AHIhMWNEN3BJU2NLLXl2YXpHWFhnTmpYVkJNSU4tUmttODRy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