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harts/chart2.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24"/>
          <w:sz w:val="24"/>
          <w:szCs w:val="24"/>
          <w:rFonts w:ascii="Droid Sans" w:hAnsi="Droid Sans"/>
        </w:rPr>
      </w:pPr>
      <w:r>
        <w:rPr>
          <w:rFonts w:ascii="Droid Sans" w:hAnsi="Droid Sans"/>
          <w:sz w:val="24"/>
          <w:szCs w:val="24"/>
        </w:rPr>
      </w:r>
      <w:r/>
    </w:p>
    <w:p>
      <w:pPr>
        <w:pStyle w:val="Normal"/>
        <w:jc w:val="right"/>
      </w:pPr>
      <w:r>
        <w:rPr>
          <w:rFonts w:ascii="Droid Sans" w:hAnsi="Droid Sans"/>
          <w:sz w:val="24"/>
          <w:szCs w:val="24"/>
        </w:rPr>
        <w:t xml:space="preserve">Gabriela B Diaz Cortes- </w:t>
      </w:r>
      <w:r>
        <w:rPr>
          <w:rFonts w:ascii="Droid Sans" w:hAnsi="Droid Sans"/>
          <w:sz w:val="24"/>
          <w:szCs w:val="24"/>
        </w:rPr>
        <w:t>Mondays</w:t>
      </w:r>
      <w:r/>
    </w:p>
    <w:p>
      <w:pPr>
        <w:pStyle w:val="Normal"/>
        <w:jc w:val="right"/>
        <w:rPr>
          <w:sz w:val="24"/>
          <w:sz w:val="24"/>
          <w:szCs w:val="24"/>
          <w:rFonts w:ascii="Droid Sans" w:hAnsi="Droid Sans"/>
        </w:rPr>
      </w:pPr>
      <w:r>
        <w:rPr>
          <w:rFonts w:ascii="Droid Sans" w:hAnsi="Droid Sans"/>
          <w:sz w:val="24"/>
          <w:szCs w:val="24"/>
        </w:rPr>
      </w:r>
      <w:r/>
    </w:p>
    <w:p>
      <w:pPr>
        <w:pStyle w:val="Normal"/>
        <w:jc w:val="center"/>
        <w:rPr>
          <w:sz w:val="24"/>
          <w:sz w:val="24"/>
          <w:szCs w:val="24"/>
          <w:rFonts w:ascii="Droid Sans" w:hAnsi="Droid Sans"/>
        </w:rPr>
      </w:pPr>
      <w:r>
        <w:rPr>
          <w:rFonts w:ascii="Droid Sans" w:hAnsi="Droid Sans"/>
          <w:sz w:val="24"/>
          <w:szCs w:val="24"/>
        </w:rPr>
        <w:t>Writing Practice 1</w:t>
      </w:r>
      <w:r/>
    </w:p>
    <w:p>
      <w:pPr>
        <w:pStyle w:val="Normal"/>
        <w:jc w:val="center"/>
        <w:rPr>
          <w:sz w:val="24"/>
          <w:sz w:val="24"/>
          <w:szCs w:val="24"/>
          <w:rFonts w:ascii="Droid Sans" w:hAnsi="Droid Sans"/>
        </w:rPr>
      </w:pPr>
      <w:r>
        <w:rPr>
          <w:rFonts w:ascii="Droid Sans" w:hAnsi="Droid Sans"/>
          <w:sz w:val="24"/>
          <w:szCs w:val="24"/>
        </w:rPr>
      </w:r>
      <w:r/>
    </w:p>
    <w:p>
      <w:pPr>
        <w:pStyle w:val="Normal"/>
      </w:pPr>
      <w:r>
        <w:rPr>
          <w:rFonts w:ascii="Droid Sans" w:hAnsi="Droid Sans"/>
          <w:sz w:val="24"/>
          <w:szCs w:val="24"/>
        </w:rPr>
        <w:drawing>
          <wp:inline distT="0" distB="0" distL="0" distR="0">
            <wp:extent cx="5760085" cy="32397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t xml:space="preserve">As we can see in the chart below, the unemployment in Mexico has vary slowly in the last two years. It has reached two peaks, one in January 2013 and the next around July 2014. It has drop gradually from July 2014 reaching the minimal in December 2014 and it has suddenly increase at the beginning of 2015. We can also notice that there is a slight difference between unemployment of women and men, and that, in most of the cases, the unemployment of women is slightly greater. Even if the unemployment has not changed dramatically, this does not mean that the population has good or well payed jobs,  most of the people has an informal employment which means bad working conditions and small salaries.  </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w:charset w:val="01"/>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2.xml"/><Relationship Id="rId3" Type="http://schemas.openxmlformats.org/officeDocument/2006/relationships/fontTable" Target="fontTable.xml"/><Relationship Id="rId4" Type="http://schemas.openxmlformats.org/officeDocument/2006/relationships/settings" Target="settings.xml"/>
</Relationships>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Unemployment in Mexico 2013-1015</a:t>
            </a:r>
          </a:p>
        </c:rich>
      </c:tx>
      <c:layout/>
    </c:title>
    <c:plotArea>
      <c:layout/>
      <c:barChart>
        <c:barDir val="col"/>
        <c:grouping val="clustered"/>
        <c:ser>
          <c:idx val="0"/>
          <c:order val="0"/>
          <c:tx>
            <c:strRef>
              <c:f>label 0</c:f>
              <c:strCache>
                <c:ptCount val="1"/>
                <c:pt idx="0">
                  <c:v>Total</c:v>
                </c:pt>
              </c:strCache>
            </c:strRef>
          </c:tx>
          <c:spPr>
            <a:solidFill>
              <a:srgbClr val="004586"/>
            </a:solidFill>
            <a:ln>
              <a:noFill/>
            </a:ln>
          </c:spPr>
          <c:dLbls>
            <c:dLblPos val="outEnd"/>
            <c:showLegendKey val="0"/>
            <c:showVal val="0"/>
            <c:showCatName val="0"/>
            <c:showSerName val="0"/>
            <c:showPercent val="0"/>
          </c:dLbls>
          <c:cat>
            <c:strRef>
              <c:f>categories</c:f>
              <c:strCache>
                <c:ptCount val="25"/>
                <c:pt idx="0">
                  <c:v>Enero 2013</c:v>
                </c:pt>
                <c:pt idx="1">
                  <c:v>Febrero 2013</c:v>
                </c:pt>
                <c:pt idx="2">
                  <c:v>Marzo 2013</c:v>
                </c:pt>
                <c:pt idx="3">
                  <c:v>Abril 2013</c:v>
                </c:pt>
                <c:pt idx="4">
                  <c:v>Mayo 2013</c:v>
                </c:pt>
                <c:pt idx="5">
                  <c:v>Junio 2013</c:v>
                </c:pt>
                <c:pt idx="6">
                  <c:v>Julio 2013</c:v>
                </c:pt>
                <c:pt idx="7">
                  <c:v>Agosto 2013</c:v>
                </c:pt>
                <c:pt idx="8">
                  <c:v>Septiembre 2013</c:v>
                </c:pt>
                <c:pt idx="9">
                  <c:v>Octubre 2013</c:v>
                </c:pt>
                <c:pt idx="10">
                  <c:v>Noviembre 2013</c:v>
                </c:pt>
                <c:pt idx="11">
                  <c:v>Diciembre 2013</c:v>
                </c:pt>
                <c:pt idx="12">
                  <c:v>Enero 2014</c:v>
                </c:pt>
                <c:pt idx="13">
                  <c:v>Febrero 2014</c:v>
                </c:pt>
                <c:pt idx="14">
                  <c:v>Marzo 2014</c:v>
                </c:pt>
                <c:pt idx="15">
                  <c:v>Abril 2014</c:v>
                </c:pt>
                <c:pt idx="16">
                  <c:v>Mayo 2014</c:v>
                </c:pt>
                <c:pt idx="17">
                  <c:v>Junio 2014</c:v>
                </c:pt>
                <c:pt idx="18">
                  <c:v>Julio 2014</c:v>
                </c:pt>
                <c:pt idx="19">
                  <c:v>Agosto 2014</c:v>
                </c:pt>
                <c:pt idx="20">
                  <c:v>Septiembre 2014</c:v>
                </c:pt>
                <c:pt idx="21">
                  <c:v>Octubre 2014</c:v>
                </c:pt>
                <c:pt idx="22">
                  <c:v>Noviembre 2014</c:v>
                </c:pt>
                <c:pt idx="23">
                  <c:v>Diciembre 2014</c:v>
                </c:pt>
                <c:pt idx="24">
                  <c:v>Enero 2015</c:v>
                </c:pt>
              </c:strCache>
            </c:strRef>
          </c:cat>
          <c:val>
            <c:numRef>
              <c:f>0</c:f>
              <c:numCache>
                <c:formatCode>General</c:formatCode>
                <c:ptCount val="25"/>
                <c:pt idx="0">
                  <c:v>5.40787857</c:v>
                </c:pt>
                <c:pt idx="1">
                  <c:v>4.75052305</c:v>
                </c:pt>
                <c:pt idx="2">
                  <c:v>4.47565818</c:v>
                </c:pt>
                <c:pt idx="3">
                  <c:v>4.96199892</c:v>
                </c:pt>
                <c:pt idx="4">
                  <c:v>4.91098239</c:v>
                </c:pt>
                <c:pt idx="5">
                  <c:v>4.99953497</c:v>
                </c:pt>
                <c:pt idx="6">
                  <c:v>5.13158583</c:v>
                </c:pt>
                <c:pt idx="7">
                  <c:v>5.18310622</c:v>
                </c:pt>
                <c:pt idx="8">
                  <c:v>5.305093</c:v>
                </c:pt>
                <c:pt idx="9">
                  <c:v>5.00978373</c:v>
                </c:pt>
                <c:pt idx="10">
                  <c:v>4.48462178</c:v>
                </c:pt>
                <c:pt idx="11">
                  <c:v>4.26655125</c:v>
                </c:pt>
                <c:pt idx="12">
                  <c:v>5.06851957</c:v>
                </c:pt>
                <c:pt idx="13">
                  <c:v>4.66156322</c:v>
                </c:pt>
                <c:pt idx="14">
                  <c:v>4.79610667</c:v>
                </c:pt>
                <c:pt idx="15">
                  <c:v>4.85187491</c:v>
                </c:pt>
                <c:pt idx="16">
                  <c:v>4.94215861</c:v>
                </c:pt>
                <c:pt idx="17">
                  <c:v>4.81508621</c:v>
                </c:pt>
                <c:pt idx="18">
                  <c:v>5.47044354</c:v>
                </c:pt>
                <c:pt idx="19">
                  <c:v>5.18894986</c:v>
                </c:pt>
                <c:pt idx="20">
                  <c:v>5.0922037</c:v>
                </c:pt>
                <c:pt idx="21">
                  <c:v>4.7754956</c:v>
                </c:pt>
                <c:pt idx="22">
                  <c:v>4.52768527</c:v>
                </c:pt>
                <c:pt idx="23">
                  <c:v>3.75740583</c:v>
                </c:pt>
                <c:pt idx="24">
                  <c:v>4.51312553</c:v>
                </c:pt>
              </c:numCache>
            </c:numRef>
          </c:val>
        </c:ser>
        <c:ser>
          <c:idx val="1"/>
          <c:order val="1"/>
          <c:tx>
            <c:strRef>
              <c:f>label 1</c:f>
              <c:strCache>
                <c:ptCount val="1"/>
                <c:pt idx="0">
                  <c:v>Men</c:v>
                </c:pt>
              </c:strCache>
            </c:strRef>
          </c:tx>
          <c:spPr>
            <a:solidFill>
              <a:srgbClr val="ff420e"/>
            </a:solidFill>
            <a:ln>
              <a:noFill/>
            </a:ln>
          </c:spPr>
          <c:dLbls>
            <c:dLblPos val="outEnd"/>
            <c:showLegendKey val="0"/>
            <c:showVal val="0"/>
            <c:showCatName val="0"/>
            <c:showSerName val="0"/>
            <c:showPercent val="0"/>
          </c:dLbls>
          <c:cat>
            <c:strRef>
              <c:f>categories</c:f>
              <c:strCache>
                <c:ptCount val="25"/>
                <c:pt idx="0">
                  <c:v>Enero 2013</c:v>
                </c:pt>
                <c:pt idx="1">
                  <c:v>Febrero 2013</c:v>
                </c:pt>
                <c:pt idx="2">
                  <c:v>Marzo 2013</c:v>
                </c:pt>
                <c:pt idx="3">
                  <c:v>Abril 2013</c:v>
                </c:pt>
                <c:pt idx="4">
                  <c:v>Mayo 2013</c:v>
                </c:pt>
                <c:pt idx="5">
                  <c:v>Junio 2013</c:v>
                </c:pt>
                <c:pt idx="6">
                  <c:v>Julio 2013</c:v>
                </c:pt>
                <c:pt idx="7">
                  <c:v>Agosto 2013</c:v>
                </c:pt>
                <c:pt idx="8">
                  <c:v>Septiembre 2013</c:v>
                </c:pt>
                <c:pt idx="9">
                  <c:v>Octubre 2013</c:v>
                </c:pt>
                <c:pt idx="10">
                  <c:v>Noviembre 2013</c:v>
                </c:pt>
                <c:pt idx="11">
                  <c:v>Diciembre 2013</c:v>
                </c:pt>
                <c:pt idx="12">
                  <c:v>Enero 2014</c:v>
                </c:pt>
                <c:pt idx="13">
                  <c:v>Febrero 2014</c:v>
                </c:pt>
                <c:pt idx="14">
                  <c:v>Marzo 2014</c:v>
                </c:pt>
                <c:pt idx="15">
                  <c:v>Abril 2014</c:v>
                </c:pt>
                <c:pt idx="16">
                  <c:v>Mayo 2014</c:v>
                </c:pt>
                <c:pt idx="17">
                  <c:v>Junio 2014</c:v>
                </c:pt>
                <c:pt idx="18">
                  <c:v>Julio 2014</c:v>
                </c:pt>
                <c:pt idx="19">
                  <c:v>Agosto 2014</c:v>
                </c:pt>
                <c:pt idx="20">
                  <c:v>Septiembre 2014</c:v>
                </c:pt>
                <c:pt idx="21">
                  <c:v>Octubre 2014</c:v>
                </c:pt>
                <c:pt idx="22">
                  <c:v>Noviembre 2014</c:v>
                </c:pt>
                <c:pt idx="23">
                  <c:v>Diciembre 2014</c:v>
                </c:pt>
                <c:pt idx="24">
                  <c:v>Enero 2015</c:v>
                </c:pt>
              </c:strCache>
            </c:strRef>
          </c:cat>
          <c:val>
            <c:numRef>
              <c:f>1</c:f>
              <c:numCache>
                <c:formatCode>General</c:formatCode>
                <c:ptCount val="25"/>
                <c:pt idx="0">
                  <c:v>5.56797024</c:v>
                </c:pt>
                <c:pt idx="1">
                  <c:v>4.64948374</c:v>
                </c:pt>
                <c:pt idx="2">
                  <c:v>4.402288</c:v>
                </c:pt>
                <c:pt idx="3">
                  <c:v>5.08866156</c:v>
                </c:pt>
                <c:pt idx="4">
                  <c:v>4.92525765</c:v>
                </c:pt>
                <c:pt idx="5">
                  <c:v>4.74719364</c:v>
                </c:pt>
                <c:pt idx="6">
                  <c:v>4.9719867</c:v>
                </c:pt>
                <c:pt idx="7">
                  <c:v>5.10094865</c:v>
                </c:pt>
                <c:pt idx="8">
                  <c:v>5.15639437</c:v>
                </c:pt>
                <c:pt idx="9">
                  <c:v>5.00128699</c:v>
                </c:pt>
                <c:pt idx="10">
                  <c:v>4.52359139</c:v>
                </c:pt>
                <c:pt idx="11">
                  <c:v>4.24939537</c:v>
                </c:pt>
                <c:pt idx="12">
                  <c:v>5.103125</c:v>
                </c:pt>
                <c:pt idx="13">
                  <c:v>4.57808293</c:v>
                </c:pt>
                <c:pt idx="14">
                  <c:v>4.66990821</c:v>
                </c:pt>
                <c:pt idx="15">
                  <c:v>5.10508671</c:v>
                </c:pt>
                <c:pt idx="16">
                  <c:v>4.79500126</c:v>
                </c:pt>
                <c:pt idx="17">
                  <c:v>4.78371061</c:v>
                </c:pt>
                <c:pt idx="18">
                  <c:v>5.52183394</c:v>
                </c:pt>
                <c:pt idx="19">
                  <c:v>5.02526928</c:v>
                </c:pt>
                <c:pt idx="20">
                  <c:v>5.15032914</c:v>
                </c:pt>
                <c:pt idx="21">
                  <c:v>4.69850019</c:v>
                </c:pt>
                <c:pt idx="22">
                  <c:v>4.49006231</c:v>
                </c:pt>
                <c:pt idx="23">
                  <c:v>3.80948514</c:v>
                </c:pt>
                <c:pt idx="24">
                  <c:v>4.60296158</c:v>
                </c:pt>
              </c:numCache>
            </c:numRef>
          </c:val>
        </c:ser>
        <c:ser>
          <c:idx val="2"/>
          <c:order val="2"/>
          <c:tx>
            <c:strRef>
              <c:f>label 2</c:f>
              <c:strCache>
                <c:ptCount val="1"/>
                <c:pt idx="0">
                  <c:v>Women</c:v>
                </c:pt>
              </c:strCache>
            </c:strRef>
          </c:tx>
          <c:spPr>
            <a:solidFill>
              <a:srgbClr val="ffd320"/>
            </a:solidFill>
            <a:ln>
              <a:noFill/>
            </a:ln>
          </c:spPr>
          <c:dLbls>
            <c:dLblPos val="outEnd"/>
            <c:showLegendKey val="0"/>
            <c:showVal val="0"/>
            <c:showCatName val="0"/>
            <c:showSerName val="0"/>
            <c:showPercent val="0"/>
          </c:dLbls>
          <c:cat>
            <c:strRef>
              <c:f>categories</c:f>
              <c:strCache>
                <c:ptCount val="25"/>
                <c:pt idx="0">
                  <c:v>Enero 2013</c:v>
                </c:pt>
                <c:pt idx="1">
                  <c:v>Febrero 2013</c:v>
                </c:pt>
                <c:pt idx="2">
                  <c:v>Marzo 2013</c:v>
                </c:pt>
                <c:pt idx="3">
                  <c:v>Abril 2013</c:v>
                </c:pt>
                <c:pt idx="4">
                  <c:v>Mayo 2013</c:v>
                </c:pt>
                <c:pt idx="5">
                  <c:v>Junio 2013</c:v>
                </c:pt>
                <c:pt idx="6">
                  <c:v>Julio 2013</c:v>
                </c:pt>
                <c:pt idx="7">
                  <c:v>Agosto 2013</c:v>
                </c:pt>
                <c:pt idx="8">
                  <c:v>Septiembre 2013</c:v>
                </c:pt>
                <c:pt idx="9">
                  <c:v>Octubre 2013</c:v>
                </c:pt>
                <c:pt idx="10">
                  <c:v>Noviembre 2013</c:v>
                </c:pt>
                <c:pt idx="11">
                  <c:v>Diciembre 2013</c:v>
                </c:pt>
                <c:pt idx="12">
                  <c:v>Enero 2014</c:v>
                </c:pt>
                <c:pt idx="13">
                  <c:v>Febrero 2014</c:v>
                </c:pt>
                <c:pt idx="14">
                  <c:v>Marzo 2014</c:v>
                </c:pt>
                <c:pt idx="15">
                  <c:v>Abril 2014</c:v>
                </c:pt>
                <c:pt idx="16">
                  <c:v>Mayo 2014</c:v>
                </c:pt>
                <c:pt idx="17">
                  <c:v>Junio 2014</c:v>
                </c:pt>
                <c:pt idx="18">
                  <c:v>Julio 2014</c:v>
                </c:pt>
                <c:pt idx="19">
                  <c:v>Agosto 2014</c:v>
                </c:pt>
                <c:pt idx="20">
                  <c:v>Septiembre 2014</c:v>
                </c:pt>
                <c:pt idx="21">
                  <c:v>Octubre 2014</c:v>
                </c:pt>
                <c:pt idx="22">
                  <c:v>Noviembre 2014</c:v>
                </c:pt>
                <c:pt idx="23">
                  <c:v>Diciembre 2014</c:v>
                </c:pt>
                <c:pt idx="24">
                  <c:v>Enero 2015</c:v>
                </c:pt>
              </c:strCache>
            </c:strRef>
          </c:cat>
          <c:val>
            <c:numRef>
              <c:f>2</c:f>
              <c:numCache>
                <c:formatCode>General</c:formatCode>
                <c:ptCount val="25"/>
                <c:pt idx="0">
                  <c:v>5.13931229</c:v>
                </c:pt>
                <c:pt idx="1">
                  <c:v>4.9142739</c:v>
                </c:pt>
                <c:pt idx="2">
                  <c:v>4.59681802</c:v>
                </c:pt>
                <c:pt idx="3">
                  <c:v>4.75557661</c:v>
                </c:pt>
                <c:pt idx="4">
                  <c:v>4.88850785</c:v>
                </c:pt>
                <c:pt idx="5">
                  <c:v>5.4027392</c:v>
                </c:pt>
                <c:pt idx="6">
                  <c:v>5.38971552</c:v>
                </c:pt>
                <c:pt idx="7">
                  <c:v>5.31512341</c:v>
                </c:pt>
                <c:pt idx="8">
                  <c:v>5.5404496</c:v>
                </c:pt>
                <c:pt idx="9">
                  <c:v>5.02359684</c:v>
                </c:pt>
                <c:pt idx="10">
                  <c:v>4.42225307</c:v>
                </c:pt>
                <c:pt idx="11">
                  <c:v>4.29396633</c:v>
                </c:pt>
                <c:pt idx="12">
                  <c:v>5.01116423</c:v>
                </c:pt>
                <c:pt idx="13">
                  <c:v>4.8009819</c:v>
                </c:pt>
                <c:pt idx="14">
                  <c:v>4.99760272</c:v>
                </c:pt>
                <c:pt idx="15">
                  <c:v>4.43692047</c:v>
                </c:pt>
                <c:pt idx="16">
                  <c:v>5.18564657</c:v>
                </c:pt>
                <c:pt idx="17">
                  <c:v>4.86645992</c:v>
                </c:pt>
                <c:pt idx="18">
                  <c:v>5.38575709</c:v>
                </c:pt>
                <c:pt idx="19">
                  <c:v>5.46005826</c:v>
                </c:pt>
                <c:pt idx="20">
                  <c:v>4.99555938</c:v>
                </c:pt>
                <c:pt idx="21">
                  <c:v>4.9022052</c:v>
                </c:pt>
                <c:pt idx="22">
                  <c:v>4.5902564</c:v>
                </c:pt>
                <c:pt idx="23">
                  <c:v>3.67200976</c:v>
                </c:pt>
                <c:pt idx="24">
                  <c:v>4.36456838</c:v>
                </c:pt>
              </c:numCache>
            </c:numRef>
          </c:val>
        </c:ser>
        <c:gapWidth val="100"/>
        <c:overlap val="0"/>
        <c:axId val="77246322"/>
        <c:axId val="42752534"/>
      </c:barChart>
      <c:catAx>
        <c:axId val="77246322"/>
        <c:scaling>
          <c:orientation val="minMax"/>
        </c:scaling>
        <c:delete val="0"/>
        <c:axPos val="b"/>
        <c:majorTickMark val="out"/>
        <c:minorTickMark val="none"/>
        <c:tickLblPos val="nextTo"/>
        <c:spPr>
          <a:ln>
            <a:solidFill>
              <a:srgbClr val="b3b3b3"/>
            </a:solidFill>
          </a:ln>
        </c:spPr>
        <c:crossAx val="42752534"/>
        <c:crosses val="autoZero"/>
        <c:auto val="1"/>
        <c:lblAlgn val="ctr"/>
        <c:lblOffset val="100"/>
      </c:catAx>
      <c:valAx>
        <c:axId val="42752534"/>
        <c:scaling>
          <c:orientation val="minMax"/>
        </c:scaling>
        <c:delete val="0"/>
        <c:axPos val="l"/>
        <c:majorGridlines>
          <c:spPr>
            <a:ln>
              <a:solidFill>
                <a:srgbClr val="b3b3b3"/>
              </a:solidFill>
            </a:ln>
          </c:spPr>
        </c:majorGridlines>
        <c:title>
          <c:tx>
            <c:rich>
              <a:bodyPr/>
              <a:lstStyle/>
              <a:p>
                <a:pPr>
                  <a:defRPr/>
                </a:pPr>
                <a:r>
                  <a:rPr sz="900">
                    <a:latin typeface="Arial"/>
                  </a:rPr>
                  <a:t>%</a:t>
                </a:r>
              </a:p>
            </c:rich>
          </c:tx>
          <c:layout/>
        </c:title>
        <c:majorTickMark val="out"/>
        <c:minorTickMark val="none"/>
        <c:tickLblPos val="nextTo"/>
        <c:spPr>
          <a:ln>
            <a:solidFill>
              <a:srgbClr val="b3b3b3"/>
            </a:solidFill>
          </a:ln>
        </c:spPr>
        <c:crossAx val="77246322"/>
        <c:crosses val="autoZero"/>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726</TotalTime>
  <Application>LibreOffice/4.3.3.2$Linux_X86_64 LibreOffice_project/430m0$Build-2</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2015-03-09T13:26:56Z</dcterms:created>
  <dc:language>en-US</dc:language>
  <dcterms:modified xsi:type="dcterms:W3CDTF">2015-03-09T13:54:20Z</dcterms:modified>
  <cp:revision>2</cp:revision>
</cp:coreProperties>
</file>