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KPIS Y ACUERDO DE PARÍS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u w:val="none"/>
        </w:rPr>
      </w:pPr>
      <w:r w:rsidDel="00000000" w:rsidR="00000000" w:rsidRPr="00000000">
        <w:rPr>
          <w:rFonts w:ascii="Calibri" w:cs="Calibri" w:eastAsia="Calibri" w:hAnsi="Calibri"/>
          <w:rtl w:val="0"/>
        </w:rPr>
        <w:t xml:space="preserve">Variación de temperatura</w:t>
      </w:r>
      <w:r w:rsidDel="00000000" w:rsidR="00000000" w:rsidRPr="00000000">
        <w:rPr>
          <w:rtl w:val="0"/>
        </w:rPr>
      </w:r>
    </w:p>
    <w:p w:rsidR="00000000" w:rsidDel="00000000" w:rsidP="00000000" w:rsidRDefault="00000000" w:rsidRPr="00000000" w14:paraId="00000004">
      <w:pPr>
        <w:numPr>
          <w:ilvl w:val="0"/>
          <w:numId w:val="4"/>
        </w:numPr>
        <w:spacing w:after="0" w:afterAutospacing="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Mantener la variación de temperatura por debajo al 2°C al 2030</w:t>
      </w:r>
    </w:p>
    <w:p w:rsidR="00000000" w:rsidDel="00000000" w:rsidP="00000000" w:rsidRDefault="00000000" w:rsidRPr="00000000" w14:paraId="00000005">
      <w:pPr>
        <w:numPr>
          <w:ilvl w:val="0"/>
          <w:numId w:val="4"/>
        </w:numPr>
        <w:spacing w:after="16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Es decir un crecimiento entre 0.18 a 0.25 °C</w:t>
      </w:r>
    </w:p>
    <w:p w:rsidR="00000000" w:rsidDel="00000000" w:rsidP="00000000" w:rsidRDefault="00000000" w:rsidRPr="00000000" w14:paraId="00000006">
      <w:pPr>
        <w:jc w:val="both"/>
        <w:rPr>
          <w:sz w:val="18"/>
          <w:szCs w:val="18"/>
          <w:highlight w:val="white"/>
        </w:rPr>
      </w:pPr>
      <w:r w:rsidDel="00000000" w:rsidR="00000000" w:rsidRPr="00000000">
        <w:rPr>
          <w:sz w:val="18"/>
          <w:szCs w:val="18"/>
          <w:highlight w:val="white"/>
          <w:rtl w:val="0"/>
        </w:rPr>
        <w:t xml:space="preserve">El Acuerdo de París tiene como objetivo evitar que el incremento de la temperatura media global del planeta supere los 2ºC respecto a los niveles preindustriales y busca, además, promover esfuerzos adicionales que hagan posible que el calentamiento global no supere los 1,5ºC.</w:t>
      </w:r>
    </w:p>
    <w:p w:rsidR="00000000" w:rsidDel="00000000" w:rsidP="00000000" w:rsidRDefault="00000000" w:rsidRPr="00000000" w14:paraId="00000007">
      <w:pPr>
        <w:jc w:val="both"/>
        <w:rPr>
          <w:sz w:val="18"/>
          <w:szCs w:val="18"/>
          <w:highlight w:val="white"/>
        </w:rPr>
      </w:pPr>
      <w:r w:rsidDel="00000000" w:rsidR="00000000" w:rsidRPr="00000000">
        <w:rPr>
          <w:rtl w:val="0"/>
        </w:rPr>
      </w:r>
    </w:p>
    <w:p w:rsidR="00000000" w:rsidDel="00000000" w:rsidP="00000000" w:rsidRDefault="00000000" w:rsidRPr="00000000" w14:paraId="00000008">
      <w:pPr>
        <w:jc w:val="both"/>
        <w:rPr>
          <w:sz w:val="18"/>
          <w:szCs w:val="18"/>
          <w:highlight w:val="white"/>
        </w:rPr>
      </w:pPr>
      <w:r w:rsidDel="00000000" w:rsidR="00000000" w:rsidRPr="00000000">
        <w:rPr>
          <w:sz w:val="18"/>
          <w:szCs w:val="18"/>
          <w:highlight w:val="white"/>
          <w:rtl w:val="0"/>
        </w:rPr>
        <w:t xml:space="preserve">El Acuerdo de París incluye un ciclo de revisión o sistema de ambición que establece que, cada 5 años (comenzando en 2023), es necesario hacer un balance del estado de la implementación del Acuerdo, incluyendo el progreso respecto al objetivo de los 2ºC. </w:t>
      </w:r>
    </w:p>
    <w:p w:rsidR="00000000" w:rsidDel="00000000" w:rsidP="00000000" w:rsidRDefault="00000000" w:rsidRPr="00000000" w14:paraId="00000009">
      <w:pPr>
        <w:jc w:val="both"/>
        <w:rPr>
          <w:sz w:val="18"/>
          <w:szCs w:val="18"/>
          <w:highlight w:val="white"/>
        </w:rPr>
      </w:pPr>
      <w:r w:rsidDel="00000000" w:rsidR="00000000" w:rsidRPr="00000000">
        <w:rPr>
          <w:rtl w:val="0"/>
        </w:rPr>
      </w:r>
    </w:p>
    <w:p w:rsidR="00000000" w:rsidDel="00000000" w:rsidP="00000000" w:rsidRDefault="00000000" w:rsidRPr="00000000" w14:paraId="0000000A">
      <w:pPr>
        <w:jc w:val="both"/>
        <w:rPr>
          <w:sz w:val="18"/>
          <w:szCs w:val="18"/>
          <w:highlight w:val="white"/>
        </w:rPr>
      </w:pPr>
      <w:hyperlink r:id="rId6">
        <w:r w:rsidDel="00000000" w:rsidR="00000000" w:rsidRPr="00000000">
          <w:rPr>
            <w:color w:val="1155cc"/>
            <w:sz w:val="18"/>
            <w:szCs w:val="18"/>
            <w:highlight w:val="white"/>
            <w:u w:val="single"/>
            <w:rtl w:val="0"/>
          </w:rPr>
          <w:t xml:space="preserve">https://www.un.org/es/climatechange/net-zero-coalition</w:t>
        </w:r>
      </w:hyperlink>
      <w:r w:rsidDel="00000000" w:rsidR="00000000" w:rsidRPr="00000000">
        <w:rPr>
          <w:rtl w:val="0"/>
        </w:rPr>
      </w:r>
    </w:p>
    <w:p w:rsidR="00000000" w:rsidDel="00000000" w:rsidP="00000000" w:rsidRDefault="00000000" w:rsidRPr="00000000" w14:paraId="0000000B">
      <w:pPr>
        <w:jc w:val="both"/>
        <w:rPr>
          <w:sz w:val="18"/>
          <w:szCs w:val="18"/>
          <w:highlight w:val="white"/>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Índice de generación de combustibles fósiles</w:t>
      </w:r>
    </w:p>
    <w:p w:rsidR="00000000" w:rsidDel="00000000" w:rsidP="00000000" w:rsidRDefault="00000000" w:rsidRPr="00000000" w14:paraId="0000000E">
      <w:pPr>
        <w:numPr>
          <w:ilvl w:val="0"/>
          <w:numId w:val="2"/>
        </w:numPr>
        <w:spacing w:after="0" w:afterAutospacing="0" w:line="259"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Reducción de generación de combustibles fósiles en 6% anual.</w:t>
      </w:r>
    </w:p>
    <w:p w:rsidR="00000000" w:rsidDel="00000000" w:rsidP="00000000" w:rsidRDefault="00000000" w:rsidRPr="00000000" w14:paraId="0000000F">
      <w:pPr>
        <w:numPr>
          <w:ilvl w:val="0"/>
          <w:numId w:val="2"/>
        </w:numPr>
        <w:spacing w:after="160" w:line="259" w:lineRule="auto"/>
        <w:ind w:left="720" w:hanging="360"/>
        <w:jc w:val="both"/>
        <w:rPr>
          <w:rFonts w:ascii="Calibri" w:cs="Calibri" w:eastAsia="Calibri" w:hAnsi="Calibri"/>
          <w:b w:val="1"/>
        </w:rPr>
      </w:pPr>
      <w:r w:rsidDel="00000000" w:rsidR="00000000" w:rsidRPr="00000000">
        <w:rPr>
          <w:b w:val="1"/>
          <w:sz w:val="18"/>
          <w:szCs w:val="18"/>
          <w:highlight w:val="white"/>
          <w:rtl w:val="0"/>
        </w:rPr>
        <w:t xml:space="preserve">Disminuir anualmente 11% carbono , 4% petróleo  y 3% gas.</w:t>
      </w:r>
      <w:r w:rsidDel="00000000" w:rsidR="00000000" w:rsidRPr="00000000">
        <w:rPr>
          <w:rtl w:val="0"/>
        </w:rPr>
      </w:r>
    </w:p>
    <w:p w:rsidR="00000000" w:rsidDel="00000000" w:rsidP="00000000" w:rsidRDefault="00000000" w:rsidRPr="00000000" w14:paraId="00000010">
      <w:pPr>
        <w:spacing w:after="160" w:line="259" w:lineRule="auto"/>
        <w:jc w:val="both"/>
        <w:rPr>
          <w:sz w:val="18"/>
          <w:szCs w:val="18"/>
          <w:highlight w:val="white"/>
        </w:rPr>
      </w:pPr>
      <w:r w:rsidDel="00000000" w:rsidR="00000000" w:rsidRPr="00000000">
        <w:rPr>
          <w:sz w:val="18"/>
          <w:szCs w:val="18"/>
          <w:highlight w:val="white"/>
          <w:rtl w:val="0"/>
        </w:rPr>
        <w:t xml:space="preserve">Para seguir una ruta constante hacia el objetivo de 1,5°C, el mundo tendrá que reducir la producción de combustibles fósiles en aproximadamente 6% por año entre 2020 y 2030. En cambio, los países están planificando y proyectando un aumento anual promedio de 2%, que para 2030 resultaría en más del doble de la producción consistente con el límite de 1,5°C.</w:t>
      </w:r>
    </w:p>
    <w:p w:rsidR="00000000" w:rsidDel="00000000" w:rsidP="00000000" w:rsidRDefault="00000000" w:rsidRPr="00000000" w14:paraId="00000011">
      <w:pPr>
        <w:spacing w:after="160" w:line="259" w:lineRule="auto"/>
        <w:jc w:val="both"/>
        <w:rPr>
          <w:rFonts w:ascii="Calibri" w:cs="Calibri" w:eastAsia="Calibri" w:hAnsi="Calibri"/>
        </w:rPr>
      </w:pPr>
      <w:r w:rsidDel="00000000" w:rsidR="00000000" w:rsidRPr="00000000">
        <w:rPr>
          <w:sz w:val="18"/>
          <w:szCs w:val="18"/>
          <w:highlight w:val="white"/>
          <w:rtl w:val="0"/>
        </w:rPr>
        <w:t xml:space="preserve">Entre 2020 y 2030, la producción mundial de carbón, petróleo y gas tendría que disminuir anualmente 11%, 4% y 3%, respectivamente, para ser consistente con la vía de 1,5°C.</w:t>
      </w:r>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https://www.unep.org/es/noticias-y-reportajes/comunicado-de-prensa/gobiernos-del-mundo-deben-reducir-la-produccion-de</w:t>
        </w:r>
      </w:hyperlink>
      <w:r w:rsidDel="00000000" w:rsidR="00000000" w:rsidRPr="00000000">
        <w:rPr>
          <w:rtl w:val="0"/>
        </w:rPr>
      </w:r>
    </w:p>
    <w:p w:rsidR="00000000" w:rsidDel="00000000" w:rsidP="00000000" w:rsidRDefault="00000000" w:rsidRPr="00000000" w14:paraId="0000001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Intensidad de emisiones de carbono</w:t>
      </w:r>
    </w:p>
    <w:p w:rsidR="00000000" w:rsidDel="00000000" w:rsidP="00000000" w:rsidRDefault="00000000" w:rsidRPr="00000000" w14:paraId="00000015">
      <w:pPr>
        <w:numPr>
          <w:ilvl w:val="0"/>
          <w:numId w:val="1"/>
        </w:numPr>
        <w:spacing w:after="0" w:afterAutospacing="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Reducir la intensidad de emisiones de carbono 7x al promedio histórico.</w:t>
      </w:r>
    </w:p>
    <w:p w:rsidR="00000000" w:rsidDel="00000000" w:rsidP="00000000" w:rsidRDefault="00000000" w:rsidRPr="00000000" w14:paraId="00000016">
      <w:pPr>
        <w:numPr>
          <w:ilvl w:val="0"/>
          <w:numId w:val="1"/>
        </w:numPr>
        <w:spacing w:after="160" w:line="259"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Reducción de emisiones de CO2 en 7,6 % anual </w:t>
      </w:r>
    </w:p>
    <w:p w:rsidR="00000000" w:rsidDel="00000000" w:rsidP="00000000" w:rsidRDefault="00000000" w:rsidRPr="00000000" w14:paraId="00000017">
      <w:pPr>
        <w:spacing w:after="160" w:line="259" w:lineRule="auto"/>
        <w:jc w:val="both"/>
        <w:rPr>
          <w:color w:val="1e1e1e"/>
          <w:sz w:val="18"/>
          <w:szCs w:val="18"/>
          <w:highlight w:val="white"/>
        </w:rPr>
      </w:pPr>
      <w:r w:rsidDel="00000000" w:rsidR="00000000" w:rsidRPr="00000000">
        <w:rPr>
          <w:color w:val="1e1e1e"/>
          <w:sz w:val="18"/>
          <w:szCs w:val="18"/>
          <w:highlight w:val="white"/>
          <w:rtl w:val="0"/>
        </w:rPr>
        <w:t xml:space="preserve">Las emisiones globales de gases de efecto invernadero deben reducirse 7,6% cada año entre 2020 y 2030 para que el mundo logre frenar el calentamiento global en 1,5 °C este siglo, advierte un nuevo informe del Programa de las Naciones Unidas para el Medio Ambiente (UNEP) lanzado hoy en Ginebra.</w:t>
      </w:r>
    </w:p>
    <w:p w:rsidR="00000000" w:rsidDel="00000000" w:rsidP="00000000" w:rsidRDefault="00000000" w:rsidRPr="00000000" w14:paraId="00000018">
      <w:pPr>
        <w:spacing w:after="160" w:line="259" w:lineRule="auto"/>
        <w:jc w:val="both"/>
        <w:rPr>
          <w:color w:val="1e1e1e"/>
          <w:sz w:val="18"/>
          <w:szCs w:val="18"/>
          <w:highlight w:val="white"/>
        </w:rPr>
      </w:pPr>
      <w:hyperlink r:id="rId8">
        <w:r w:rsidDel="00000000" w:rsidR="00000000" w:rsidRPr="00000000">
          <w:rPr>
            <w:color w:val="1155cc"/>
            <w:sz w:val="18"/>
            <w:szCs w:val="18"/>
            <w:highlight w:val="white"/>
            <w:u w:val="single"/>
            <w:rtl w:val="0"/>
          </w:rPr>
          <w:t xml:space="preserve">https://www.unep.org/es/noticias-y-reportajes/comunicado-de-prensa/el-mundo-debe-reducir-las-emisiones-76-anual-en-la#:~:text=%2D%20Las%20emisiones%20globales%20de%20gases,UNEP</w:t>
        </w:r>
      </w:hyperlink>
      <w:r w:rsidDel="00000000" w:rsidR="00000000" w:rsidRPr="00000000">
        <w:rPr>
          <w:color w:val="1e1e1e"/>
          <w:sz w:val="18"/>
          <w:szCs w:val="18"/>
          <w:highlight w:val="white"/>
          <w:rtl w:val="0"/>
        </w:rPr>
        <w:t xml:space="preserve">)%20lanzado%20hoy%20en%20Ginebra.</w:t>
      </w:r>
    </w:p>
    <w:p w:rsidR="00000000" w:rsidDel="00000000" w:rsidP="00000000" w:rsidRDefault="00000000" w:rsidRPr="00000000" w14:paraId="00000019">
      <w:pPr>
        <w:spacing w:after="160" w:line="259" w:lineRule="auto"/>
        <w:jc w:val="both"/>
        <w:rPr>
          <w:color w:val="1e1e1e"/>
          <w:sz w:val="18"/>
          <w:szCs w:val="18"/>
          <w:highlight w:val="white"/>
        </w:rPr>
      </w:pPr>
      <w:r w:rsidDel="00000000" w:rsidR="00000000" w:rsidRPr="00000000">
        <w:rPr>
          <w:rtl w:val="0"/>
        </w:rPr>
      </w:r>
    </w:p>
    <w:p w:rsidR="00000000" w:rsidDel="00000000" w:rsidP="00000000" w:rsidRDefault="00000000" w:rsidRPr="00000000" w14:paraId="0000001A">
      <w:pPr>
        <w:spacing w:after="160" w:line="259" w:lineRule="auto"/>
        <w:jc w:val="both"/>
        <w:rPr>
          <w:rFonts w:ascii="Calibri" w:cs="Calibri" w:eastAsia="Calibri" w:hAnsi="Calibri"/>
        </w:rPr>
      </w:pPr>
      <w:r w:rsidDel="00000000" w:rsidR="00000000" w:rsidRPr="00000000">
        <w:rPr>
          <w:sz w:val="18"/>
          <w:szCs w:val="18"/>
          <w:highlight w:val="white"/>
          <w:rtl w:val="0"/>
        </w:rPr>
        <w:t xml:space="preserve">Según revela el PwC Net Zero Index, para alcanzar el objetivo del Acuerdo de París de 1,5°C el mundo necesita un esfuerzo de descarbonización más de cinco veces mayor que el de 2019 y siete veces mayor que el promedio histórico.</w:t>
      </w:r>
      <w:r w:rsidDel="00000000" w:rsidR="00000000" w:rsidRPr="00000000">
        <w:rPr>
          <w:rtl w:val="0"/>
        </w:rPr>
      </w:r>
    </w:p>
    <w:p w:rsidR="00000000" w:rsidDel="00000000" w:rsidP="00000000" w:rsidRDefault="00000000" w:rsidRPr="00000000" w14:paraId="0000001B">
      <w:pPr>
        <w:spacing w:after="160" w:line="259" w:lineRule="auto"/>
        <w:jc w:val="both"/>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https://www.comunicarseweb.com/noticia/el-mundo-necesita-reducir-la-intensidad-del-carbono-cinco-veces-mas-rapido-para-alcanzar-el#:~:text=Seg%C3%BAn%20revela%20el%20PwC%20Net,mayor%20que%20el%20promedio%20hist%C3%B3rico</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5"/>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Índice de energías renovables </w:t>
      </w:r>
    </w:p>
    <w:p w:rsidR="00000000" w:rsidDel="00000000" w:rsidP="00000000" w:rsidRDefault="00000000" w:rsidRPr="00000000" w14:paraId="0000001F">
      <w:pPr>
        <w:numPr>
          <w:ilvl w:val="0"/>
          <w:numId w:val="5"/>
        </w:numPr>
        <w:spacing w:after="0" w:afterAutospacing="0" w:line="259"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Aumentar al 70% de energías renovables en la matriz eléctrica al 2030</w:t>
      </w:r>
    </w:p>
    <w:p w:rsidR="00000000" w:rsidDel="00000000" w:rsidP="00000000" w:rsidRDefault="00000000" w:rsidRPr="00000000" w14:paraId="00000020">
      <w:pPr>
        <w:numPr>
          <w:ilvl w:val="0"/>
          <w:numId w:val="5"/>
        </w:numPr>
        <w:spacing w:after="160" w:line="259"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Crecimiento Interanual del 7% en energías renovables</w:t>
      </w:r>
    </w:p>
    <w:p w:rsidR="00000000" w:rsidDel="00000000" w:rsidP="00000000" w:rsidRDefault="00000000" w:rsidRPr="00000000" w14:paraId="00000021">
      <w:pPr>
        <w:spacing w:after="160" w:line="259" w:lineRule="auto"/>
        <w:jc w:val="both"/>
        <w:rPr>
          <w:color w:val="3c4245"/>
          <w:sz w:val="18"/>
          <w:szCs w:val="18"/>
        </w:rPr>
      </w:pPr>
      <w:r w:rsidDel="00000000" w:rsidR="00000000" w:rsidRPr="00000000">
        <w:rPr>
          <w:color w:val="3c4245"/>
          <w:sz w:val="18"/>
          <w:szCs w:val="18"/>
          <w:rtl w:val="0"/>
        </w:rPr>
        <w:t xml:space="preserve">La crisis provocada por la COVID-19 tuvo como resultado aproximadamente un crecimiento interanual del 7 % en la generación de electricidad renovable, </w:t>
      </w:r>
    </w:p>
    <w:p w:rsidR="00000000" w:rsidDel="00000000" w:rsidP="00000000" w:rsidRDefault="00000000" w:rsidRPr="00000000" w14:paraId="00000022">
      <w:pPr>
        <w:spacing w:after="160" w:line="259" w:lineRule="auto"/>
        <w:jc w:val="both"/>
        <w:rPr>
          <w:color w:val="3c4245"/>
          <w:sz w:val="18"/>
          <w:szCs w:val="18"/>
        </w:rPr>
      </w:pPr>
      <w:hyperlink r:id="rId10">
        <w:r w:rsidDel="00000000" w:rsidR="00000000" w:rsidRPr="00000000">
          <w:rPr>
            <w:color w:val="1155cc"/>
            <w:sz w:val="18"/>
            <w:szCs w:val="18"/>
            <w:u w:val="single"/>
            <w:rtl w:val="0"/>
          </w:rPr>
          <w:t xml:space="preserve">https://www.who.int/es/news/item/07-06-2021-global-launch-tracking-sdg7-the-energy-progress-report#:~:text=Eficiencia%20energ%C3%A9tica.&amp;text=Para%20alcanzar%20la%20meta%20del,en%20promedio%20hasta%20el%202030</w:t>
        </w:r>
      </w:hyperlink>
      <w:r w:rsidDel="00000000" w:rsidR="00000000" w:rsidRPr="00000000">
        <w:rPr>
          <w:color w:val="3c4245"/>
          <w:sz w:val="18"/>
          <w:szCs w:val="18"/>
          <w:rtl w:val="0"/>
        </w:rPr>
        <w:t xml:space="preserve">.</w:t>
      </w:r>
    </w:p>
    <w:p w:rsidR="00000000" w:rsidDel="00000000" w:rsidP="00000000" w:rsidRDefault="00000000" w:rsidRPr="00000000" w14:paraId="00000023">
      <w:pPr>
        <w:spacing w:after="160" w:line="259" w:lineRule="auto"/>
        <w:jc w:val="both"/>
        <w:rPr>
          <w:color w:val="3c4245"/>
          <w:sz w:val="18"/>
          <w:szCs w:val="18"/>
        </w:rPr>
      </w:pPr>
      <w:r w:rsidDel="00000000" w:rsidR="00000000" w:rsidRPr="00000000">
        <w:rPr>
          <w:rtl w:val="0"/>
        </w:rPr>
      </w:r>
    </w:p>
    <w:p w:rsidR="00000000" w:rsidDel="00000000" w:rsidP="00000000" w:rsidRDefault="00000000" w:rsidRPr="00000000" w14:paraId="00000024">
      <w:pPr>
        <w:spacing w:after="160" w:line="259" w:lineRule="auto"/>
        <w:jc w:val="both"/>
        <w:rPr>
          <w:sz w:val="18"/>
          <w:szCs w:val="18"/>
          <w:highlight w:val="white"/>
        </w:rPr>
      </w:pPr>
      <w:r w:rsidDel="00000000" w:rsidR="00000000" w:rsidRPr="00000000">
        <w:rPr>
          <w:sz w:val="18"/>
          <w:szCs w:val="18"/>
          <w:highlight w:val="white"/>
          <w:rtl w:val="0"/>
        </w:rPr>
        <w:t xml:space="preserve">Un plan para lograr el 70% de energía renovable en la matriz eléctrica al 2030</w:t>
      </w:r>
    </w:p>
    <w:p w:rsidR="00000000" w:rsidDel="00000000" w:rsidP="00000000" w:rsidRDefault="00000000" w:rsidRPr="00000000" w14:paraId="00000025">
      <w:pPr>
        <w:spacing w:after="160" w:line="259" w:lineRule="auto"/>
        <w:jc w:val="both"/>
        <w:rPr>
          <w:rFonts w:ascii="Calibri" w:cs="Calibri" w:eastAsia="Calibri" w:hAnsi="Calibri"/>
        </w:rPr>
      </w:pPr>
      <w:r w:rsidDel="00000000" w:rsidR="00000000" w:rsidRPr="00000000">
        <w:rPr>
          <w:sz w:val="18"/>
          <w:szCs w:val="18"/>
          <w:highlight w:val="white"/>
          <w:rtl w:val="0"/>
        </w:rPr>
        <w:t xml:space="preserve">Lo anterior, dificulta el reto de la descarbonización. El estudio del BID La Red del Futuro estimó que para llegar al 70% de renovables en la matriz eléctrica al 2030, se requieren aproximadamente 30 mil millones de dólares por año en inversiones en renovables. Considerando que en los últimos 5 años se han registrado en promedio 23.5 mil millones anuales, las inversiones tendrían que aumentar alrededor de un 30% para llegar a la meta planteada.</w:t>
      </w: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https://blogs.iadb.org/energia/es/un-plan-para-lograr-el-70-de-energia-renovable-en-la-matriz-electrica-al-2030/</w:t>
        </w:r>
      </w:hyperlink>
      <w:r w:rsidDel="00000000" w:rsidR="00000000" w:rsidRPr="00000000">
        <w:rPr>
          <w:rtl w:val="0"/>
        </w:rPr>
      </w:r>
    </w:p>
    <w:p w:rsidR="00000000" w:rsidDel="00000000" w:rsidP="00000000" w:rsidRDefault="00000000" w:rsidRPr="00000000" w14:paraId="00000027">
      <w:pPr>
        <w:numPr>
          <w:ilvl w:val="0"/>
          <w:numId w:val="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Variación del nivel del mar</w:t>
      </w:r>
    </w:p>
    <w:p w:rsidR="00000000" w:rsidDel="00000000" w:rsidP="00000000" w:rsidRDefault="00000000" w:rsidRPr="00000000" w14:paraId="00000028">
      <w:pPr>
        <w:numPr>
          <w:ilvl w:val="0"/>
          <w:numId w:val="3"/>
        </w:numPr>
        <w:spacing w:after="0" w:afterAutospacing="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El nivel del mar aumentará 30 centímetros para 2050</w:t>
      </w:r>
    </w:p>
    <w:p w:rsidR="00000000" w:rsidDel="00000000" w:rsidP="00000000" w:rsidRDefault="00000000" w:rsidRPr="00000000" w14:paraId="00000029">
      <w:pPr>
        <w:numPr>
          <w:ilvl w:val="0"/>
          <w:numId w:val="3"/>
        </w:numPr>
        <w:spacing w:after="16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Variación del mar en 3,4 milímetros al año.</w:t>
      </w:r>
    </w:p>
    <w:p w:rsidR="00000000" w:rsidDel="00000000" w:rsidP="00000000" w:rsidRDefault="00000000" w:rsidRPr="00000000" w14:paraId="0000002A">
      <w:pPr>
        <w:spacing w:after="160" w:line="259" w:lineRule="auto"/>
        <w:jc w:val="both"/>
        <w:rPr>
          <w:rFonts w:ascii="Calibri" w:cs="Calibri" w:eastAsia="Calibri" w:hAnsi="Calibri"/>
        </w:rPr>
      </w:pPr>
      <w:r w:rsidDel="00000000" w:rsidR="00000000" w:rsidRPr="00000000">
        <w:rPr>
          <w:sz w:val="18"/>
          <w:szCs w:val="18"/>
          <w:highlight w:val="white"/>
          <w:rtl w:val="0"/>
        </w:rPr>
        <w:t xml:space="preserve">Cada año, el mar sube otros 3,4 milímetros. Un nuevo estudio publicado el 15 de febrero de 2022 muestra que el ritmo de subida de nivel del mar se está acelerando y se espera que, en Estados Unidos, aumente 30 centímetros de aquí a 2050.</w:t>
      </w:r>
      <w:r w:rsidDel="00000000" w:rsidR="00000000" w:rsidRPr="00000000">
        <w:rPr>
          <w:rtl w:val="0"/>
        </w:rPr>
      </w:r>
    </w:p>
    <w:p w:rsidR="00000000" w:rsidDel="00000000" w:rsidP="00000000" w:rsidRDefault="00000000" w:rsidRPr="00000000" w14:paraId="0000002B">
      <w:pPr>
        <w:spacing w:after="160" w:line="259" w:lineRule="auto"/>
        <w:jc w:val="both"/>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https://www.nationalgeographic.es/medio-ambiente/que-es-el-aumento-del-nivel-del-mar</w:t>
        </w:r>
      </w:hyperlink>
      <w:r w:rsidDel="00000000" w:rsidR="00000000" w:rsidRPr="00000000">
        <w:rPr>
          <w:rtl w:val="0"/>
        </w:rPr>
      </w:r>
    </w:p>
    <w:p w:rsidR="00000000" w:rsidDel="00000000" w:rsidP="00000000" w:rsidRDefault="00000000" w:rsidRPr="00000000" w14:paraId="0000002C">
      <w:pPr>
        <w:shd w:fill="fdfdfd" w:val="clear"/>
        <w:spacing w:line="259" w:lineRule="auto"/>
        <w:jc w:val="both"/>
        <w:rPr>
          <w:sz w:val="18"/>
          <w:szCs w:val="18"/>
          <w:highlight w:val="white"/>
        </w:rPr>
      </w:pPr>
      <w:r w:rsidDel="00000000" w:rsidR="00000000" w:rsidRPr="00000000">
        <w:rPr>
          <w:sz w:val="18"/>
          <w:szCs w:val="18"/>
          <w:highlight w:val="white"/>
          <w:rtl w:val="0"/>
        </w:rPr>
        <w:t xml:space="preserve">El informe especial más reciente del Panel Intergubernamental del Cambio Climático (IPCC) afirma que podemos esperar que los océanos aumenten de 26 a 77 centímetros para el 2100 con temperaturas que superen 1,5 °C de aumento. Esto sería suficiente para afectar seriamente a muchas de las ciudades que se sitúan a lo largo de la costa este de Estados Unidos. Otro análisis basado en datos europeos y de la NASA se inclina hacia el extremo superior de ese rango, ya que predice un aumento de 65 centímetros para finales de este siglo si la inercia actual continúa.</w:t>
      </w:r>
    </w:p>
    <w:p w:rsidR="00000000" w:rsidDel="00000000" w:rsidP="00000000" w:rsidRDefault="00000000" w:rsidRPr="00000000" w14:paraId="0000002D">
      <w:pPr>
        <w:spacing w:after="160" w:line="259" w:lineRule="auto"/>
        <w:jc w:val="both"/>
        <w:rPr>
          <w:sz w:val="18"/>
          <w:szCs w:val="18"/>
          <w:highlight w:val="white"/>
        </w:rPr>
      </w:pPr>
      <w:r w:rsidDel="00000000" w:rsidR="00000000" w:rsidRPr="00000000">
        <w:rPr>
          <w:rtl w:val="0"/>
        </w:rPr>
      </w:r>
    </w:p>
    <w:p w:rsidR="00000000" w:rsidDel="00000000" w:rsidP="00000000" w:rsidRDefault="00000000" w:rsidRPr="00000000" w14:paraId="0000002E">
      <w:pPr>
        <w:shd w:fill="fdfdfd" w:val="clear"/>
        <w:spacing w:line="259" w:lineRule="auto"/>
        <w:jc w:val="both"/>
        <w:rPr>
          <w:sz w:val="18"/>
          <w:szCs w:val="18"/>
          <w:highlight w:val="white"/>
        </w:rPr>
      </w:pPr>
      <w:r w:rsidDel="00000000" w:rsidR="00000000" w:rsidRPr="00000000">
        <w:rPr>
          <w:sz w:val="18"/>
          <w:szCs w:val="18"/>
          <w:highlight w:val="white"/>
          <w:rtl w:val="0"/>
        </w:rPr>
        <w:t xml:space="preserve">Sí. Definitivamente. El informe dice enfáticamente que el futuro de nuestros océanos aún está en nuestras manos.</w:t>
      </w:r>
    </w:p>
    <w:p w:rsidR="00000000" w:rsidDel="00000000" w:rsidP="00000000" w:rsidRDefault="00000000" w:rsidRPr="00000000" w14:paraId="0000002F">
      <w:pPr>
        <w:shd w:fill="fdfdfd" w:val="clear"/>
        <w:spacing w:line="259" w:lineRule="auto"/>
        <w:jc w:val="both"/>
        <w:rPr>
          <w:sz w:val="18"/>
          <w:szCs w:val="18"/>
          <w:highlight w:val="white"/>
        </w:rPr>
      </w:pPr>
      <w:r w:rsidDel="00000000" w:rsidR="00000000" w:rsidRPr="00000000">
        <w:rPr>
          <w:sz w:val="18"/>
          <w:szCs w:val="18"/>
          <w:highlight w:val="white"/>
          <w:rtl w:val="0"/>
        </w:rPr>
        <w:t xml:space="preserve">La fórmula para protegerlos es bien conocida a estas alturas: cortes rápidos y profundos en las emisiones de CO2 de acuerdo al informe del IPCC del año pasado (una reducción del 45% para 2030).</w:t>
      </w:r>
    </w:p>
    <w:p w:rsidR="00000000" w:rsidDel="00000000" w:rsidP="00000000" w:rsidRDefault="00000000" w:rsidRPr="00000000" w14:paraId="00000030">
      <w:pPr>
        <w:shd w:fill="fdfdfd" w:val="clear"/>
        <w:spacing w:line="259" w:lineRule="auto"/>
        <w:jc w:val="both"/>
        <w:rPr>
          <w:color w:val="141414"/>
          <w:sz w:val="24"/>
          <w:szCs w:val="24"/>
        </w:rPr>
      </w:pPr>
      <w:r w:rsidDel="00000000" w:rsidR="00000000" w:rsidRPr="00000000">
        <w:rPr>
          <w:sz w:val="18"/>
          <w:szCs w:val="18"/>
          <w:highlight w:val="white"/>
          <w:rtl w:val="0"/>
        </w:rPr>
        <w:t xml:space="preserve">"Si reducimos las emisiones bruscamente, las consecuencias del cambio climático para los seres humanos y su forma de vida aún serán un desafío, pero potencialmente será un desafío más manejable para los más vulnerables", afirmó Hoesung Lee, presidente del IPCC.</w:t>
      </w:r>
      <w:r w:rsidDel="00000000" w:rsidR="00000000" w:rsidRPr="00000000">
        <w:rPr>
          <w:rtl w:val="0"/>
        </w:rPr>
      </w:r>
    </w:p>
    <w:p w:rsidR="00000000" w:rsidDel="00000000" w:rsidP="00000000" w:rsidRDefault="00000000" w:rsidRPr="00000000" w14:paraId="00000031">
      <w:pPr>
        <w:shd w:fill="fdfdfd" w:val="clear"/>
        <w:spacing w:line="259" w:lineRule="auto"/>
        <w:rPr>
          <w:color w:val="141414"/>
          <w:sz w:val="24"/>
          <w:szCs w:val="24"/>
        </w:rPr>
      </w:pPr>
      <w:r w:rsidDel="00000000" w:rsidR="00000000" w:rsidRPr="00000000">
        <w:rPr>
          <w:rtl w:val="0"/>
        </w:rPr>
      </w:r>
    </w:p>
    <w:p w:rsidR="00000000" w:rsidDel="00000000" w:rsidP="00000000" w:rsidRDefault="00000000" w:rsidRPr="00000000" w14:paraId="00000032">
      <w:pPr>
        <w:shd w:fill="fdfdfd" w:val="clear"/>
        <w:spacing w:line="259" w:lineRule="auto"/>
        <w:rPr>
          <w:color w:val="141414"/>
          <w:sz w:val="24"/>
          <w:szCs w:val="24"/>
        </w:rPr>
      </w:pPr>
      <w:hyperlink r:id="rId13">
        <w:r w:rsidDel="00000000" w:rsidR="00000000" w:rsidRPr="00000000">
          <w:rPr>
            <w:color w:val="1155cc"/>
            <w:sz w:val="24"/>
            <w:szCs w:val="24"/>
            <w:u w:val="single"/>
            <w:rtl w:val="0"/>
          </w:rPr>
          <w:t xml:space="preserve">https://www.bbc.com/mundo/noticias-49827266</w:t>
        </w:r>
      </w:hyperlink>
      <w:r w:rsidDel="00000000" w:rsidR="00000000" w:rsidRPr="00000000">
        <w:rPr>
          <w:rtl w:val="0"/>
        </w:rPr>
      </w:r>
    </w:p>
    <w:p w:rsidR="00000000" w:rsidDel="00000000" w:rsidP="00000000" w:rsidRDefault="00000000" w:rsidRPr="00000000" w14:paraId="00000033">
      <w:pPr>
        <w:shd w:fill="fdfdfd" w:val="clear"/>
        <w:spacing w:line="259" w:lineRule="auto"/>
        <w:rPr>
          <w:color w:val="141414"/>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6"/>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consumo de energia electrica per capita hasta el 2019 </w:t>
      </w:r>
      <w:hyperlink r:id="rId14">
        <w:r w:rsidDel="00000000" w:rsidR="00000000" w:rsidRPr="00000000">
          <w:rPr>
            <w:rFonts w:ascii="Calibri" w:cs="Calibri" w:eastAsia="Calibri" w:hAnsi="Calibri"/>
            <w:color w:val="1155cc"/>
            <w:u w:val="single"/>
            <w:rtl w:val="0"/>
          </w:rPr>
          <w:t xml:space="preserve">https://datos.bancomundial.org/indicator/EG.USE.ELEC.KH.PC</w:t>
        </w:r>
      </w:hyperlink>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Como capturar el CO2</w:t>
      </w:r>
    </w:p>
    <w:p w:rsidR="00000000" w:rsidDel="00000000" w:rsidP="00000000" w:rsidRDefault="00000000" w:rsidRPr="00000000" w14:paraId="0000003C">
      <w:pPr>
        <w:spacing w:after="160" w:line="259" w:lineRule="auto"/>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https://www.youtube.com/watch?v=YhHCRDvOR94&amp;t=1003s</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COMPROMISOS POR PAÍS PARA LLEVAR A CABO EL ACUERDO DE PARÍS</w:t>
      </w: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https://www4.unfccc.int/sites/submissions/indc/Submission%20Pages/submissions.aspx</w:t>
        </w:r>
      </w:hyperlink>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s.iadb.org/energia/es/un-plan-para-lograr-el-70-de-energia-renovable-en-la-matriz-electrica-al-2030/" TargetMode="External"/><Relationship Id="rId10" Type="http://schemas.openxmlformats.org/officeDocument/2006/relationships/hyperlink" Target="https://www.who.int/es/news/item/07-06-2021-global-launch-tracking-sdg7-the-energy-progress-report#:~:text=Eficiencia%20energ%C3%A9tica.&amp;text=Para%20alcanzar%20la%20meta%20del,en%20promedio%20hasta%20el%202030" TargetMode="External"/><Relationship Id="rId13" Type="http://schemas.openxmlformats.org/officeDocument/2006/relationships/hyperlink" Target="https://www.bbc.com/mundo/noticias-49827266" TargetMode="External"/><Relationship Id="rId12" Type="http://schemas.openxmlformats.org/officeDocument/2006/relationships/hyperlink" Target="https://www.nationalgeographic.es/medio-ambiente/que-es-el-aumento-del-nivel-del-m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unicarseweb.com/noticia/el-mundo-necesita-reducir-la-intensidad-del-carbono-cinco-veces-mas-rapido-para-alcanzar-el#:~:text=Seg%C3%BAn%20revela%20el%20PwC%20Net,mayor%20que%20el%20promedio%20hist%C3%B3rico" TargetMode="External"/><Relationship Id="rId15" Type="http://schemas.openxmlformats.org/officeDocument/2006/relationships/hyperlink" Target="https://www.youtube.com/watch?v=YhHCRDvOR94&amp;t=1003s" TargetMode="External"/><Relationship Id="rId14" Type="http://schemas.openxmlformats.org/officeDocument/2006/relationships/hyperlink" Target="https://datos.bancomundial.org/indicator/EG.USE.ELEC.KH.PC" TargetMode="External"/><Relationship Id="rId16" Type="http://schemas.openxmlformats.org/officeDocument/2006/relationships/hyperlink" Target="https://www4.unfccc.int/sites/submissions/indc/Submission%20Pages/submissions.aspx" TargetMode="External"/><Relationship Id="rId5" Type="http://schemas.openxmlformats.org/officeDocument/2006/relationships/styles" Target="styles.xml"/><Relationship Id="rId6" Type="http://schemas.openxmlformats.org/officeDocument/2006/relationships/hyperlink" Target="https://www.un.org/es/climatechange/net-zero-coalition" TargetMode="External"/><Relationship Id="rId7" Type="http://schemas.openxmlformats.org/officeDocument/2006/relationships/hyperlink" Target="https://www.unep.org/es/noticias-y-reportajes/comunicado-de-prensa/gobiernos-del-mundo-deben-reducir-la-produccion-de" TargetMode="External"/><Relationship Id="rId8" Type="http://schemas.openxmlformats.org/officeDocument/2006/relationships/hyperlink" Target="https://www.unep.org/es/noticias-y-reportajes/comunicado-de-prensa/el-mundo-debe-reducir-las-emisiones-76-anual-en-la#:~:text=%2D%20Las%20emisiones%20globales%20de%20gases,UN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