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 w:rsidR="00A77B3E">
      <w:pPr>
        <w:pStyle w:val="Heading1"/>
      </w:pPr>
      <w:r>
        <w:t>Bibliography</w:t>
      </w:r>
    </w:p>
    <w:p w:rsidR="00A77B3E">
      <w:pPr>
        <w:pStyle w:val="CitaviLiteraturverzeichnis"/>
      </w:pPr>
      <w:r>
        <w:t>[B</w:t>
      </w:r>
      <w:r>
        <w:t>1</w:t>
      </w:r>
      <w:r>
        <w:t>]</w:t>
      </w:r>
      <w:r>
        <w:t xml:space="preserve"> </w:t>
      </w:r>
      <w:r>
        <w:rPr>
          <w:i/>
          <w:iCs/>
          <w:highlight w:val="none"/>
          <w:rtl w:val="0"/>
        </w:rPr>
        <w:t>Eröffnungsfeier Swiss Smart Factory – die erste Schweizer Test- und Demo-Fabrik zum Thema Industrie 4.0 – Innovator's Guide Switzerland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https://innovators-guide.ch/2017/05/eroffnungsfeier-swiss-smart-factory-die-erste-schweizer-test-und-demo-fabrik-zum-thema-industrie-40/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 xml:space="preserve">accessed </w:t>
      </w:r>
      <w:r>
        <w:rPr>
          <w:highlight w:val="none"/>
          <w:rtl w:val="0"/>
        </w:rPr>
        <w:t>September 29, 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t>[B</w:t>
      </w:r>
      <w:r>
        <w:t>2</w:t>
      </w:r>
      <w:r>
        <w:t>]</w:t>
      </w:r>
      <w:r>
        <w:t xml:space="preserve"> </w:t>
      </w:r>
      <w:r>
        <w:rPr>
          <w:i/>
          <w:iCs/>
          <w:highlight w:val="none"/>
          <w:rtl w:val="0"/>
        </w:rPr>
        <w:t>Was ist Industrie 4.0?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https://www.plattform-i40.de/PI40/Navigation/DE/Industrie40/WasIndustrie40/was-ist-industrie-40.html;jsessionid=D7ED4118DED525F176F382A8F939369D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 xml:space="preserve">accessed </w:t>
      </w:r>
      <w:r>
        <w:rPr>
          <w:highlight w:val="none"/>
          <w:rtl w:val="0"/>
        </w:rPr>
        <w:t>September 29, 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t>[B</w:t>
      </w:r>
      <w:r>
        <w:t>3</w:t>
      </w:r>
      <w:r>
        <w:t>]</w:t>
      </w:r>
      <w:r>
        <w:t xml:space="preserve"> </w:t>
      </w:r>
      <w:r>
        <w:rPr>
          <w:highlight w:val="none"/>
          <w:rtl w:val="0"/>
        </w:rPr>
        <w:t>BMBF-Internetredaktion</w:t>
      </w:r>
      <w:r>
        <w:rPr>
          <w:highlight w:val="none"/>
          <w:rtl w:val="0"/>
        </w:rPr>
        <w:t xml:space="preserve">, </w:t>
      </w:r>
      <w:r>
        <w:rPr>
          <w:i/>
          <w:iCs/>
          <w:highlight w:val="none"/>
          <w:rtl w:val="0"/>
        </w:rPr>
        <w:t>Industrie 4.0 - BMBF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https://www.bmbf.de/de/zukunftsprojekt-industrie-4-0-848.html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 xml:space="preserve">accessed </w:t>
      </w:r>
      <w:r>
        <w:rPr>
          <w:highlight w:val="none"/>
          <w:rtl w:val="0"/>
        </w:rPr>
        <w:t>September 29, 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t>[B</w:t>
      </w:r>
      <w:r>
        <w:t>4</w:t>
      </w:r>
      <w:r>
        <w:t>]</w:t>
      </w:r>
      <w:r>
        <w:t xml:space="preserve"> </w:t>
      </w:r>
      <w:r>
        <w:rPr>
          <w:highlight w:val="none"/>
          <w:rtl w:val="0"/>
        </w:rPr>
        <w:t>Huhmann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“</w:t>
      </w:r>
      <w:r>
        <w:rPr>
          <w:highlight w:val="none"/>
          <w:rtl w:val="0"/>
        </w:rPr>
        <w:t>Industrie 4.0: Auf dem Weg zur wirklich smarten Factory</w:t>
      </w:r>
      <w:r>
        <w:rPr>
          <w:highlight w:val="none"/>
          <w:rtl w:val="0"/>
        </w:rPr>
        <w:t>,”</w:t>
      </w:r>
      <w:r>
        <w:rPr>
          <w:highlight w:val="none"/>
          <w:rtl w:val="0"/>
        </w:rPr>
        <w:t xml:space="preserve"> </w:t>
      </w:r>
      <w:r>
        <w:rPr>
          <w:i/>
          <w:iCs/>
          <w:highlight w:val="none"/>
          <w:rtl w:val="0"/>
        </w:rPr>
        <w:t>entwickler.de - S&amp;S Media Support GmbH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https://entwickler.de/online/iot/industrie-4-0-auf-dem-weg-zur-smart-factory-579911790.html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 xml:space="preserve">accessed </w:t>
      </w:r>
      <w:r>
        <w:rPr>
          <w:highlight w:val="none"/>
          <w:rtl w:val="0"/>
        </w:rPr>
        <w:t>September 29, 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t>[B</w:t>
      </w:r>
      <w:r>
        <w:t>5</w:t>
      </w:r>
      <w:r>
        <w:t>]</w:t>
      </w:r>
      <w:r>
        <w:t xml:space="preserve"> </w:t>
      </w:r>
      <w:r>
        <w:rPr>
          <w:highlight w:val="none"/>
          <w:rtl w:val="0"/>
        </w:rPr>
        <w:t>Limited, Wipro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“</w:t>
      </w:r>
      <w:r>
        <w:rPr>
          <w:highlight w:val="none"/>
          <w:rtl w:val="0"/>
        </w:rPr>
        <w:t>In 5 Schritten zum Smart Manufacturing | MoreThanDigital</w:t>
      </w:r>
      <w:r>
        <w:rPr>
          <w:highlight w:val="none"/>
          <w:rtl w:val="0"/>
        </w:rPr>
        <w:t>,”</w:t>
      </w:r>
      <w:r>
        <w:rPr>
          <w:highlight w:val="none"/>
          <w:rtl w:val="0"/>
        </w:rPr>
        <w:t xml:space="preserve"> </w:t>
      </w:r>
      <w:r>
        <w:rPr>
          <w:i/>
          <w:iCs/>
          <w:highlight w:val="none"/>
          <w:rtl w:val="0"/>
        </w:rPr>
        <w:t>MoreThanDigital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https://morethandigital.info/in-5-schritten-zum-smart-manufacturing/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 xml:space="preserve">accessed </w:t>
      </w:r>
      <w:r>
        <w:rPr>
          <w:highlight w:val="none"/>
          <w:rtl w:val="0"/>
        </w:rPr>
        <w:t>September 29, 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t>[B</w:t>
      </w:r>
      <w:r>
        <w:t>6</w:t>
      </w:r>
      <w:r>
        <w:t>]</w:t>
      </w:r>
      <w:r>
        <w:t xml:space="preserve"> </w:t>
      </w:r>
      <w:r>
        <w:rPr>
          <w:highlight w:val="none"/>
          <w:rtl w:val="0"/>
        </w:rPr>
        <w:t>RICHARDS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 xml:space="preserve">and </w:t>
      </w:r>
      <w:r>
        <w:rPr>
          <w:highlight w:val="none"/>
          <w:rtl w:val="0"/>
        </w:rPr>
        <w:t>Grinsted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S.</w:t>
      </w:r>
      <w:r>
        <w:rPr>
          <w:highlight w:val="none"/>
          <w:rtl w:val="0"/>
        </w:rPr>
        <w:t xml:space="preserve">, </w:t>
      </w:r>
      <w:r>
        <w:rPr>
          <w:i/>
          <w:iCs/>
          <w:highlight w:val="none"/>
          <w:rtl w:val="0"/>
        </w:rPr>
        <w:t>The logistics and supply chain toolkit</w:t>
      </w:r>
      <w:r>
        <w:rPr>
          <w:i/>
          <w:iCs/>
          <w:highlight w:val="none"/>
          <w:rtl w:val="0"/>
        </w:rPr>
        <w:t xml:space="preserve">: </w:t>
      </w:r>
      <w:r>
        <w:rPr>
          <w:i/>
          <w:iCs/>
          <w:highlight w:val="none"/>
          <w:rtl w:val="0"/>
        </w:rPr>
        <w:t>Over 100 tools for tansport, warehousing and inventory manageme</w:t>
      </w:r>
      <w:r>
        <w:rPr>
          <w:i/>
          <w:iCs/>
          <w:highlight w:val="none"/>
          <w:rtl w:val="0"/>
        </w:rPr>
        <w:t xml:space="preserve">, </w:t>
      </w:r>
      <w:r>
        <w:rPr>
          <w:highlight w:val="none"/>
          <w:rtl w:val="0"/>
        </w:rPr>
        <w:t>Third edition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[</w:t>
      </w:r>
      <w:r>
        <w:rPr>
          <w:highlight w:val="none"/>
          <w:rtl w:val="0"/>
        </w:rPr>
        <w:t>Place of publication not identified]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KOGAN PAGE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>.</w:t>
      </w:r>
    </w:p>
    <w:p>
      <w:pPr>
        <w:pStyle w:val="CitaviLiteraturverzeichnis"/>
      </w:pPr>
    </w:p>
    <w:sectPr>
      <w:pgSz w:w="11906" w:h="16838"/>
      <w:pgMar w:top="567" w:right="567" w:bottom="567" w:left="1134" w:header="850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0" w:after="120"/>
    </w:pPr>
    <w:rPr>
      <w:rFonts w:ascii="Segoe UI" w:eastAsia="Segoe UI" w:hAnsi="Segoe UI" w:cs="Segoe UI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before="0" w:after="720"/>
      <w:outlineLvl w:val="0"/>
    </w:pPr>
    <w:rPr>
      <w:rFonts w:ascii="Segoe UI" w:eastAsia="Segoe UI" w:hAnsi="Segoe UI" w:cs="Segoe UI"/>
      <w:b/>
      <w:bCs/>
      <w:i w:val="0"/>
      <w:iCs w:val="0"/>
      <w:kern w:val="32"/>
      <w:sz w:val="30"/>
      <w:szCs w:val="30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20" w:after="480"/>
      <w:outlineLvl w:val="1"/>
    </w:pPr>
    <w:rPr>
      <w:rFonts w:ascii="Segoe UI" w:eastAsia="Segoe UI" w:hAnsi="Segoe UI" w:cs="Segoe UI"/>
      <w:b/>
      <w:bCs/>
      <w:i w:val="0"/>
      <w:iCs w:val="0"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480" w:after="120"/>
      <w:outlineLvl w:val="2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480" w:after="0"/>
      <w:outlineLvl w:val="3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480" w:after="0"/>
      <w:outlineLvl w:val="4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480" w:after="0"/>
      <w:outlineLvl w:val="5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480" w:after="0"/>
      <w:outlineLvl w:val="6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480" w:after="0"/>
      <w:outlineLvl w:val="7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480" w:after="0"/>
      <w:outlineLvl w:val="8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80" w:after="0"/>
      <w:jc w:val="left"/>
      <w:outlineLvl w:val="9"/>
    </w:pPr>
    <w:rPr>
      <w:rFonts w:ascii="Segoe UI" w:eastAsia="Segoe UI" w:hAnsi="Segoe UI" w:cs="Segoe UI"/>
      <w:b w:val="0"/>
      <w:bCs w:val="0"/>
      <w:i w:val="0"/>
      <w:iCs w:val="0"/>
      <w:color w:val="15428B"/>
      <w:sz w:val="20"/>
      <w:szCs w:val="20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720" w:after="240"/>
      <w:jc w:val="left"/>
      <w:outlineLvl w:val="9"/>
    </w:pPr>
    <w:rPr>
      <w:rFonts w:ascii="Segoe UI" w:eastAsia="Segoe UI" w:hAnsi="Segoe UI" w:cs="Segoe UI"/>
      <w:b/>
      <w:bCs w:val="0"/>
      <w:i w:val="0"/>
      <w:iCs w:val="0"/>
      <w:color w:val="000000"/>
      <w:kern w:val="28"/>
      <w:sz w:val="20"/>
      <w:szCs w:val="20"/>
    </w:rPr>
  </w:style>
  <w:style w:type="paragraph" w:styleId="FootnoteText">
    <w:name w:val="footnote text"/>
    <w:basedOn w:val="Normal"/>
    <w:rsid w:val="00805BCE"/>
    <w:pPr>
      <w:spacing w:before="0" w:after="0"/>
      <w:ind w:left="227" w:hanging="227"/>
    </w:pPr>
    <w:rPr>
      <w:rFonts w:cs="Segoe UI"/>
      <w:bCs w:val="0"/>
      <w:iCs w:val="0"/>
      <w:sz w:val="16"/>
      <w:szCs w:val="16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20"/>
      <w:ind w:left="567" w:hanging="567"/>
    </w:pPr>
    <w:rPr>
      <w:rFonts w:ascii="Segoe UI" w:eastAsia="Segoe UI" w:hAnsi="Segoe UI" w:cs="Segoe UI"/>
      <w:b/>
      <w:bCs/>
      <w:iCs w:val="0"/>
      <w:szCs w:val="18"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20"/>
      <w:ind w:left="1134" w:hanging="567"/>
    </w:pPr>
    <w:rPr>
      <w:rFonts w:ascii="Segoe UI" w:eastAsia="Segoe UI" w:hAnsi="Segoe UI" w:cs="Segoe UI"/>
      <w:bCs w:val="0"/>
      <w:i/>
      <w:iCs/>
      <w:szCs w:val="18"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  <w:rPr>
      <w:rFonts w:ascii="Segoe UI" w:eastAsia="Segoe UI" w:hAnsi="Segoe UI" w:cs="Segoe UI"/>
      <w:bCs w:val="0"/>
      <w:iCs w:val="0"/>
      <w:szCs w:val="18"/>
    </w:r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  <w:rPr>
      <w:rFonts w:ascii="Segoe UI" w:eastAsia="Segoe UI" w:hAnsi="Segoe UI" w:cs="Segoe UI"/>
      <w:bCs w:val="0"/>
      <w:iCs w:val="0"/>
      <w:szCs w:val="18"/>
    </w:r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  <w:rPr>
      <w:rFonts w:ascii="Segoe UI" w:eastAsia="Segoe UI" w:hAnsi="Segoe UI" w:cs="Segoe UI"/>
      <w:bCs w:val="0"/>
      <w:iCs w:val="0"/>
      <w:szCs w:val="18"/>
    </w:r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  <w:rPr>
      <w:rFonts w:ascii="Segoe UI" w:eastAsia="Segoe UI" w:hAnsi="Segoe UI" w:cs="Segoe UI"/>
      <w:bCs w:val="0"/>
      <w:iCs w:val="0"/>
      <w:szCs w:val="18"/>
    </w:r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  <w:rPr>
      <w:rFonts w:ascii="Segoe UI" w:eastAsia="Segoe UI" w:hAnsi="Segoe UI" w:cs="Segoe UI"/>
      <w:bCs w:val="0"/>
      <w:iCs w:val="0"/>
      <w:szCs w:val="18"/>
    </w:r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  <w:rPr>
      <w:rFonts w:ascii="Segoe UI" w:eastAsia="Segoe UI" w:hAnsi="Segoe UI" w:cs="Segoe UI"/>
      <w:bCs w:val="0"/>
      <w:iCs w:val="0"/>
      <w:szCs w:val="18"/>
    </w:r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  <w:rPr>
      <w:rFonts w:ascii="Segoe UI" w:eastAsia="Segoe UI" w:hAnsi="Segoe UI" w:cs="Segoe UI"/>
      <w:bCs w:val="0"/>
      <w:iCs w:val="0"/>
      <w:szCs w:val="18"/>
    </w:rPr>
  </w:style>
  <w:style w:type="paragraph" w:customStyle="1" w:styleId="CitaviLiteraturverzeichnis">
    <w:name w:val="Citavi Literaturverzeichnis"/>
    <w:basedOn w:val="Normal"/>
    <w:pPr>
      <w:spacing w:after="120"/>
    </w:pPr>
  </w:style>
  <w:style w:type="paragraph" w:customStyle="1" w:styleId="CitaviLiteraturverzeichnis-Zwischenberschrift0">
    <w:name w:val="Citavi Literaturverzeichnis-Zwischenüberschrift 0"/>
    <w:basedOn w:val="Normal"/>
    <w:next w:val="CitaviLiteraturverzeichnis"/>
    <w:pPr>
      <w:keepNext/>
      <w:spacing w:before="240"/>
    </w:pPr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