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900" w:lineRule="auto" w:line="348"/>
      </w:pPr>
    </w:p>
    <w:p>
      <w:pPr>
        <w:spacing w:before="0" w:after="40" w:lineRule="auto" w:line="348"/>
      </w:pPr>
      <w:r>
        <w:rPr>
          <w:rFonts w:ascii="맑은 고딕" w:hAnsi="맑은 고딕" w:eastAsia="맑은 고딕"/>
          <w:b/>
          <w:color w:val="666B73"/>
          <w:sz w:val="22"/>
        </w:rPr>
        <w:t>기업분석</w:t>
      </w:r>
    </w:p>
    <w:p>
      <w:pPr>
        <w:spacing w:before="0" w:after="80" w:lineRule="auto" w:line="348"/>
      </w:pPr>
      <w:r>
        <w:rPr>
          <w:rFonts w:ascii="맑은 고딕" w:hAnsi="맑은 고딕" w:eastAsia="맑은 고딕"/>
          <w:b/>
          <w:color w:val="1B365D"/>
          <w:sz w:val="68"/>
        </w:rPr>
        <w:t>두산에너빌리티</w:t>
      </w:r>
    </w:p>
    <w:p>
      <w:pPr>
        <w:spacing w:before="0" w:after="280" w:lineRule="auto" w:line="348"/>
      </w:pPr>
      <w:r>
        <w:rPr>
          <w:rFonts w:ascii="맑은 고딕" w:hAnsi="맑은 고딕" w:eastAsia="맑은 고딕"/>
          <w:b w:val="0"/>
          <w:color w:val="666B73"/>
          <w:sz w:val="24"/>
        </w:rPr>
        <w:t>034020 · KOSPI · 기계장비</w:t>
      </w:r>
    </w:p>
    <w:p>
      <w:pPr>
        <w:spacing w:before="40" w:after="280" w:lineRule="auto" w:line="240"/>
        <w:pBdr>
          <w:bottom w:val="single" w:sz="14" w:space="1" w:color="1B365D"/>
        </w:pBdr>
      </w:pPr>
    </w:p>
    <w:p>
      <w:pPr>
        <w:spacing w:before="0" w:after="120" w:lineRule="auto" w:line="348"/>
      </w:pPr>
      <w:r>
        <w:rPr>
          <w:rFonts w:ascii="맑은 고딕" w:hAnsi="맑은 고딕" w:eastAsia="맑은 고딕"/>
          <w:b/>
          <w:color w:val="1A1A1A"/>
          <w:sz w:val="30"/>
        </w:rPr>
        <w:t>원전으로 평가받고, 굴착기로 버는 회사</w:t>
      </w:r>
    </w:p>
    <w:p>
      <w:pPr>
        <w:spacing w:before="0" w:after="600" w:lineRule="auto" w:line="360"/>
        <w:jc w:val="both"/>
      </w:pPr>
      <w:r>
        <w:rPr>
          <w:rFonts w:ascii="맑은 고딕" w:hAnsi="맑은 고딕" w:eastAsia="맑은 고딕"/>
          <w:b w:val="0"/>
          <w:color w:val="666B73"/>
          <w:sz w:val="22"/>
        </w:rPr>
        <w:t>상반기 수주는 89.6% 늘었고 수주잔고는 26.4조원까지 커졌다. 사업은 진짜다. 다만 올해 벌어들일 지배주주 순이익의 85%는 미국에서 소형 건설기계를 파는 자회사에서 나오고, 원전 본체가 버는 돈은 아직 연 1천억원 수준이다. 이 보고서는 그 간격이 얼마나 큰지를 재고, 지금 가격이 무엇을 이미 믿고 있는지를 숫자로 되짚은 뒤, 사야 하는지 팔아야 하는지에 답한다.</w:t>
      </w:r>
    </w:p>
    <w:tbl>
      <w:tblPr>
        <w:tblW w:type="auto" w:w="0"/>
        <w:jc w:val="center"/>
        <w:tblLook w:firstColumn="1" w:firstRow="1" w:lastColumn="0" w:lastRow="0" w:noHBand="0" w:noVBand="1" w:val="04A0"/>
        <w:tblLayout w:type="fixed"/>
      </w:tblPr>
      <w:tblGrid>
        <w:gridCol w:w="1860"/>
        <w:gridCol w:w="1860"/>
        <w:gridCol w:w="1860"/>
        <w:gridCol w:w="1860"/>
        <w:gridCol w:w="1860"/>
      </w:tblGrid>
      <w:tr>
        <w:trPr>
          <w:tblHeader w:val="true"/>
        </w:trPr>
        <w:tc>
          <w:tcPr>
            <w:tcW w:type="dxa" w:w="1860"/>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현재주가</w:t>
            </w:r>
          </w:p>
        </w:tc>
        <w:tc>
          <w:tcPr>
            <w:tcW w:type="dxa" w:w="1860"/>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시가총액</w:t>
            </w:r>
          </w:p>
        </w:tc>
        <w:tc>
          <w:tcPr>
            <w:tcW w:type="dxa" w:w="1860"/>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선행 PER</w:t>
            </w:r>
          </w:p>
        </w:tc>
        <w:tc>
          <w:tcPr>
            <w:tcW w:type="dxa" w:w="1860"/>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목표주가</w:t>
            </w:r>
          </w:p>
        </w:tc>
        <w:tc>
          <w:tcPr>
            <w:tcW w:type="dxa" w:w="1860"/>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투자의견</w:t>
            </w:r>
          </w:p>
        </w:tc>
      </w:tr>
      <w:tr>
        <w:tc>
          <w:tcPr>
            <w:tcW w:type="dxa" w:w="1860"/>
            <w:vAlign w:val="center"/>
            <w:tcBorders>
              <w:top w:val="nil"/>
              <w:left w:val="nil"/>
              <w:bottom w:val="single" w:sz="10" w:color="1B365D"/>
              <w:right w:val="nil"/>
            </w:tcBorders>
          </w:tcPr>
          <w:p>
            <w:pPr>
              <w:spacing w:before="70" w:after="70" w:lineRule="auto" w:line="288"/>
              <w:jc w:val="center"/>
            </w:pPr>
            <w:r>
              <w:rPr>
                <w:rFonts w:ascii="맑은 고딕" w:hAnsi="맑은 고딕" w:eastAsia="맑은 고딕"/>
                <w:b w:val="0"/>
                <w:color w:val="1A1A1A"/>
                <w:sz w:val="19"/>
              </w:rPr>
              <w:t>88,200원</w:t>
            </w:r>
          </w:p>
        </w:tc>
        <w:tc>
          <w:tcPr>
            <w:tcW w:type="dxa" w:w="1860"/>
            <w:vAlign w:val="center"/>
            <w:tcBorders>
              <w:top w:val="nil"/>
              <w:left w:val="nil"/>
              <w:bottom w:val="single" w:sz="10" w:color="1B365D"/>
              <w:right w:val="nil"/>
            </w:tcBorders>
          </w:tcPr>
          <w:p>
            <w:pPr>
              <w:spacing w:before="70" w:after="70" w:lineRule="auto" w:line="288"/>
              <w:jc w:val="center"/>
            </w:pPr>
            <w:r>
              <w:rPr>
                <w:rFonts w:ascii="맑은 고딕" w:hAnsi="맑은 고딕" w:eastAsia="맑은 고딕"/>
                <w:b w:val="0"/>
                <w:color w:val="1A1A1A"/>
                <w:sz w:val="19"/>
              </w:rPr>
              <w:t>56.5조원</w:t>
            </w:r>
          </w:p>
        </w:tc>
        <w:tc>
          <w:tcPr>
            <w:tcW w:type="dxa" w:w="1860"/>
            <w:vAlign w:val="center"/>
            <w:tcBorders>
              <w:top w:val="nil"/>
              <w:left w:val="nil"/>
              <w:bottom w:val="single" w:sz="10" w:color="1B365D"/>
              <w:right w:val="nil"/>
            </w:tcBorders>
          </w:tcPr>
          <w:p>
            <w:pPr>
              <w:spacing w:before="70" w:after="70" w:lineRule="auto" w:line="288"/>
              <w:jc w:val="center"/>
            </w:pPr>
            <w:r>
              <w:rPr>
                <w:rFonts w:ascii="맑은 고딕" w:hAnsi="맑은 고딕" w:eastAsia="맑은 고딕"/>
                <w:b/>
                <w:color w:val="1B365D"/>
                <w:sz w:val="19"/>
              </w:rPr>
              <w:t>177배</w:t>
            </w:r>
          </w:p>
        </w:tc>
        <w:tc>
          <w:tcPr>
            <w:tcW w:type="dxa" w:w="1860"/>
            <w:vAlign w:val="center"/>
            <w:tcBorders>
              <w:top w:val="nil"/>
              <w:left w:val="nil"/>
              <w:bottom w:val="single" w:sz="10" w:color="1B365D"/>
              <w:right w:val="nil"/>
            </w:tcBorders>
          </w:tcPr>
          <w:p>
            <w:pPr>
              <w:spacing w:before="70" w:after="70" w:lineRule="auto" w:line="288"/>
              <w:jc w:val="center"/>
            </w:pPr>
            <w:r>
              <w:rPr>
                <w:rFonts w:ascii="맑은 고딕" w:hAnsi="맑은 고딕" w:eastAsia="맑은 고딕"/>
                <w:b/>
                <w:color w:val="1B365D"/>
                <w:sz w:val="19"/>
              </w:rPr>
              <w:t>55,000원</w:t>
            </w:r>
          </w:p>
        </w:tc>
        <w:tc>
          <w:tcPr>
            <w:tcW w:type="dxa" w:w="1860"/>
            <w:vAlign w:val="center"/>
            <w:tcBorders>
              <w:top w:val="nil"/>
              <w:left w:val="nil"/>
              <w:bottom w:val="single" w:sz="10" w:color="1B365D"/>
              <w:right w:val="nil"/>
            </w:tcBorders>
          </w:tcPr>
          <w:p>
            <w:pPr>
              <w:spacing w:before="70" w:after="70" w:lineRule="auto" w:line="288"/>
              <w:jc w:val="center"/>
            </w:pPr>
            <w:r>
              <w:rPr>
                <w:rFonts w:ascii="맑은 고딕" w:hAnsi="맑은 고딕" w:eastAsia="맑은 고딕"/>
                <w:b/>
                <w:color w:val="1B365D"/>
                <w:sz w:val="19"/>
              </w:rPr>
              <w:t>매도</w:t>
            </w:r>
          </w:p>
        </w:tc>
      </w:tr>
    </w:tbl>
    <w:p>
      <w:pPr>
        <w:spacing w:before="0" w:after="160" w:lineRule="auto" w:line="348"/>
      </w:pPr>
    </w:p>
    <w:p>
      <w:pPr>
        <w:spacing w:before="0" w:after="120" w:lineRule="auto" w:line="348"/>
      </w:pPr>
      <w:r>
        <w:rPr>
          <w:rFonts w:ascii="맑은 고딕" w:hAnsi="맑은 고딕" w:eastAsia="맑은 고딕"/>
          <w:b w:val="0"/>
          <w:color w:val="666B73"/>
          <w:sz w:val="17"/>
        </w:rPr>
        <w:t>기준일 2026년 8월 28일 종가. 자료: 금융감독원 전자공시(DART), 회사 IR 자료, 한국투자증권 Open API, 한국거래소, FnGuide. 목표주가는 12개월 기준이며 산출 근거는 7장에 있다.</w:t>
      </w:r>
    </w:p>
    <w:p>
      <w:pPr>
        <w:spacing w:before="0" w:after="0" w:lineRule="auto" w:line="348"/>
      </w:pPr>
      <w:r>
        <w:rPr>
          <w:rFonts w:ascii="맑은 고딕" w:hAnsi="맑은 고딕" w:eastAsia="맑은 고딕"/>
          <w:b w:val="0"/>
          <w:color w:val="A82A2A"/>
          <w:sz w:val="17"/>
        </w:rPr>
        <w:t>2026년 8월 29일 1차 개정. 미국 수요측 근거를 고객사 SEC 공시와 DART 원문으로 전수 재확인하고 시나리오 확률을 다시 매겼다(2·3·5·7·8·9·10장). 시나리오 확률가중 현재가치는 34,000원에서 35,700원으로 올랐으나 채택 목표주가 55,000원과 투자의견 매도는 그대로다. 8월 29일은 휴장이라 종가는 불변이다.</w:t>
      </w:r>
    </w:p>
    <w:p>
      <w:pPr>
        <w:spacing w:before="0" w:after="0" w:lineRule="auto" w:line="348"/>
      </w:pPr>
      <w:r>
        <w:rPr>
          <w:rFonts w:ascii="맑은 고딕" w:hAnsi="맑은 고딕" w:eastAsia="맑은 고딕"/>
          <w:b w:val="0"/>
          <w:color w:val="A82A2A"/>
          <w:sz w:val="17"/>
        </w:rPr>
        <w:t>2026년 8월 29일 2차 개정. 미국 H급 가스터빈 7기 수주를 고객 쪽에서 되짚었다(3·5·8·9·10장). 회사 보도자료 원문 전수, 미 증권거래위원회 전문검색, 미 에너지부 발전기 원장(EIA-860M), 미 증권거래위원회 XBRL 재무데이터, 세인트루이스 연준 경제지표, 미 연방관보를 직접 조회했다. 핵심 정정은 둘이다. 7기는 실적이 아니라 수주이며 납기가 2029년 5월부터 월 1기씩이다. 그리고 미국 12기의 고객이 사실상 한 곳이다. 목표주가 55,000원과 투자의견 매도는 그대로다.</w:t>
      </w:r>
    </w:p>
    <w:p>
      <w:r>
        <w:br w:type="page"/>
      </w:r>
    </w:p>
    <w:p>
      <w:pPr>
        <w:spacing w:before="0" w:after="80" w:lineRule="auto" w:line="348"/>
      </w:pPr>
      <w:r>
        <w:rPr>
          <w:rFonts w:ascii="맑은 고딕" w:hAnsi="맑은 고딕" w:eastAsia="맑은 고딕"/>
          <w:b/>
          <w:color w:val="1B365D"/>
          <w:sz w:val="28"/>
        </w:rPr>
        <w:t>목차</w:t>
      </w:r>
    </w:p>
    <w:p>
      <w:pPr>
        <w:spacing w:before="0" w:after="200" w:lineRule="auto" w:line="240"/>
        <w:pBdr>
          <w:bottom w:val="single" w:sz="10" w:space="1" w:color="1B365D"/>
        </w:pBdr>
      </w:pPr>
    </w:p>
    <w:p>
      <w:pPr>
        <w:spacing w:line="384" w:lineRule="auto"/>
      </w:pPr>
      <w:r>
        <w:fldChar w:fldCharType="begin"/>
        <w:instrText xml:space="preserve"> TOC \o "1-1" \h \z \u </w:instrText>
        <w:fldChar w:fldCharType="end"/>
      </w:r>
    </w:p>
    <w:p>
      <w:pPr>
        <w:spacing w:before="360" w:after="0" w:lineRule="auto" w:line="348"/>
      </w:pPr>
      <w:r>
        <w:rPr>
          <w:rFonts w:ascii="맑은 고딕" w:hAnsi="맑은 고딕" w:eastAsia="맑은 고딕"/>
          <w:b w:val="0"/>
          <w:color w:val="666B73"/>
          <w:sz w:val="17"/>
        </w:rPr>
        <w:t>목차는 Word 에서 열었을 때 [참조] 탭의 [목차 업데이트] 또는 F9 를 누르면 쪽번호와 함께 채워진다.</w:t>
      </w:r>
    </w:p>
    <w:p>
      <w:r>
        <w:br w:type="page"/>
      </w:r>
    </w:p>
    <w:p>
      <w:pPr>
        <w:spacing w:before="400" w:after="40" w:lineRule="auto" w:line="288"/>
        <w:outlineLvl w:val="0"/>
        <w:keepNext/>
      </w:pPr>
      <w:r>
        <w:rPr>
          <w:rFonts w:ascii="맑은 고딕" w:hAnsi="맑은 고딕" w:eastAsia="맑은 고딕"/>
          <w:b/>
          <w:color w:val="1B365D"/>
          <w:sz w:val="28"/>
        </w:rPr>
        <w:t xml:space="preserve">1.  </w:t>
      </w:r>
      <w:r>
        <w:rPr>
          <w:rFonts w:ascii="맑은 고딕" w:hAnsi="맑은 고딕" w:eastAsia="맑은 고딕"/>
          <w:b/>
          <w:color w:val="1B365D"/>
          <w:sz w:val="28"/>
        </w:rPr>
        <w:t>투자의견</w:t>
      </w:r>
    </w:p>
    <w:p>
      <w:pPr>
        <w:spacing w:before="0" w:after="200" w:lineRule="auto" w:line="240"/>
        <w:pBdr>
          <w:bottom w:val="single" w:sz="10" w:space="1" w:color="1B365D"/>
        </w:pBdr>
      </w:pPr>
    </w:p>
    <w:tbl>
      <w:tblPr>
        <w:tblW w:type="auto" w:w="0"/>
        <w:jc w:val="center"/>
        <w:tblLook w:firstColumn="1" w:firstRow="1" w:lastColumn="0" w:lastRow="0" w:noHBand="0" w:noVBand="1" w:val="04A0"/>
      </w:tblPr>
      <w:tblGrid>
        <w:gridCol w:w="9298"/>
      </w:tblGrid>
      <w:tr>
        <w:tc>
          <w:tcPr>
            <w:tcW w:type="dxa" w:w="9298"/>
            <w:shd w:val="clear" w:fill="F7F5EF"/>
            <w:tcBorders>
              <w:top w:val="nil"/>
              <w:left w:val="single" w:sz="24" w:color="1B365D"/>
              <w:bottom w:val="nil"/>
              <w:right w:val="nil"/>
            </w:tcBorders>
          </w:tcPr>
          <w:p>
            <w:pPr>
              <w:spacing w:before="140" w:after="60" w:lineRule="auto" w:line="312"/>
              <w:ind w:left="198"/>
            </w:pPr>
            <w:r>
              <w:rPr>
                <w:rFonts w:ascii="맑은 고딕" w:hAnsi="맑은 고딕" w:eastAsia="맑은 고딕"/>
                <w:b/>
                <w:color w:val="1B365D"/>
                <w:sz w:val="21"/>
              </w:rPr>
              <w:t>매도 (Reduce) · 목표주가 55,000원 · 현재가 대비 -37.6%</w:t>
            </w:r>
          </w:p>
          <w:p>
            <w:pPr>
              <w:spacing w:before="0" w:after="140" w:lineRule="auto" w:line="341"/>
              <w:ind w:left="198"/>
              <w:jc w:val="both"/>
            </w:pPr>
            <w:r>
              <w:rPr>
                <w:rFonts w:ascii="맑은 고딕" w:hAnsi="맑은 고딕" w:eastAsia="맑은 고딕"/>
                <w:b w:val="0"/>
                <w:color w:val="1A1A1A"/>
                <w:sz w:val="20"/>
              </w:rPr>
              <w:t>회사가 나쁘다는 판단이 아니다. 수주와 기술은 실제로 좋아지고 있다. 다만 그 좋아짐이 이미 값에 다 들어갔고, 그것도 넉넉히 들어갔다. 자회사 지분을 시가로 떼어내면 원전·가스터빈 본체에 52.6조원이 붙어 있는데 본체가 지금 버는 돈은 연 1천억원 수준이다. 신규 매수는 하지 않는다. 보유분은 나누어 줄인다.</w:t>
            </w:r>
          </w:p>
        </w:tc>
      </w:tr>
    </w:tbl>
    <w:p>
      <w:pPr>
        <w:spacing w:before="0" w:after="200" w:lineRule="auto" w:line="348"/>
      </w:pPr>
    </w:p>
    <w:p>
      <w:pPr>
        <w:spacing w:before="260" w:after="80" w:lineRule="auto" w:line="288"/>
        <w:outlineLvl w:val="1"/>
        <w:keepNext/>
      </w:pPr>
      <w:r>
        <w:rPr>
          <w:rFonts w:ascii="맑은 고딕" w:hAnsi="맑은 고딕" w:eastAsia="맑은 고딕"/>
          <w:b/>
          <w:color w:val="1B365D"/>
          <w:sz w:val="23"/>
        </w:rPr>
        <w:t>판단을 지탱하는 세 가지 사실</w:t>
      </w:r>
    </w:p>
    <w:p>
      <w:pPr>
        <w:spacing w:before="0" w:after="120" w:lineRule="auto" w:line="348"/>
        <w:jc w:val="both"/>
      </w:pPr>
      <w:r>
        <w:rPr>
          <w:rFonts w:ascii="맑은 고딕" w:hAnsi="맑은 고딕" w:eastAsia="맑은 고딕"/>
          <w:b/>
          <w:color w:val="1B365D"/>
          <w:sz w:val="21"/>
        </w:rPr>
        <w:t xml:space="preserve">첫째, 이익의 출처가 이야기와 다르다. </w:t>
      </w:r>
      <w:r>
        <w:rPr>
          <w:rFonts w:ascii="맑은 고딕" w:hAnsi="맑은 고딕" w:eastAsia="맑은 고딕"/>
          <w:b w:val="0"/>
          <w:color w:val="1A1A1A"/>
          <w:sz w:val="21"/>
        </w:rPr>
        <w:t xml:space="preserve">2026년 컨센서스 지배주주 순이익 3,193억원 가운데 약 2,713억원, 곧 </w:t>
      </w:r>
      <w:r>
        <w:rPr>
          <w:rFonts w:ascii="맑은 고딕" w:hAnsi="맑은 고딕" w:eastAsia="맑은 고딕"/>
          <w:b/>
          <w:color w:val="1B365D"/>
          <w:sz w:val="21"/>
        </w:rPr>
        <w:t>85%가 두산밥캣 지분에서 온다</w:t>
      </w:r>
      <w:r>
        <w:rPr>
          <w:rFonts w:ascii="맑은 고딕" w:hAnsi="맑은 고딕" w:eastAsia="맑은 고딕"/>
          <w:b w:val="0"/>
          <w:color w:val="1A1A1A"/>
          <w:sz w:val="21"/>
        </w:rPr>
        <w:t>. 두산밥캣은 북미에서 소형 건설기계를 파는 회사이고 원전과 무관하다. 원전·가스터빈 본체가 버는 돈은 연 1천억원 안팎이며, 여기에 두산퓨얼셀 지분 손실 약 400억원이 붙는다. 게다가 회사 IR 자료는 상반기 연결 영업이익 개선에 밥캣의 관세 환급 효과가 들어 있다고 스스로 밝혔다. 일회성이다.</w:t>
      </w:r>
    </w:p>
    <w:p>
      <w:pPr>
        <w:spacing w:before="0" w:after="120" w:lineRule="auto" w:line="348"/>
        <w:jc w:val="both"/>
      </w:pPr>
      <w:r>
        <w:rPr>
          <w:rFonts w:ascii="맑은 고딕" w:hAnsi="맑은 고딕" w:eastAsia="맑은 고딕"/>
          <w:b/>
          <w:color w:val="1B365D"/>
          <w:sz w:val="21"/>
        </w:rPr>
        <w:t xml:space="preserve">둘째, 추정 이익은 깎이는데 주가만 올랐다. </w:t>
      </w:r>
      <w:r>
        <w:rPr>
          <w:rFonts w:ascii="맑은 고딕" w:hAnsi="맑은 고딕" w:eastAsia="맑은 고딕"/>
          <w:b w:val="0"/>
          <w:color w:val="1A1A1A"/>
          <w:sz w:val="21"/>
        </w:rPr>
        <w:t xml:space="preserve">지난 1년 동안 증권사들의 2026년 영업이익 추정치는 1조 4,348억원에서 1조 1,308억원으로 </w:t>
      </w:r>
      <w:r>
        <w:rPr>
          <w:rFonts w:ascii="맑은 고딕" w:hAnsi="맑은 고딕" w:eastAsia="맑은 고딕"/>
          <w:b/>
          <w:color w:val="1B365D"/>
          <w:sz w:val="21"/>
        </w:rPr>
        <w:t>21% 깎였고</w:t>
      </w:r>
      <w:r>
        <w:rPr>
          <w:rFonts w:ascii="맑은 고딕" w:hAnsi="맑은 고딕" w:eastAsia="맑은 고딕"/>
          <w:b w:val="0"/>
          <w:color w:val="1A1A1A"/>
          <w:sz w:val="21"/>
        </w:rPr>
        <w:t xml:space="preserve">, 주당순이익 추정치는 808원에서 499원으로 </w:t>
      </w:r>
      <w:r>
        <w:rPr>
          <w:rFonts w:ascii="맑은 고딕" w:hAnsi="맑은 고딕" w:eastAsia="맑은 고딕"/>
          <w:b/>
          <w:color w:val="1B365D"/>
          <w:sz w:val="21"/>
        </w:rPr>
        <w:t>38% 깎였다</w:t>
      </w:r>
      <w:r>
        <w:rPr>
          <w:rFonts w:ascii="맑은 고딕" w:hAnsi="맑은 고딕" w:eastAsia="맑은 고딕"/>
          <w:b w:val="0"/>
          <w:color w:val="1A1A1A"/>
          <w:sz w:val="21"/>
        </w:rPr>
        <w:t>. 같은 기간 주가는 36.1% 올랐다. 이 상승은 이익이 만든 것이 아니라 배수가 만든 것이다.</w:t>
      </w:r>
    </w:p>
    <w:p>
      <w:pPr>
        <w:spacing w:before="0" w:after="120" w:lineRule="auto" w:line="348"/>
        <w:jc w:val="both"/>
      </w:pPr>
      <w:r>
        <w:rPr>
          <w:rFonts w:ascii="맑은 고딕" w:hAnsi="맑은 고딕" w:eastAsia="맑은 고딕"/>
          <w:b/>
          <w:color w:val="1B365D"/>
          <w:sz w:val="21"/>
        </w:rPr>
        <w:t xml:space="preserve">셋째, 최근 한 달의 상승은 이 회사의 것이 아니다. </w:t>
      </w:r>
      <w:r>
        <w:rPr>
          <w:rFonts w:ascii="맑은 고딕" w:hAnsi="맑은 고딕" w:eastAsia="맑은 고딕"/>
          <w:b w:val="0"/>
          <w:color w:val="1A1A1A"/>
          <w:sz w:val="21"/>
        </w:rPr>
        <w:t xml:space="preserve">20거래일 수익률을 보면 코스피가 21.4% 올랐고 두산퓨얼셀 140.2%, 비에이치아이 89.0%, 효성중공업 66.5%, 한국전력기술 53.2%가 올랐다. 두산에너빌리티의 46.5%는 </w:t>
      </w:r>
      <w:r>
        <w:rPr>
          <w:rFonts w:ascii="맑은 고딕" w:hAnsi="맑은 고딕" w:eastAsia="맑은 고딕"/>
          <w:b/>
          <w:color w:val="1B365D"/>
          <w:sz w:val="21"/>
        </w:rPr>
        <w:t>전력·원전 테마 안에서 오히려 중위권</w:t>
      </w:r>
      <w:r>
        <w:rPr>
          <w:rFonts w:ascii="맑은 고딕" w:hAnsi="맑은 고딕" w:eastAsia="맑은 고딕"/>
          <w:b w:val="0"/>
          <w:color w:val="1A1A1A"/>
          <w:sz w:val="21"/>
        </w:rPr>
        <w:t>이다. 동종업체와의 60일 수익률 상관계수는 0.71에서 0.75 사이다. 이 상승을 매수 근거로 쓸 수 없다.</w:t>
      </w:r>
    </w:p>
    <w:p>
      <w:pPr>
        <w:spacing w:before="260" w:after="80" w:lineRule="auto" w:line="288"/>
        <w:outlineLvl w:val="1"/>
        <w:keepNext/>
      </w:pPr>
      <w:r>
        <w:rPr>
          <w:rFonts w:ascii="맑은 고딕" w:hAnsi="맑은 고딕" w:eastAsia="맑은 고딕"/>
          <w:b/>
          <w:color w:val="1B365D"/>
          <w:sz w:val="23"/>
        </w:rPr>
        <w:t>매매 실행 방침</w:t>
      </w:r>
    </w:p>
    <w:tbl>
      <w:tblPr>
        <w:tblW w:type="auto" w:w="0"/>
        <w:jc w:val="center"/>
        <w:tblLook w:firstColumn="1" w:firstRow="1" w:lastColumn="0" w:lastRow="0" w:noHBand="0" w:noVBand="1" w:val="04A0"/>
        <w:tblLayout w:type="fixed"/>
      </w:tblPr>
      <w:tblGrid>
        <w:gridCol w:w="2324"/>
        <w:gridCol w:w="2324"/>
        <w:gridCol w:w="2324"/>
        <w:gridCol w:w="2324"/>
      </w:tblGrid>
      <w:tr>
        <w:trPr>
          <w:tblHeader w:val="true"/>
        </w:trPr>
        <w:tc>
          <w:tcPr>
            <w:tcW w:type="dxa" w:w="1361"/>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구분</w:t>
            </w:r>
          </w:p>
        </w:tc>
        <w:tc>
          <w:tcPr>
            <w:tcW w:type="dxa" w:w="1361"/>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판단</w:t>
            </w:r>
          </w:p>
        </w:tc>
        <w:tc>
          <w:tcPr>
            <w:tcW w:type="dxa" w:w="2608"/>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가격·조건</w:t>
            </w:r>
          </w:p>
        </w:tc>
        <w:tc>
          <w:tcPr>
            <w:tcW w:type="dxa" w:w="3969"/>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근거</w:t>
            </w:r>
          </w:p>
        </w:tc>
      </w:tr>
      <w:tr>
        <w:tc>
          <w:tcPr>
            <w:tcW w:type="dxa" w:w="1361"/>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신규 매수</w:t>
            </w:r>
          </w:p>
        </w:tc>
        <w:tc>
          <w:tcPr>
            <w:tcW w:type="dxa" w:w="1361"/>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하지 않는다</w:t>
            </w:r>
          </w:p>
        </w:tc>
        <w:tc>
          <w:tcPr>
            <w:tcW w:type="dxa" w:w="260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해당 없음</w:t>
            </w:r>
          </w:p>
        </w:tc>
        <w:tc>
          <w:tcPr>
            <w:tcW w:type="dxa" w:w="3969"/>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주가 88,200원이 200일선 91,044원 아래다. 추세 조건 자체가 서지 않는다</w:t>
            </w:r>
          </w:p>
        </w:tc>
      </w:tr>
      <w:tr>
        <w:tc>
          <w:tcPr>
            <w:tcW w:type="dxa" w:w="1361"/>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보유분</w:t>
            </w:r>
          </w:p>
        </w:tc>
        <w:tc>
          <w:tcPr>
            <w:tcW w:type="dxa" w:w="1361"/>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나누어 줄인다</w:t>
            </w:r>
          </w:p>
        </w:tc>
        <w:tc>
          <w:tcPr>
            <w:tcW w:type="dxa" w:w="260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현재가에서 3분의 1, 120일선 95,075원 회복 실패 시 3분의 1 추가</w:t>
            </w:r>
          </w:p>
        </w:tc>
        <w:tc>
          <w:tcPr>
            <w:tcW w:type="dxa" w:w="3969"/>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목표주가 대비 37.6% 고평가. 이익의 85%가 원전이 아닌 곳에서 나온다</w:t>
            </w:r>
          </w:p>
        </w:tc>
      </w:tr>
      <w:tr>
        <w:tc>
          <w:tcPr>
            <w:tcW w:type="dxa" w:w="1361"/>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손절</w:t>
            </w:r>
          </w:p>
        </w:tc>
        <w:tc>
          <w:tcPr>
            <w:tcW w:type="dxa" w:w="1361"/>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즉시</w:t>
            </w:r>
          </w:p>
        </w:tc>
        <w:tc>
          <w:tcPr>
            <w:tcW w:type="dxa" w:w="260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종가 67,100원 이탈</w:t>
            </w:r>
          </w:p>
        </w:tc>
        <w:tc>
          <w:tcPr>
            <w:tcW w:type="dxa" w:w="3969"/>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7월 스윙 저점. 현재가 대비 -24.0%</w:t>
            </w:r>
          </w:p>
        </w:tc>
      </w:tr>
      <w:tr>
        <w:tc>
          <w:tcPr>
            <w:tcW w:type="dxa" w:w="1361"/>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재매수 검토</w:t>
            </w:r>
          </w:p>
        </w:tc>
        <w:tc>
          <w:tcPr>
            <w:tcW w:type="dxa" w:w="1361"/>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조건부</w:t>
            </w:r>
          </w:p>
        </w:tc>
        <w:tc>
          <w:tcPr>
            <w:tcW w:type="dxa" w:w="260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60,000원 이하 또는 아래 전환 신호 2개 확인</w:t>
            </w:r>
          </w:p>
        </w:tc>
        <w:tc>
          <w:tcPr>
            <w:tcW w:type="dxa" w:w="3969"/>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60,000원대는 강세 시나리오 현재가치(53,200원)에 근접해 상방이 공짜로 딸려온다</w:t>
            </w:r>
          </w:p>
        </w:tc>
      </w:tr>
      <w:tr>
        <w:tc>
          <w:tcPr>
            <w:tcW w:type="dxa" w:w="1361"/>
            <w:vAlign w:val="center"/>
            <w:tcBorders>
              <w:top w:val="nil"/>
              <w:left w:val="nil"/>
              <w:bottom w:val="single" w:sz="10" w:color="1B365D"/>
              <w:right w:val="nil"/>
            </w:tcBorders>
          </w:tcPr>
          <w:p>
            <w:pPr>
              <w:spacing w:before="70" w:after="70" w:lineRule="auto" w:line="288"/>
              <w:jc w:val="center"/>
            </w:pPr>
            <w:r>
              <w:rPr>
                <w:rFonts w:ascii="맑은 고딕" w:hAnsi="맑은 고딕" w:eastAsia="맑은 고딕"/>
                <w:b w:val="0"/>
                <w:color w:val="1A1A1A"/>
                <w:sz w:val="19"/>
              </w:rPr>
              <w:t>단기 트레이딩</w:t>
            </w:r>
          </w:p>
        </w:tc>
        <w:tc>
          <w:tcPr>
            <w:tcW w:type="dxa" w:w="1361"/>
            <w:vAlign w:val="center"/>
            <w:tcBorders>
              <w:top w:val="nil"/>
              <w:left w:val="nil"/>
              <w:bottom w:val="single" w:sz="10" w:color="1B365D"/>
              <w:right w:val="nil"/>
            </w:tcBorders>
          </w:tcPr>
          <w:p>
            <w:pPr>
              <w:spacing w:before="70" w:after="70" w:lineRule="auto" w:line="288"/>
              <w:jc w:val="center"/>
            </w:pPr>
            <w:r>
              <w:rPr>
                <w:rFonts w:ascii="맑은 고딕" w:hAnsi="맑은 고딕" w:eastAsia="맑은 고딕"/>
                <w:b w:val="0"/>
                <w:color w:val="1A1A1A"/>
                <w:sz w:val="19"/>
              </w:rPr>
              <w:t>중립</w:t>
            </w:r>
          </w:p>
        </w:tc>
        <w:tc>
          <w:tcPr>
            <w:tcW w:type="dxa" w:w="2608"/>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종가 95,075원 돌파 후 유지 시에만</w:t>
            </w:r>
          </w:p>
        </w:tc>
        <w:tc>
          <w:tcPr>
            <w:tcW w:type="dxa" w:w="3969"/>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차트 점화 조건. 다만 이는 매매 신호이지 투자 판단이 아니다</w:t>
            </w:r>
          </w:p>
        </w:tc>
      </w:tr>
    </w:tbl>
    <w:p>
      <w:pPr>
        <w:spacing w:before="60" w:after="200" w:lineRule="auto" w:line="312"/>
      </w:pPr>
      <w:r>
        <w:rPr>
          <w:rFonts w:ascii="맑은 고딕" w:hAnsi="맑은 고딕" w:eastAsia="맑은 고딕"/>
          <w:b w:val="0"/>
          <w:color w:val="666B73"/>
          <w:sz w:val="17"/>
        </w:rPr>
        <w:t>종가 기준. 단일 판단이 아니라 구분별 방침이다. 포지션 크기는 이 보고서가 정하지 않는다.</w:t>
      </w:r>
    </w:p>
    <w:p>
      <w:pPr>
        <w:spacing w:before="260" w:after="80" w:lineRule="auto" w:line="288"/>
        <w:outlineLvl w:val="1"/>
        <w:keepNext/>
      </w:pPr>
      <w:r>
        <w:rPr>
          <w:rFonts w:ascii="맑은 고딕" w:hAnsi="맑은 고딕" w:eastAsia="맑은 고딕"/>
          <w:b/>
          <w:color w:val="1B365D"/>
          <w:sz w:val="23"/>
        </w:rPr>
        <w:t>생각을 바꿀 조건</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에너빌리티 부문 영업이익률이 7%를 넘는다. 현재 3.7%다. 수주가 이익으로 바뀐다는 첫 증거가 된다.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하반기 원전 수주 3.8조원 계획 가운데 2.5조원 이상이 실제로 체결된다. 특히 TVA의 6기가와트 건이 주기기 제작계약으로 이어지는지가 핵심이다. 다만 그 계약의 상대는 뉴스케일이 아니라 ENTRA1이며(뉴스케일은 그 아래 공급사), 2026년 6월 30일 현재 여전히 비구속 단계다.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분기 영업활동현금흐름이 흑자로 돌아서고, 미청구공사 증가율이 매출 증가율 아래로 내려온다. 상반기에는 현금흐름이 마이너스 8,867억원이었고 미청구공사는 43.3% 늘었다.</w:t>
      </w:r>
    </w:p>
    <w:p>
      <w:pPr>
        <w:spacing w:before="0" w:after="200" w:lineRule="auto" w:line="348"/>
      </w:pPr>
      <w:r>
        <w:rPr>
          <w:rFonts w:ascii="맑은 고딕" w:hAnsi="맑은 고딕" w:eastAsia="맑은 고딕"/>
          <w:b w:val="0"/>
          <w:color w:val="1A1A1A"/>
          <w:sz w:val="21"/>
        </w:rPr>
        <w:t>위 셋 가운데 둘 이상이 확인되면 목표주가를 다시 계산한다. 그 경우 본체 기업가치 배수를 상향할 근거가 생긴다.</w:t>
      </w:r>
    </w:p>
    <w:p>
      <w:pPr>
        <w:spacing w:before="160" w:after="80" w:lineRule="auto" w:line="348"/>
      </w:pPr>
      <w:r>
        <w:rPr>
          <w:rFonts w:ascii="맑은 고딕" w:hAnsi="맑은 고딕" w:eastAsia="맑은 고딕"/>
          <w:b/>
          <w:color w:val="1A1A1A"/>
          <w:sz w:val="21"/>
        </w:rPr>
        <w:t>2026년 8월 29일 2차 개정에서 더한 조건</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가스터빈 조립 생산능력을 연 8기에서 10기 이상으로 올린다는 구체적 발표가 나온다. 금액과 완공시점과 목표 대수가 함께 제시되어야 한다. 회사가 내건 2030년 누적 71기 목표는 연 10.2기를 요구하는데 현재 생산능력은 연 8기다. 증설 없이는 산술적으로 닿지 않는 목표이므로, 증설 발표는 그 자체로 매출 천장을 올리는 상향 재료가 된다.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미국 고객의 발전소가 미 에너지부 발전기 원장에 등재된다. 텍사스 계획 발전기 목록에 380메가와트급 가스터빈이 뜨면 고객과 부지와 계통이 공개되고 그 프로젝트가 실물이 된다. 2026년 7월판 현재 해당 구간은 0건이다. 원장은 매달 갱신되므로 이 보고서에서 가장 값싸고 가장 빠른 확인 경로다.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2027년에 미국 가스터빈 첫 1기가 실제로 인도된다. 2025년 12월 17일 계약분의 납기다. 이 축이 수주에서 실적으로 넘어가는 첫 증거이며, 밀리면 반대로 고객 집중 위험이 발화한다.</w:t>
      </w:r>
    </w:p>
    <w:p>
      <w:pPr>
        <w:spacing w:before="400" w:after="40" w:lineRule="auto" w:line="288"/>
        <w:outlineLvl w:val="0"/>
        <w:keepNext/>
      </w:pPr>
      <w:r>
        <w:rPr>
          <w:rFonts w:ascii="맑은 고딕" w:hAnsi="맑은 고딕" w:eastAsia="맑은 고딕"/>
          <w:b/>
          <w:color w:val="1B365D"/>
          <w:sz w:val="28"/>
        </w:rPr>
        <w:t xml:space="preserve">2.  </w:t>
      </w:r>
      <w:r>
        <w:rPr>
          <w:rFonts w:ascii="맑은 고딕" w:hAnsi="맑은 고딕" w:eastAsia="맑은 고딕"/>
          <w:b/>
          <w:color w:val="1B365D"/>
          <w:sz w:val="28"/>
        </w:rPr>
        <w:t>이 회사가 실제로 하는 일</w:t>
      </w:r>
    </w:p>
    <w:p>
      <w:pPr>
        <w:spacing w:before="0" w:after="200" w:lineRule="auto" w:line="240"/>
        <w:pBdr>
          <w:bottom w:val="single" w:sz="10" w:space="1" w:color="1B365D"/>
        </w:pBdr>
      </w:pPr>
    </w:p>
    <w:p>
      <w:pPr>
        <w:spacing w:before="260" w:after="80" w:lineRule="auto" w:line="288"/>
        <w:outlineLvl w:val="1"/>
        <w:keepNext/>
      </w:pPr>
      <w:r>
        <w:rPr>
          <w:rFonts w:ascii="맑은 고딕" w:hAnsi="맑은 고딕" w:eastAsia="맑은 고딕"/>
          <w:b/>
          <w:color w:val="1B365D"/>
          <w:sz w:val="23"/>
        </w:rPr>
        <w:t>전력 밸류체인에서 어디에 서 있나</w:t>
      </w:r>
    </w:p>
    <w:p>
      <w:pPr>
        <w:spacing w:before="0" w:after="120" w:lineRule="auto" w:line="348"/>
        <w:jc w:val="both"/>
      </w:pPr>
      <w:r>
        <w:rPr>
          <w:rFonts w:ascii="맑은 고딕" w:hAnsi="맑은 고딕" w:eastAsia="맑은 고딕"/>
          <w:b w:val="0"/>
          <w:color w:val="1A1A1A"/>
          <w:sz w:val="21"/>
        </w:rPr>
        <w:t xml:space="preserve">전기가 만들어져 쓰이기까지는 여섯 단계를 지난다. 연료를 확보하고, 발전설비를 만들고, 발전소를 짓고, 수십 년 정비하고, 송배전하고, 마지막에 공장과 데이터센터가 쓴다. 두산에너빌리티는 이 가운데 </w:t>
      </w:r>
      <w:r>
        <w:rPr>
          <w:rFonts w:ascii="맑은 고딕" w:hAnsi="맑은 고딕" w:eastAsia="맑은 고딕"/>
          <w:b/>
          <w:color w:val="1B365D"/>
          <w:sz w:val="21"/>
        </w:rPr>
        <w:t>두 번째와 세 번째, 그리고 네 번째</w:t>
      </w:r>
      <w:r>
        <w:rPr>
          <w:rFonts w:ascii="맑은 고딕" w:hAnsi="맑은 고딕" w:eastAsia="맑은 고딕"/>
          <w:b w:val="0"/>
          <w:color w:val="1A1A1A"/>
          <w:sz w:val="21"/>
        </w:rPr>
        <w:t>에 있다. 연료도 송배전도 전력 판매도 하지 않는다. 한 문장으로 줄이면 발전소에서 제일 크고, 제일 만들기 어렵고, 제일 아무나 못 만드는 부품을 만든다.</w:t>
      </w:r>
    </w:p>
    <w:p>
      <w:pPr>
        <w:spacing w:before="260" w:after="80" w:lineRule="auto" w:line="288"/>
        <w:outlineLvl w:val="1"/>
        <w:keepNext/>
      </w:pPr>
      <w:r>
        <w:rPr>
          <w:rFonts w:ascii="맑은 고딕" w:hAnsi="맑은 고딕" w:eastAsia="맑은 고딕"/>
          <w:b/>
          <w:color w:val="1B365D"/>
          <w:sz w:val="23"/>
        </w:rPr>
        <w:t>해자의 정체는 설계가 아니라 쇳덩이다</w:t>
      </w:r>
    </w:p>
    <w:p>
      <w:pPr>
        <w:spacing w:before="0" w:after="120" w:lineRule="auto" w:line="348"/>
        <w:jc w:val="both"/>
      </w:pPr>
      <w:r>
        <w:rPr>
          <w:rFonts w:ascii="맑은 고딕" w:hAnsi="맑은 고딕" w:eastAsia="맑은 고딕"/>
          <w:b w:val="0"/>
          <w:color w:val="1A1A1A"/>
          <w:sz w:val="21"/>
        </w:rPr>
        <w:t xml:space="preserve">원자로 압력용기는 여러 조각을 용접해 만드는 물건이 아니라 하나의 통짜 쇳덩이를 눌러서 만든다. 그러려면 1만 7천 톤급 프레스와 그것을 다뤄본 경험이 함께 있어야 한다. 이 조합을 갖춘 회사는 전 세계에 </w:t>
      </w:r>
      <w:r>
        <w:rPr>
          <w:rFonts w:ascii="맑은 고딕" w:hAnsi="맑은 고딕" w:eastAsia="맑은 고딕"/>
          <w:b/>
          <w:color w:val="1B365D"/>
          <w:sz w:val="21"/>
        </w:rPr>
        <w:t>일본제강소, 프랑스 프라마톰, 중국 제일중형기계, 그리고 두산</w:t>
      </w:r>
      <w:r>
        <w:rPr>
          <w:rFonts w:ascii="맑은 고딕" w:hAnsi="맑은 고딕" w:eastAsia="맑은 고딕"/>
          <w:b w:val="0"/>
          <w:color w:val="1A1A1A"/>
          <w:sz w:val="21"/>
        </w:rPr>
        <w:t xml:space="preserve"> 정도다. 자본을 투입해도 5년 안에 따라올 수 없는 종류의 진입장벽이다.</w:t>
      </w:r>
    </w:p>
    <w:p>
      <w:pPr>
        <w:spacing w:before="0" w:after="120" w:lineRule="auto" w:line="348"/>
        <w:jc w:val="both"/>
      </w:pPr>
      <w:r>
        <w:rPr>
          <w:rFonts w:ascii="맑은 고딕" w:hAnsi="맑은 고딕" w:eastAsia="맑은 고딕"/>
          <w:b w:val="0"/>
          <w:color w:val="1A1A1A"/>
          <w:sz w:val="21"/>
        </w:rPr>
        <w:t xml:space="preserve">이 사실이 중요한 이유는 최근 미국에서 벌어지는 일 때문이다. 뉴스케일, 엑스에너지, 테라파워처럼 소형모듈원전을 </w:t>
      </w:r>
      <w:r>
        <w:rPr>
          <w:rFonts w:ascii="맑은 고딕" w:hAnsi="맑은 고딕" w:eastAsia="맑은 고딕"/>
          <w:b/>
          <w:color w:val="1B365D"/>
          <w:sz w:val="21"/>
        </w:rPr>
        <w:t>설계하는</w:t>
      </w:r>
      <w:r>
        <w:rPr>
          <w:rFonts w:ascii="맑은 고딕" w:hAnsi="맑은 고딕" w:eastAsia="맑은 고딕"/>
          <w:b w:val="0"/>
          <w:color w:val="1A1A1A"/>
          <w:sz w:val="21"/>
        </w:rPr>
        <w:t xml:space="preserve"> 회사는 여럿 생겼는데, 그 설계를 실제 쇳덩이로 </w:t>
      </w:r>
      <w:r>
        <w:rPr>
          <w:rFonts w:ascii="맑은 고딕" w:hAnsi="맑은 고딕" w:eastAsia="맑은 고딕"/>
          <w:b/>
          <w:color w:val="1B365D"/>
          <w:sz w:val="21"/>
        </w:rPr>
        <w:t>만들어 줄 공장</w:t>
      </w:r>
      <w:r>
        <w:rPr>
          <w:rFonts w:ascii="맑은 고딕" w:hAnsi="맑은 고딕" w:eastAsia="맑은 고딕"/>
          <w:b w:val="0"/>
          <w:color w:val="1A1A1A"/>
          <w:sz w:val="21"/>
        </w:rPr>
        <w:t>이 서방에 거의 없다. 두산이 노리는 자리가 여기다. 설계는 남이 하고 제작은 두산이 한다. 반도체로 치면 파운드리에 해당하는 위치다.</w:t>
      </w:r>
    </w:p>
    <w:tbl>
      <w:tblPr>
        <w:tblW w:type="auto" w:w="0"/>
        <w:jc w:val="center"/>
        <w:tblLook w:firstColumn="1" w:firstRow="1" w:lastColumn="0" w:lastRow="0" w:noHBand="0" w:noVBand="1" w:val="04A0"/>
      </w:tblPr>
      <w:tblGrid>
        <w:gridCol w:w="9298"/>
      </w:tblGrid>
      <w:tr>
        <w:tc>
          <w:tcPr>
            <w:tcW w:type="dxa" w:w="9298"/>
            <w:shd w:val="clear" w:fill="F7F5EF"/>
            <w:tcBorders>
              <w:top w:val="nil"/>
              <w:left w:val="single" w:sz="24" w:color="1B365D"/>
              <w:bottom w:val="nil"/>
              <w:right w:val="nil"/>
            </w:tcBorders>
          </w:tcPr>
          <w:p>
            <w:pPr>
              <w:spacing w:before="140" w:after="60" w:lineRule="auto" w:line="312"/>
              <w:ind w:left="198"/>
            </w:pPr>
            <w:r>
              <w:rPr>
                <w:rFonts w:ascii="맑은 고딕" w:hAnsi="맑은 고딕" w:eastAsia="맑은 고딕"/>
                <w:b/>
                <w:color w:val="1B365D"/>
                <w:sz w:val="21"/>
              </w:rPr>
              <w:t>2026년 8월 29일 정정 — 위 경쟁사 목록은 너무 짧게 적혀 있었다</w:t>
            </w:r>
          </w:p>
          <w:p>
            <w:pPr>
              <w:spacing w:before="0" w:after="140" w:lineRule="auto" w:line="341"/>
              <w:ind w:left="198"/>
              <w:jc w:val="both"/>
            </w:pPr>
            <w:r>
              <w:rPr>
                <w:rFonts w:ascii="맑은 고딕" w:hAnsi="맑은 고딕" w:eastAsia="맑은 고딕"/>
                <w:b w:val="0"/>
                <w:color w:val="1A1A1A"/>
                <w:sz w:val="20"/>
              </w:rPr>
              <w:t>세계원자력협회 집계로는 9천 톤급 이상 대형 단조업체가 15곳을 넘는다. 원자로용 대형 잉곳을 다루는 축만 추려도 일본제강소, 중국 제일중형기계와 상하이전기·얼중, 러시아 OMZ와 아톰마시, 두산, 프랑스 프라마톰, 이탈리아 SdF, 인도 L&amp;T, 그리고 국내 태웅(1만 5천 톤 프레스)이 있다. 해자 자체는 남는다. 중국·러시아 다섯 곳은 지정학적으로 미국 사업에서 사실상 배제되므로 서방이 쓸 수 있는 공장은 확실히 적다. 다만 그 좁은 무대에서도 두산은 1등이 아니라 2등이다. 일본제강소는 연 12세트로 두산(연 5세트)의 2.4배이며, 2026년 7월에 2028년까지 원전 기자재 생산능력을 두 배로 늘리겠다고 발표했다. 자본을 부어도 5년 안에 따라올 수 없다는 문장은 신규 진입자에게는 맞지만, 이미 더 큰 설비를 가진 기존 1등에게는 맞지 않는다.</w:t>
            </w:r>
          </w:p>
        </w:tc>
      </w:tr>
    </w:tbl>
    <w:p>
      <w:pPr>
        <w:spacing w:before="0" w:after="200" w:lineRule="auto" w:line="348"/>
      </w:pPr>
    </w:p>
    <w:p>
      <w:pPr>
        <w:spacing w:before="260" w:after="80" w:lineRule="auto" w:line="288"/>
        <w:outlineLvl w:val="1"/>
        <w:keepNext/>
      </w:pPr>
      <w:r>
        <w:rPr>
          <w:rFonts w:ascii="맑은 고딕" w:hAnsi="맑은 고딕" w:eastAsia="맑은 고딕"/>
          <w:b/>
          <w:color w:val="1B365D"/>
          <w:sz w:val="23"/>
        </w:rPr>
        <w:t>제품별로 뜯어보면</w:t>
      </w:r>
    </w:p>
    <w:tbl>
      <w:tblPr>
        <w:tblW w:type="auto" w:w="0"/>
        <w:jc w:val="center"/>
        <w:tblLook w:firstColumn="1" w:firstRow="1" w:lastColumn="0" w:lastRow="0" w:noHBand="0" w:noVBand="1" w:val="04A0"/>
        <w:tblLayout w:type="fixed"/>
      </w:tblPr>
      <w:tblGrid>
        <w:gridCol w:w="2324"/>
        <w:gridCol w:w="2324"/>
        <w:gridCol w:w="2324"/>
        <w:gridCol w:w="2324"/>
      </w:tblGrid>
      <w:tr>
        <w:trPr>
          <w:tblHeader w:val="true"/>
        </w:trPr>
        <w:tc>
          <w:tcPr>
            <w:tcW w:type="dxa" w:w="1644"/>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제품군</w:t>
            </w:r>
          </w:p>
        </w:tc>
        <w:tc>
          <w:tcPr>
            <w:tcW w:type="dxa" w:w="3061"/>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무엇인가</w:t>
            </w:r>
          </w:p>
        </w:tc>
        <w:tc>
          <w:tcPr>
            <w:tcW w:type="dxa" w:w="2041"/>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누가 사나</w:t>
            </w:r>
          </w:p>
        </w:tc>
        <w:tc>
          <w:tcPr>
            <w:tcW w:type="dxa" w:w="2551"/>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성격</w:t>
            </w:r>
          </w:p>
        </w:tc>
      </w:tr>
      <w:tr>
        <w:tc>
          <w:tcPr>
            <w:tcW w:type="dxa" w:w="164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주단조 소재</w:t>
            </w:r>
          </w:p>
        </w:tc>
        <w:tc>
          <w:tcPr>
            <w:tcW w:type="dxa" w:w="306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대형 주조·단조품. 다른 모든 제품의 재료</w:t>
            </w:r>
          </w:p>
        </w:tc>
        <w:tc>
          <w:tcPr>
            <w:tcW w:type="dxa" w:w="204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자사 및 외부</w:t>
            </w:r>
          </w:p>
        </w:tc>
        <w:tc>
          <w:tcPr>
            <w:tcW w:type="dxa" w:w="255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해자의 뿌리. 마진은 낮고 변동은 크다</w:t>
            </w:r>
          </w:p>
        </w:tc>
      </w:tr>
      <w:tr>
        <w:tc>
          <w:tcPr>
            <w:tcW w:type="dxa" w:w="164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원자력 주기기</w:t>
            </w:r>
          </w:p>
        </w:tc>
        <w:tc>
          <w:tcPr>
            <w:tcW w:type="dxa" w:w="306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원자로, 증기발생기, 냉각재펌프, 핵연료취급설비, 운반용기</w:t>
            </w:r>
          </w:p>
        </w:tc>
        <w:tc>
          <w:tcPr>
            <w:tcW w:type="dxa" w:w="204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한국수력원자력, 웨스팅하우스</w:t>
            </w:r>
          </w:p>
        </w:tc>
        <w:tc>
          <w:tcPr>
            <w:tcW w:type="dxa" w:w="255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건당 수천억에서 조 단위. 리드타임 5~10년</w:t>
            </w:r>
          </w:p>
        </w:tc>
      </w:tr>
      <w:tr>
        <w:tc>
          <w:tcPr>
            <w:tcW w:type="dxa" w:w="164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소형모듈원전 모듈</w:t>
            </w:r>
          </w:p>
        </w:tc>
        <w:tc>
          <w:tcPr>
            <w:tcW w:type="dxa" w:w="306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설계사의 주기기를 위탁 제작</w:t>
            </w:r>
          </w:p>
        </w:tc>
        <w:tc>
          <w:tcPr>
            <w:tcW w:type="dxa" w:w="204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뉴스케일, 엑스에너지, 테라파워, 영국원자력청</w:t>
            </w:r>
          </w:p>
        </w:tc>
        <w:tc>
          <w:tcPr>
            <w:tcW w:type="dxa" w:w="255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전용공장 2028년 하반기 완공, 연 20모듈</w:t>
            </w:r>
          </w:p>
        </w:tc>
      </w:tr>
      <w:tr>
        <w:tc>
          <w:tcPr>
            <w:tcW w:type="dxa" w:w="164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가스터빈</w:t>
            </w:r>
          </w:p>
        </w:tc>
        <w:tc>
          <w:tcPr>
            <w:tcW w:type="dxa" w:w="306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270메가와트급 DGT6-300H 등 국산화 기종</w:t>
            </w:r>
          </w:p>
        </w:tc>
        <w:tc>
          <w:tcPr>
            <w:tcW w:type="dxa" w:w="204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발전 공기업, 북미 데이터센터</w:t>
            </w:r>
          </w:p>
        </w:tc>
        <w:tc>
          <w:tcPr>
            <w:tcW w:type="dxa" w:w="255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세계 네 번째 원천기술 보유사</w:t>
            </w:r>
          </w:p>
        </w:tc>
      </w:tr>
      <w:tr>
        <w:tc>
          <w:tcPr>
            <w:tcW w:type="dxa" w:w="164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스팀터빈·복합 EPC</w:t>
            </w:r>
          </w:p>
        </w:tc>
        <w:tc>
          <w:tcPr>
            <w:tcW w:type="dxa" w:w="306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발전소 설계부터 시공까지 일괄</w:t>
            </w:r>
          </w:p>
        </w:tc>
        <w:tc>
          <w:tcPr>
            <w:tcW w:type="dxa" w:w="204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중동, 베트남</w:t>
            </w:r>
          </w:p>
        </w:tc>
        <w:tc>
          <w:tcPr>
            <w:tcW w:type="dxa" w:w="255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매출은 크고 마진은 얇다</w:t>
            </w:r>
          </w:p>
        </w:tc>
      </w:tr>
      <w:tr>
        <w:tc>
          <w:tcPr>
            <w:tcW w:type="dxa" w:w="164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해상풍력</w:t>
            </w:r>
          </w:p>
        </w:tc>
        <w:tc>
          <w:tcPr>
            <w:tcW w:type="dxa" w:w="306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8·10메가와트 터빈, 하부구조, 시공</w:t>
            </w:r>
          </w:p>
        </w:tc>
        <w:tc>
          <w:tcPr>
            <w:tcW w:type="dxa" w:w="204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국내 해상풍력 사업자</w:t>
            </w:r>
          </w:p>
        </w:tc>
        <w:tc>
          <w:tcPr>
            <w:tcW w:type="dxa" w:w="255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규모는 아직 작다. 정책 의존</w:t>
            </w:r>
          </w:p>
        </w:tc>
      </w:tr>
      <w:tr>
        <w:tc>
          <w:tcPr>
            <w:tcW w:type="dxa" w:w="164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장기유지보수</w:t>
            </w:r>
          </w:p>
        </w:tc>
        <w:tc>
          <w:tcPr>
            <w:tcW w:type="dxa" w:w="306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이미 납품한 설비의 정비 계약</w:t>
            </w:r>
          </w:p>
        </w:tc>
        <w:tc>
          <w:tcPr>
            <w:tcW w:type="dxa" w:w="204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설비 소유자</w:t>
            </w:r>
          </w:p>
        </w:tc>
        <w:tc>
          <w:tcPr>
            <w:tcW w:type="dxa" w:w="255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마진이 가장 좋고 반복된다</w:t>
            </w:r>
          </w:p>
        </w:tc>
      </w:tr>
      <w:tr>
        <w:tc>
          <w:tcPr>
            <w:tcW w:type="dxa" w:w="1644"/>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건설</w:t>
            </w:r>
          </w:p>
        </w:tc>
        <w:tc>
          <w:tcPr>
            <w:tcW w:type="dxa" w:w="3061"/>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아파트·토목</w:t>
            </w:r>
          </w:p>
        </w:tc>
        <w:tc>
          <w:tcPr>
            <w:tcW w:type="dxa" w:w="2041"/>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민간 시행사</w:t>
            </w:r>
          </w:p>
        </w:tc>
        <w:tc>
          <w:tcPr>
            <w:tcW w:type="dxa" w:w="2551"/>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원전과 무관. 이익 기여 미미</w:t>
            </w:r>
          </w:p>
        </w:tc>
      </w:tr>
    </w:tbl>
    <w:p>
      <w:pPr>
        <w:spacing w:before="60" w:after="200" w:lineRule="auto" w:line="312"/>
      </w:pPr>
      <w:r>
        <w:rPr>
          <w:rFonts w:ascii="맑은 고딕" w:hAnsi="맑은 고딕" w:eastAsia="맑은 고딕"/>
          <w:b w:val="0"/>
          <w:color w:val="666B73"/>
          <w:sz w:val="17"/>
        </w:rPr>
        <w:t>자료: 2025년 사업보고서 II. 사업의 내용.</w:t>
      </w:r>
    </w:p>
    <w:p>
      <w:pPr>
        <w:spacing w:before="260" w:after="80" w:lineRule="auto" w:line="288"/>
        <w:outlineLvl w:val="1"/>
        <w:keepNext/>
      </w:pPr>
      <w:r>
        <w:rPr>
          <w:rFonts w:ascii="맑은 고딕" w:hAnsi="맑은 고딕" w:eastAsia="맑은 고딕"/>
          <w:b/>
          <w:color w:val="1B365D"/>
          <w:sz w:val="23"/>
        </w:rPr>
        <w:t>부문과 연결을 헷갈리면 분석이 처음부터 어긋난다</w:t>
      </w:r>
    </w:p>
    <w:p>
      <w:pPr>
        <w:spacing w:before="0" w:after="120" w:lineRule="auto" w:line="348"/>
        <w:jc w:val="both"/>
      </w:pPr>
      <w:r>
        <w:rPr>
          <w:rFonts w:ascii="맑은 고딕" w:hAnsi="맑은 고딕" w:eastAsia="맑은 고딕"/>
          <w:b w:val="0"/>
          <w:color w:val="1A1A1A"/>
          <w:sz w:val="21"/>
        </w:rPr>
        <w:t xml:space="preserve">두산에너빌리티는 자회사 둘을 연결해 재무제표를 낸다. 2025년 연결 매출 17.06조원은 본체 7.79조원(45.7%), 두산밥캣 8.79조원(51.5%), 두산퓨얼셀 0.42조원(2.5%), 기타 0.06조원으로 이루어진다. 즉 </w:t>
      </w:r>
      <w:r>
        <w:rPr>
          <w:rFonts w:ascii="맑은 고딕" w:hAnsi="맑은 고딕" w:eastAsia="맑은 고딕"/>
          <w:b/>
          <w:color w:val="1B365D"/>
          <w:sz w:val="21"/>
        </w:rPr>
        <w:t>뉴스에서 말하는 매출 17조원의 절반은 소형 건설기계 매출</w:t>
      </w:r>
      <w:r>
        <w:rPr>
          <w:rFonts w:ascii="맑은 고딕" w:hAnsi="맑은 고딕" w:eastAsia="맑은 고딕"/>
          <w:b w:val="0"/>
          <w:color w:val="1A1A1A"/>
          <w:sz w:val="21"/>
        </w:rPr>
        <w:t>이다. 원전 이야기를 하려면 반드시 부문 숫자를 보아야 한다. 이 보고서는 이후로 두 기준을 분명히 구분해 쓴다.</w:t>
      </w:r>
    </w:p>
    <w:tbl>
      <w:tblPr>
        <w:tblW w:type="auto" w:w="0"/>
        <w:jc w:val="center"/>
        <w:tblLook w:firstColumn="1" w:firstRow="1" w:lastColumn="0" w:lastRow="0" w:noHBand="0" w:noVBand="1" w:val="04A0"/>
        <w:tblLayout w:type="fixed"/>
      </w:tblPr>
      <w:tblGrid>
        <w:gridCol w:w="2324"/>
        <w:gridCol w:w="2324"/>
        <w:gridCol w:w="2324"/>
        <w:gridCol w:w="2324"/>
      </w:tblGrid>
      <w:tr>
        <w:trPr>
          <w:tblHeader w:val="true"/>
        </w:trPr>
        <w:tc>
          <w:tcPr>
            <w:tcW w:type="dxa" w:w="2608"/>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구분</w:t>
            </w:r>
          </w:p>
        </w:tc>
        <w:tc>
          <w:tcPr>
            <w:tcW w:type="dxa" w:w="1701"/>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2025년 매출</w:t>
            </w:r>
          </w:p>
        </w:tc>
        <w:tc>
          <w:tcPr>
            <w:tcW w:type="dxa" w:w="1247"/>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비중</w:t>
            </w:r>
          </w:p>
        </w:tc>
        <w:tc>
          <w:tcPr>
            <w:tcW w:type="dxa" w:w="3742"/>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무엇을 하는 회사인가</w:t>
            </w:r>
          </w:p>
        </w:tc>
      </w:tr>
      <w:tr>
        <w:tc>
          <w:tcPr>
            <w:tcW w:type="dxa" w:w="260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두산에너빌리티 부문</w:t>
            </w:r>
          </w:p>
        </w:tc>
        <w:tc>
          <w:tcPr>
            <w:tcW w:type="dxa" w:w="170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7.79조원</w:t>
            </w:r>
          </w:p>
        </w:tc>
        <w:tc>
          <w:tcPr>
            <w:tcW w:type="dxa" w:w="1247"/>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45.7%</w:t>
            </w:r>
          </w:p>
        </w:tc>
        <w:tc>
          <w:tcPr>
            <w:tcW w:type="dxa" w:w="3742"/>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원전·가스터빈·EPC 본체</w:t>
            </w:r>
          </w:p>
        </w:tc>
      </w:tr>
      <w:tr>
        <w:tc>
          <w:tcPr>
            <w:tcW w:type="dxa" w:w="260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두산밥캣 (지분 48.23%)</w:t>
            </w:r>
          </w:p>
        </w:tc>
        <w:tc>
          <w:tcPr>
            <w:tcW w:type="dxa" w:w="170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8.79조원</w:t>
            </w:r>
          </w:p>
        </w:tc>
        <w:tc>
          <w:tcPr>
            <w:tcW w:type="dxa" w:w="1247"/>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51.5%</w:t>
            </w:r>
          </w:p>
        </w:tc>
        <w:tc>
          <w:tcPr>
            <w:tcW w:type="dxa" w:w="3742"/>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북미 소형 건설기계. 원전과 무관</w:t>
            </w:r>
          </w:p>
        </w:tc>
      </w:tr>
      <w:tr>
        <w:tc>
          <w:tcPr>
            <w:tcW w:type="dxa" w:w="260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두산퓨얼셀 (지분 30.33%)</w:t>
            </w:r>
          </w:p>
        </w:tc>
        <w:tc>
          <w:tcPr>
            <w:tcW w:type="dxa" w:w="170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0.42조원</w:t>
            </w:r>
          </w:p>
        </w:tc>
        <w:tc>
          <w:tcPr>
            <w:tcW w:type="dxa" w:w="1247"/>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2.5%</w:t>
            </w:r>
          </w:p>
        </w:tc>
        <w:tc>
          <w:tcPr>
            <w:tcW w:type="dxa" w:w="3742"/>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발전용 연료전지. 적자</w:t>
            </w:r>
          </w:p>
        </w:tc>
      </w:tr>
      <w:tr>
        <w:tc>
          <w:tcPr>
            <w:tcW w:type="dxa" w:w="260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기타</w:t>
            </w:r>
          </w:p>
        </w:tc>
        <w:tc>
          <w:tcPr>
            <w:tcW w:type="dxa" w:w="170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0.06조원</w:t>
            </w:r>
          </w:p>
        </w:tc>
        <w:tc>
          <w:tcPr>
            <w:tcW w:type="dxa" w:w="1247"/>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0.3%</w:t>
            </w:r>
          </w:p>
        </w:tc>
        <w:tc>
          <w:tcPr>
            <w:tcW w:type="dxa" w:w="3742"/>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골프장 운영 등</w:t>
            </w:r>
          </w:p>
        </w:tc>
      </w:tr>
      <w:tr>
        <w:tc>
          <w:tcPr>
            <w:tcW w:type="dxa" w:w="2608"/>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연결 합계</w:t>
            </w:r>
          </w:p>
        </w:tc>
        <w:tc>
          <w:tcPr>
            <w:tcW w:type="dxa" w:w="1701"/>
            <w:vAlign w:val="center"/>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17.06조원</w:t>
            </w:r>
          </w:p>
        </w:tc>
        <w:tc>
          <w:tcPr>
            <w:tcW w:type="dxa" w:w="1247"/>
            <w:vAlign w:val="center"/>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100%</w:t>
            </w:r>
          </w:p>
        </w:tc>
        <w:tc>
          <w:tcPr>
            <w:tcW w:type="dxa" w:w="3742"/>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r>
          </w:p>
        </w:tc>
      </w:tr>
    </w:tbl>
    <w:p>
      <w:pPr>
        <w:spacing w:before="60" w:after="200" w:lineRule="auto" w:line="312"/>
      </w:pPr>
      <w:r>
        <w:rPr>
          <w:rFonts w:ascii="맑은 고딕" w:hAnsi="맑은 고딕" w:eastAsia="맑은 고딕"/>
          <w:b w:val="0"/>
          <w:color w:val="666B73"/>
          <w:sz w:val="17"/>
        </w:rPr>
        <w:t>자료: 2025년 사업보고서. 지분율은 2026년 6월 30일 기준 타법인 출자현황.</w:t>
      </w:r>
    </w:p>
    <w:p>
      <w:pPr>
        <w:spacing w:before="400" w:after="40" w:lineRule="auto" w:line="288"/>
        <w:outlineLvl w:val="0"/>
        <w:keepNext/>
      </w:pPr>
      <w:r>
        <w:rPr>
          <w:rFonts w:ascii="맑은 고딕" w:hAnsi="맑은 고딕" w:eastAsia="맑은 고딕"/>
          <w:b/>
          <w:color w:val="1B365D"/>
          <w:sz w:val="28"/>
        </w:rPr>
        <w:t xml:space="preserve">3.  </w:t>
      </w:r>
      <w:r>
        <w:rPr>
          <w:rFonts w:ascii="맑은 고딕" w:hAnsi="맑은 고딕" w:eastAsia="맑은 고딕"/>
          <w:b/>
          <w:color w:val="1B365D"/>
          <w:sz w:val="28"/>
        </w:rPr>
        <w:t>어떻게 매출이 되고 이익이 되나</w:t>
      </w:r>
    </w:p>
    <w:p>
      <w:pPr>
        <w:spacing w:before="0" w:after="200" w:lineRule="auto" w:line="240"/>
        <w:pBdr>
          <w:bottom w:val="single" w:sz="10" w:space="1" w:color="1B365D"/>
        </w:pBdr>
      </w:pPr>
    </w:p>
    <w:p>
      <w:pPr>
        <w:spacing w:before="260" w:after="80" w:lineRule="auto" w:line="288"/>
        <w:outlineLvl w:val="1"/>
        <w:keepNext/>
      </w:pPr>
      <w:r>
        <w:rPr>
          <w:rFonts w:ascii="맑은 고딕" w:hAnsi="맑은 고딕" w:eastAsia="맑은 고딕"/>
          <w:b/>
          <w:color w:val="1B365D"/>
          <w:sz w:val="23"/>
        </w:rPr>
        <w:t>오늘의 매출은 2~4년 전에 딴 계약이다</w:t>
      </w:r>
    </w:p>
    <w:p>
      <w:pPr>
        <w:spacing w:before="0" w:after="120" w:lineRule="auto" w:line="348"/>
        <w:jc w:val="both"/>
      </w:pPr>
      <w:r>
        <w:rPr>
          <w:rFonts w:ascii="맑은 고딕" w:hAnsi="맑은 고딕" w:eastAsia="맑은 고딕"/>
          <w:b w:val="0"/>
          <w:color w:val="1A1A1A"/>
          <w:sz w:val="21"/>
        </w:rPr>
        <w:t xml:space="preserve">이 회사는 물건을 만들어 파는 것이 아니라 계약을 따서 몇 년에 걸쳐 만든다. 회계는 공정 진행률로 매출을 인식한다. 계약을 따면 수주잔고에 쌓이고, 설계와 제작이 진행되는 만큼 매출로 바뀐다. 그래서 </w:t>
      </w:r>
      <w:r>
        <w:rPr>
          <w:rFonts w:ascii="맑은 고딕" w:hAnsi="맑은 고딕" w:eastAsia="맑은 고딕"/>
          <w:b/>
          <w:color w:val="1B365D"/>
          <w:sz w:val="21"/>
        </w:rPr>
        <w:t>수주잔고가 곧 미래 매출</w:t>
      </w:r>
      <w:r>
        <w:rPr>
          <w:rFonts w:ascii="맑은 고딕" w:hAnsi="맑은 고딕" w:eastAsia="맑은 고딕"/>
          <w:b w:val="0"/>
          <w:color w:val="1A1A1A"/>
          <w:sz w:val="21"/>
        </w:rPr>
        <w:t>이며, 투자자가 가장 먼저 볼 지표다. 반대로 올해 매출이 부진하다고 해서 사업이 나빠졌다는 뜻은 아니다. 2~4년 전에 수주가 적었다는 뜻이다.</w:t>
      </w:r>
    </w:p>
    <w:p>
      <w:pPr>
        <w:spacing w:before="260" w:after="80" w:lineRule="auto" w:line="288"/>
        <w:outlineLvl w:val="1"/>
        <w:keepNext/>
      </w:pPr>
      <w:r>
        <w:rPr>
          <w:rFonts w:ascii="맑은 고딕" w:hAnsi="맑은 고딕" w:eastAsia="맑은 고딕"/>
          <w:b/>
          <w:color w:val="1B365D"/>
          <w:sz w:val="23"/>
        </w:rPr>
        <w:t>그런데 돈은 매출과 다른 속도로 들어온다</w:t>
      </w:r>
    </w:p>
    <w:p>
      <w:pPr>
        <w:spacing w:before="0" w:after="120" w:lineRule="auto" w:line="348"/>
        <w:jc w:val="both"/>
      </w:pPr>
      <w:r>
        <w:rPr>
          <w:rFonts w:ascii="맑은 고딕" w:hAnsi="맑은 고딕" w:eastAsia="맑은 고딕"/>
          <w:b w:val="0"/>
          <w:color w:val="1A1A1A"/>
          <w:sz w:val="21"/>
        </w:rPr>
        <w:t xml:space="preserve">계약 직후에는 매출이 없는데 선수금이 들어온다. 제작이 한창일 때는 매출은 잡히는데 돈은 아직 못 받는다. 이때 쌓이는 것이 미청구공사다. 납품 후에 잔금을 받는다. 지금 두산에너빌리티는 여러 프로젝트가 동시에 </w:t>
      </w:r>
      <w:r>
        <w:rPr>
          <w:rFonts w:ascii="맑은 고딕" w:hAnsi="맑은 고딕" w:eastAsia="맑은 고딕"/>
          <w:b/>
          <w:color w:val="1B365D"/>
          <w:sz w:val="21"/>
        </w:rPr>
        <w:t>제작 한창 구간</w:t>
      </w:r>
      <w:r>
        <w:rPr>
          <w:rFonts w:ascii="맑은 고딕" w:hAnsi="맑은 고딕" w:eastAsia="맑은 고딕"/>
          <w:b w:val="0"/>
          <w:color w:val="1A1A1A"/>
          <w:sz w:val="21"/>
        </w:rPr>
        <w:t>에 들어가 있다. 그래서 이익은 나는데 현금은 나간다.</w:t>
      </w:r>
    </w:p>
    <w:tbl>
      <w:tblPr>
        <w:tblW w:type="auto" w:w="0"/>
        <w:jc w:val="center"/>
        <w:tblLook w:firstColumn="1" w:firstRow="1" w:lastColumn="0" w:lastRow="0" w:noHBand="0" w:noVBand="1" w:val="04A0"/>
        <w:tblLayout w:type="fixed"/>
      </w:tblPr>
      <w:tblGrid>
        <w:gridCol w:w="2324"/>
        <w:gridCol w:w="2324"/>
        <w:gridCol w:w="2324"/>
        <w:gridCol w:w="2324"/>
      </w:tblGrid>
      <w:tr>
        <w:trPr>
          <w:tblHeader w:val="true"/>
        </w:trPr>
        <w:tc>
          <w:tcPr>
            <w:tcW w:type="dxa" w:w="3402"/>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항목</w:t>
            </w:r>
          </w:p>
        </w:tc>
        <w:tc>
          <w:tcPr>
            <w:tcW w:type="dxa" w:w="2041"/>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2026년 6월말</w:t>
            </w:r>
          </w:p>
        </w:tc>
        <w:tc>
          <w:tcPr>
            <w:tcW w:type="dxa" w:w="215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2025년말</w:t>
            </w:r>
          </w:p>
        </w:tc>
        <w:tc>
          <w:tcPr>
            <w:tcW w:type="dxa" w:w="1701"/>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변화</w:t>
            </w:r>
          </w:p>
        </w:tc>
      </w:tr>
      <w:tr>
        <w:tc>
          <w:tcPr>
            <w:tcW w:type="dxa" w:w="3402"/>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미청구공사 (계약자산)</w:t>
            </w:r>
          </w:p>
        </w:tc>
        <w:tc>
          <w:tcPr>
            <w:tcW w:type="dxa" w:w="204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2.46조원</w:t>
            </w:r>
          </w:p>
        </w:tc>
        <w:tc>
          <w:tcPr>
            <w:tcW w:type="dxa" w:w="215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1.71조원</w:t>
            </w:r>
          </w:p>
        </w:tc>
        <w:tc>
          <w:tcPr>
            <w:tcW w:type="dxa" w:w="1701"/>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+43.3%</w:t>
            </w:r>
          </w:p>
        </w:tc>
      </w:tr>
      <w:tr>
        <w:tc>
          <w:tcPr>
            <w:tcW w:type="dxa" w:w="3402"/>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초과청구공사 (계약부채)</w:t>
            </w:r>
          </w:p>
        </w:tc>
        <w:tc>
          <w:tcPr>
            <w:tcW w:type="dxa" w:w="204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1.72조원</w:t>
            </w:r>
          </w:p>
        </w:tc>
        <w:tc>
          <w:tcPr>
            <w:tcW w:type="dxa" w:w="215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1.58조원</w:t>
            </w:r>
          </w:p>
        </w:tc>
        <w:tc>
          <w:tcPr>
            <w:tcW w:type="dxa" w:w="1701"/>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+8.9%</w:t>
            </w:r>
          </w:p>
        </w:tc>
      </w:tr>
      <w:tr>
        <w:tc>
          <w:tcPr>
            <w:tcW w:type="dxa" w:w="3402"/>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매출채권</w:t>
            </w:r>
          </w:p>
        </w:tc>
        <w:tc>
          <w:tcPr>
            <w:tcW w:type="dxa" w:w="204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2.01조원</w:t>
            </w:r>
          </w:p>
        </w:tc>
        <w:tc>
          <w:tcPr>
            <w:tcW w:type="dxa" w:w="215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1.62조원</w:t>
            </w:r>
          </w:p>
        </w:tc>
        <w:tc>
          <w:tcPr>
            <w:tcW w:type="dxa" w:w="1701"/>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+24.6%</w:t>
            </w:r>
          </w:p>
        </w:tc>
      </w:tr>
      <w:tr>
        <w:tc>
          <w:tcPr>
            <w:tcW w:type="dxa" w:w="3402"/>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color w:val="1B365D"/>
                <w:sz w:val="19"/>
              </w:rPr>
              <w:t>영업활동현금흐름 (반기 누계)</w:t>
            </w:r>
          </w:p>
        </w:tc>
        <w:tc>
          <w:tcPr>
            <w:tcW w:type="dxa" w:w="2041"/>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color w:val="1B365D"/>
                <w:sz w:val="19"/>
              </w:rPr>
              <w:t>-8,867억원</w:t>
            </w:r>
          </w:p>
        </w:tc>
        <w:tc>
          <w:tcPr>
            <w:tcW w:type="dxa" w:w="2154"/>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(2025년 연간 +7,518억원)</w:t>
            </w:r>
          </w:p>
        </w:tc>
        <w:tc>
          <w:tcPr>
            <w:tcW w:type="dxa" w:w="1701"/>
            <w:vAlign w:val="center"/>
            <w:shd w:val="clear" w:fill="F4F6F8"/>
            <w:tcBorders>
              <w:top w:val="nil"/>
              <w:left w:val="nil"/>
              <w:bottom w:val="single" w:sz="10" w:color="1B365D"/>
              <w:right w:val="nil"/>
            </w:tcBorders>
          </w:tcPr>
          <w:p>
            <w:pPr>
              <w:spacing w:before="70" w:after="70" w:lineRule="auto" w:line="288"/>
              <w:jc w:val="center"/>
            </w:pPr>
            <w:r>
              <w:rPr>
                <w:rFonts w:ascii="맑은 고딕" w:hAnsi="맑은 고딕" w:eastAsia="맑은 고딕"/>
                <w:b/>
                <w:color w:val="1B365D"/>
                <w:sz w:val="19"/>
              </w:rPr>
              <w:t>적자 전환</w:t>
            </w:r>
          </w:p>
        </w:tc>
      </w:tr>
    </w:tbl>
    <w:p>
      <w:pPr>
        <w:spacing w:before="60" w:after="200" w:lineRule="auto" w:line="312"/>
      </w:pPr>
      <w:r>
        <w:rPr>
          <w:rFonts w:ascii="맑은 고딕" w:hAnsi="맑은 고딕" w:eastAsia="맑은 고딕"/>
          <w:b w:val="0"/>
          <w:color w:val="666B73"/>
          <w:sz w:val="17"/>
        </w:rPr>
        <w:t>자료: DART 2026년 반기보고서(연결). 현금흐름은 반기 누계 기준.</w:t>
      </w:r>
    </w:p>
    <w:tbl>
      <w:tblPr>
        <w:tblW w:type="auto" w:w="0"/>
        <w:jc w:val="center"/>
        <w:tblLook w:firstColumn="1" w:firstRow="1" w:lastColumn="0" w:lastRow="0" w:noHBand="0" w:noVBand="1" w:val="04A0"/>
      </w:tblPr>
      <w:tblGrid>
        <w:gridCol w:w="9298"/>
      </w:tblGrid>
      <w:tr>
        <w:tc>
          <w:tcPr>
            <w:tcW w:type="dxa" w:w="9298"/>
            <w:shd w:val="clear" w:fill="F7F5EF"/>
            <w:tcBorders>
              <w:top w:val="nil"/>
              <w:left w:val="single" w:sz="24" w:color="1B365D"/>
              <w:bottom w:val="nil"/>
              <w:right w:val="nil"/>
            </w:tcBorders>
          </w:tcPr>
          <w:p>
            <w:pPr>
              <w:spacing w:before="140" w:after="60" w:lineRule="auto" w:line="312"/>
              <w:ind w:left="198"/>
            </w:pPr>
            <w:r>
              <w:rPr>
                <w:rFonts w:ascii="맑은 고딕" w:hAnsi="맑은 고딕" w:eastAsia="맑은 고딕"/>
                <w:b/>
                <w:color w:val="1B365D"/>
                <w:sz w:val="21"/>
              </w:rPr>
              <w:t>이 숫자를 읽는 법</w:t>
            </w:r>
          </w:p>
          <w:p>
            <w:pPr>
              <w:spacing w:before="0" w:after="140" w:lineRule="auto" w:line="341"/>
              <w:ind w:left="198"/>
              <w:jc w:val="both"/>
            </w:pPr>
            <w:r>
              <w:rPr>
                <w:rFonts w:ascii="맑은 고딕" w:hAnsi="맑은 고딕" w:eastAsia="맑은 고딕"/>
                <w:b w:val="0"/>
                <w:color w:val="1A1A1A"/>
                <w:sz w:val="20"/>
              </w:rPr>
              <w:t>영업이익은 5,478억원 흑자인데 현금은 8,867억원이 나갔다. 수주가 폭증해 여러 프로젝트가 동시에 자금이 가장 많이 드는 구간에 들어간 결과일 수 있다. 그렇다면 1~2년 안에 되돌아온다. 반대로 공기 지연이나 정산 분쟁의 전조일 수도 있다. 지금 자료로는 어느 쪽인지 판정할 수 없다. 3분기 현금흐름이 답을 준다.</w:t>
            </w:r>
          </w:p>
        </w:tc>
      </w:tr>
    </w:tbl>
    <w:p>
      <w:pPr>
        <w:spacing w:before="0" w:after="200" w:lineRule="auto" w:line="348"/>
      </w:pPr>
    </w:p>
    <w:p>
      <w:pPr>
        <w:spacing w:before="260" w:after="80" w:lineRule="auto" w:line="288"/>
        <w:outlineLvl w:val="1"/>
        <w:keepNext/>
      </w:pPr>
      <w:r>
        <w:rPr>
          <w:rFonts w:ascii="맑은 고딕" w:hAnsi="맑은 고딕" w:eastAsia="맑은 고딕"/>
          <w:b/>
          <w:color w:val="1B365D"/>
          <w:sz w:val="23"/>
        </w:rPr>
        <w:t>수요의 뿌리 — 왜 하필 지금인가</w:t>
      </w:r>
    </w:p>
    <w:p>
      <w:pPr>
        <w:spacing w:before="0" w:after="120" w:lineRule="auto" w:line="348"/>
        <w:jc w:val="both"/>
      </w:pPr>
      <w:r>
        <w:rPr>
          <w:rFonts w:ascii="맑은 고딕" w:hAnsi="맑은 고딕" w:eastAsia="맑은 고딕"/>
          <w:b w:val="0"/>
          <w:color w:val="1A1A1A"/>
          <w:sz w:val="21"/>
        </w:rPr>
        <w:t xml:space="preserve">한 문장으로 줄이면 인공지능 데이터센터가 전기를 구하지 못해서, 전기를 만드는 물건이 동나고 있다. 회사가 2026년 2분기 IR 자료에서 제시한 근거는 다음과 같다. 다만 대부분은 계획과 전망이고, </w:t>
      </w:r>
      <w:r>
        <w:rPr>
          <w:rFonts w:ascii="맑은 고딕" w:hAnsi="맑은 고딕" w:eastAsia="맑은 고딕"/>
          <w:b/>
          <w:color w:val="1B365D"/>
          <w:sz w:val="21"/>
        </w:rPr>
        <w:t>이미 일어난 일은 마지막 한 줄뿐</w:t>
      </w:r>
      <w:r>
        <w:rPr>
          <w:rFonts w:ascii="맑은 고딕" w:hAnsi="맑은 고딕" w:eastAsia="맑은 고딕"/>
          <w:b w:val="0"/>
          <w:color w:val="1A1A1A"/>
          <w:sz w:val="21"/>
        </w:rPr>
        <w:t>이라는 점을 함께 보아야 한다.</w:t>
      </w:r>
    </w:p>
    <w:tbl>
      <w:tblPr>
        <w:tblW w:type="auto" w:w="0"/>
        <w:jc w:val="center"/>
        <w:tblLook w:firstColumn="1" w:firstRow="1" w:lastColumn="0" w:lastRow="0" w:noHBand="0" w:noVBand="1" w:val="04A0"/>
        <w:tblLayout w:type="fixed"/>
      </w:tblPr>
      <w:tblGrid>
        <w:gridCol w:w="3099"/>
        <w:gridCol w:w="3099"/>
        <w:gridCol w:w="3099"/>
      </w:tblGrid>
      <w:tr>
        <w:trPr>
          <w:tblHeader w:val="true"/>
        </w:trPr>
        <w:tc>
          <w:tcPr>
            <w:tcW w:type="dxa" w:w="1701"/>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축</w:t>
            </w:r>
          </w:p>
        </w:tc>
        <w:tc>
          <w:tcPr>
            <w:tcW w:type="dxa" w:w="5443"/>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회사가 제시한 근거</w:t>
            </w:r>
          </w:p>
        </w:tc>
        <w:tc>
          <w:tcPr>
            <w:tcW w:type="dxa" w:w="2154"/>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성격</w:t>
            </w:r>
          </w:p>
        </w:tc>
      </w:tr>
      <w:tr>
        <w:tc>
          <w:tcPr>
            <w:tcW w:type="dxa" w:w="170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국내 전력수요</w:t>
            </w:r>
          </w:p>
        </w:tc>
        <w:tc>
          <w:tcPr>
            <w:tcW w:type="dxa" w:w="5443"/>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제12차 전력수급기본계획 잠정안. 2040년 최대전력 131.8~138.2기가와트</w:t>
            </w:r>
          </w:p>
        </w:tc>
        <w:tc>
          <w:tcPr>
            <w:tcW w:type="dxa" w:w="2154"/>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정부 잠정안</w:t>
            </w:r>
          </w:p>
        </w:tc>
      </w:tr>
      <w:tr>
        <w:tc>
          <w:tcPr>
            <w:tcW w:type="dxa" w:w="170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3대 메가프로젝트</w:t>
            </w:r>
          </w:p>
        </w:tc>
        <w:tc>
          <w:tcPr>
            <w:tcW w:type="dxa" w:w="5443"/>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서남권 반도체 팹 4기와 AI 데이터센터. 최소 7.5기가와트 신규 수요</w:t>
            </w:r>
          </w:p>
        </w:tc>
        <w:tc>
          <w:tcPr>
            <w:tcW w:type="dxa" w:w="2154"/>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정부 발표 인용</w:t>
            </w:r>
          </w:p>
        </w:tc>
      </w:tr>
      <w:tr>
        <w:tc>
          <w:tcPr>
            <w:tcW w:type="dxa" w:w="170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국내 신규 원전</w:t>
            </w:r>
          </w:p>
        </w:tc>
        <w:tc>
          <w:tcPr>
            <w:tcW w:type="dxa" w:w="5443"/>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정부가 공론화를 전제로 신규 대형원전·소형모듈원전 검토를 공식화(2026.7.13)</w:t>
            </w:r>
          </w:p>
        </w:tc>
        <w:tc>
          <w:tcPr>
            <w:tcW w:type="dxa" w:w="2154"/>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검토 단계</w:t>
            </w:r>
          </w:p>
        </w:tc>
      </w:tr>
      <w:tr>
        <w:tc>
          <w:tcPr>
            <w:tcW w:type="dxa" w:w="170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미국 원전</w:t>
            </w:r>
          </w:p>
        </w:tc>
        <w:tc>
          <w:tcPr>
            <w:tcW w:type="dxa" w:w="5443"/>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미 에너지부, 웨스팅하우스 AP1000 최대 5개 사업에 175억달러 대출 프로그램</w:t>
            </w:r>
          </w:p>
        </w:tc>
        <w:tc>
          <w:tcPr>
            <w:tcW w:type="dxa" w:w="2154"/>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미국 정부 발표</w:t>
            </w:r>
          </w:p>
        </w:tc>
      </w:tr>
      <w:tr>
        <w:tc>
          <w:tcPr>
            <w:tcW w:type="dxa" w:w="170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대미 투자</w:t>
            </w:r>
          </w:p>
        </w:tc>
        <w:tc>
          <w:tcPr>
            <w:tcW w:type="dxa" w:w="5443"/>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한미전략투자공사 2026년 6월 출범. 전략산업 2,000억달러 투자 예정</w:t>
            </w:r>
          </w:p>
        </w:tc>
        <w:tc>
          <w:tcPr>
            <w:tcW w:type="dxa" w:w="2154"/>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출범 확인</w:t>
            </w:r>
          </w:p>
        </w:tc>
      </w:tr>
      <w:tr>
        <w:tc>
          <w:tcPr>
            <w:tcW w:type="dxa" w:w="1701"/>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color w:val="1B365D"/>
                <w:sz w:val="19"/>
              </w:rPr>
              <w:t>가스터빈</w:t>
            </w:r>
          </w:p>
        </w:tc>
        <w:tc>
          <w:tcPr>
            <w:tcW w:type="dxa" w:w="5443"/>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color w:val="1B365D"/>
                <w:sz w:val="19"/>
              </w:rPr>
              <w:t>미국 대형 H급 발주 18기 가운데 두산 7기 수주. GE 6기, 미쓰비시 4기, 지멘스 1기</w:t>
            </w:r>
          </w:p>
        </w:tc>
        <w:tc>
          <w:tcPr>
            <w:tcW w:type="dxa" w:w="2154"/>
            <w:vAlign w:val="center"/>
            <w:shd w:val="clear" w:fill="F4F6F8"/>
            <w:tcBorders>
              <w:top w:val="nil"/>
              <w:left w:val="nil"/>
              <w:bottom w:val="single" w:sz="10" w:color="1B365D"/>
              <w:right w:val="nil"/>
            </w:tcBorders>
          </w:tcPr>
          <w:p>
            <w:pPr>
              <w:spacing w:before="70" w:after="70" w:lineRule="auto" w:line="288"/>
              <w:jc w:val="center"/>
            </w:pPr>
            <w:r>
              <w:rPr>
                <w:rFonts w:ascii="맑은 고딕" w:hAnsi="맑은 고딕" w:eastAsia="맑은 고딕"/>
                <w:b/>
                <w:color w:val="1B365D"/>
                <w:sz w:val="19"/>
              </w:rPr>
              <w:t>이미 일어난 실적</w:t>
            </w:r>
          </w:p>
        </w:tc>
      </w:tr>
    </w:tbl>
    <w:p>
      <w:pPr>
        <w:spacing w:before="60" w:after="200" w:lineRule="auto" w:line="312"/>
      </w:pPr>
      <w:r>
        <w:rPr>
          <w:rFonts w:ascii="맑은 고딕" w:hAnsi="맑은 고딕" w:eastAsia="맑은 고딕"/>
          <w:b w:val="0"/>
          <w:color w:val="666B73"/>
          <w:sz w:val="17"/>
        </w:rPr>
        <w:t>자료: 회사 2026년 2분기 기업설명회 자료.</w:t>
      </w:r>
    </w:p>
    <w:p>
      <w:pPr>
        <w:spacing w:before="0" w:after="120" w:lineRule="auto" w:line="348"/>
        <w:jc w:val="both"/>
      </w:pPr>
      <w:r>
        <w:rPr>
          <w:rFonts w:ascii="맑은 고딕" w:hAnsi="맑은 고딕" w:eastAsia="맑은 고딕"/>
          <w:b w:val="0"/>
          <w:color w:val="1A1A1A"/>
          <w:sz w:val="21"/>
        </w:rPr>
        <w:t xml:space="preserve">이 표에서 밑줄을 그을 곳은 마지막 줄이다. 나머지는 모두 계획·전망·정책이지만 미국 대형 가스터빈 18기 가운데 7기, 곧 </w:t>
      </w:r>
      <w:r>
        <w:rPr>
          <w:rFonts w:ascii="맑은 고딕" w:hAnsi="맑은 고딕" w:eastAsia="맑은 고딕"/>
          <w:b/>
          <w:color w:val="1B365D"/>
          <w:sz w:val="21"/>
        </w:rPr>
        <w:t>점유율 39%</w:t>
      </w:r>
      <w:r>
        <w:rPr>
          <w:rFonts w:ascii="맑은 고딕" w:hAnsi="맑은 고딕" w:eastAsia="맑은 고딕"/>
          <w:b w:val="0"/>
          <w:color w:val="1A1A1A"/>
          <w:sz w:val="21"/>
        </w:rPr>
        <w:t>는 이미 일어난 일이다. 국산 가스터빈이 GE와 대등하게 경쟁한 전례는 없었다. 이 축은 이미 손익계산서로 들어오고 있으며, 이 회사에서 가장 단단한 성장 근거다.</w:t>
      </w:r>
    </w:p>
    <w:p>
      <w:pPr>
        <w:spacing w:before="260" w:after="80" w:lineRule="auto" w:line="288"/>
        <w:outlineLvl w:val="1"/>
        <w:keepNext/>
      </w:pPr>
      <w:r>
        <w:rPr>
          <w:rFonts w:ascii="맑은 고딕" w:hAnsi="맑은 고딕" w:eastAsia="맑은 고딕"/>
          <w:b/>
          <w:color w:val="1B365D"/>
          <w:sz w:val="23"/>
        </w:rPr>
        <w:t>미국 수요를 고객사 공시로 되짚어 보면 (2026년 8월 29일 추가)</w:t>
      </w:r>
    </w:p>
    <w:p>
      <w:pPr>
        <w:spacing w:before="0" w:after="120" w:lineRule="auto" w:line="348"/>
        <w:jc w:val="both"/>
      </w:pPr>
      <w:r>
        <w:rPr>
          <w:rFonts w:ascii="맑은 고딕" w:hAnsi="맑은 고딕" w:eastAsia="맑은 고딕"/>
          <w:b w:val="0"/>
          <w:color w:val="1A1A1A"/>
          <w:sz w:val="21"/>
        </w:rPr>
        <w:t xml:space="preserve">위 표는 회사가 스스로 제시한 근거다. 그래서 반대편에서 다시 확인했다. 미국 고객사들이 </w:t>
      </w:r>
      <w:r>
        <w:rPr>
          <w:rFonts w:ascii="맑은 고딕" w:hAnsi="맑은 고딕" w:eastAsia="맑은 고딕"/>
          <w:b/>
          <w:color w:val="1B365D"/>
          <w:sz w:val="21"/>
        </w:rPr>
        <w:t>자기 투자자에게 제출한 공시에 두산을 어떻게 적어놓았는지</w:t>
      </w:r>
      <w:r>
        <w:rPr>
          <w:rFonts w:ascii="맑은 고딕" w:hAnsi="맑은 고딕" w:eastAsia="맑은 고딕"/>
          <w:b w:val="0"/>
          <w:color w:val="1A1A1A"/>
          <w:sz w:val="21"/>
        </w:rPr>
        <w:t>를 직접 읽었다. 회사 IR 자료보다 이쪽이 세다. 고객이 자기 투자자에게 사실과 다르게 적으면 증권법 위반이기 때문이다. 그 결과 미국 사업이 두 갈래로 뚜렷하게 갈렸다.</w:t>
      </w:r>
    </w:p>
    <w:tbl>
      <w:tblPr>
        <w:tblW w:type="auto" w:w="0"/>
        <w:jc w:val="center"/>
        <w:tblLook w:firstColumn="1" w:firstRow="1" w:lastColumn="0" w:lastRow="0" w:noHBand="0" w:noVBand="1" w:val="04A0"/>
        <w:tblLayout w:type="fixed"/>
      </w:tblPr>
      <w:tblGrid>
        <w:gridCol w:w="2324"/>
        <w:gridCol w:w="2324"/>
        <w:gridCol w:w="2324"/>
        <w:gridCol w:w="2324"/>
      </w:tblGrid>
      <w:tr>
        <w:trPr>
          <w:tblHeader w:val="true"/>
        </w:trPr>
        <w:tc>
          <w:tcPr>
            <w:tcW w:type="dxa" w:w="2041"/>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구분</w:t>
            </w:r>
          </w:p>
        </w:tc>
        <w:tc>
          <w:tcPr>
            <w:tcW w:type="dxa" w:w="4195"/>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계약의 실제 성격</w:t>
            </w:r>
          </w:p>
        </w:tc>
        <w:tc>
          <w:tcPr>
            <w:tcW w:type="dxa" w:w="181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확인된 금액</w:t>
            </w:r>
          </w:p>
        </w:tc>
        <w:tc>
          <w:tcPr>
            <w:tcW w:type="dxa" w:w="1247"/>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출처</w:t>
            </w:r>
          </w:p>
        </w:tc>
      </w:tr>
      <w:tr>
        <w:tc>
          <w:tcPr>
            <w:tcW w:type="dxa" w:w="204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가스터빈 (2025.12.17 공시)</w:t>
            </w:r>
          </w:p>
        </w:tc>
        <w:tc>
          <w:tcPr>
            <w:tcW w:type="dxa" w:w="419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대형 가스터빈 패키지 공급계약. 납기 2028년 9월 30일</w:t>
            </w:r>
          </w:p>
        </w:tc>
        <w:tc>
          <w:tcPr>
            <w:tcW w:type="dxa" w:w="181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최소 4,058억원</w:t>
            </w:r>
          </w:p>
        </w:tc>
        <w:tc>
          <w:tcPr>
            <w:tcW w:type="dxa" w:w="1247"/>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DART 원문</w:t>
            </w:r>
          </w:p>
        </w:tc>
      </w:tr>
      <w:tr>
        <w:tc>
          <w:tcPr>
            <w:tcW w:type="dxa" w:w="204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가스터빈 (2026.03.06 공시)</w:t>
            </w:r>
          </w:p>
        </w:tc>
        <w:tc>
          <w:tcPr>
            <w:tcW w:type="dxa" w:w="419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대형 가스터빈 패키지 공급계약. 납기 2029년 11월 30일</w:t>
            </w:r>
          </w:p>
        </w:tc>
        <w:tc>
          <w:tcPr>
            <w:tcW w:type="dxa" w:w="181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최소 4,058억원</w:t>
            </w:r>
          </w:p>
        </w:tc>
        <w:tc>
          <w:tcPr>
            <w:tcW w:type="dxa" w:w="1247"/>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DART 원문</w:t>
            </w:r>
          </w:p>
        </w:tc>
      </w:tr>
      <w:tr>
        <w:tc>
          <w:tcPr>
            <w:tcW w:type="dxa" w:w="204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원전 · 페르미아메리카</w:t>
            </w:r>
          </w:p>
        </w:tc>
        <w:tc>
          <w:tcPr>
            <w:tcW w:type="dxa" w:w="419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단조소재 준비계약(Forging Material Readiness Agreement). 소재·금형 구매와 2026년 3월까지의 생산준비 유지. 발주가 아니다</w:t>
            </w:r>
          </w:p>
        </w:tc>
        <w:tc>
          <w:tcPr>
            <w:tcW w:type="dxa" w:w="181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344억원 (2,500만달러)</w:t>
            </w:r>
          </w:p>
        </w:tc>
        <w:tc>
          <w:tcPr>
            <w:tcW w:type="dxa" w:w="1247"/>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페르미 10-Q</w:t>
            </w:r>
          </w:p>
        </w:tc>
      </w:tr>
      <w:tr>
        <w:tc>
          <w:tcPr>
            <w:tcW w:type="dxa" w:w="2041"/>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원전 · 엑스에너지</w:t>
            </w:r>
          </w:p>
        </w:tc>
        <w:tc>
          <w:tcPr>
            <w:tcW w:type="dxa" w:w="4195"/>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예약계약(Reservation Agreement). 16세트분 단조 슬롯 예약. 기한 내 발주가 없으면 세트당 150만달러</w:t>
            </w:r>
          </w:p>
        </w:tc>
        <w:tc>
          <w:tcPr>
            <w:tcW w:type="dxa" w:w="1814"/>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165억원 (1,200만달러)</w:t>
            </w:r>
          </w:p>
        </w:tc>
        <w:tc>
          <w:tcPr>
            <w:tcW w:type="dxa" w:w="1247"/>
            <w:vAlign w:val="center"/>
            <w:shd w:val="clear" w:fill="F4F6F8"/>
            <w:tcBorders>
              <w:top w:val="nil"/>
              <w:left w:val="nil"/>
              <w:bottom w:val="single" w:sz="10" w:color="1B365D"/>
              <w:right w:val="nil"/>
            </w:tcBorders>
          </w:tcPr>
          <w:p>
            <w:pPr>
              <w:spacing w:before="70" w:after="70" w:lineRule="auto" w:line="288"/>
              <w:jc w:val="center"/>
            </w:pPr>
            <w:r>
              <w:rPr>
                <w:rFonts w:ascii="맑은 고딕" w:hAnsi="맑은 고딕" w:eastAsia="맑은 고딕"/>
                <w:b w:val="0"/>
                <w:color w:val="1A1A1A"/>
                <w:sz w:val="19"/>
              </w:rPr>
              <w:t>엑스에너지 증권신고서</w:t>
            </w:r>
          </w:p>
        </w:tc>
      </w:tr>
    </w:tbl>
    <w:p>
      <w:pPr>
        <w:spacing w:before="60" w:after="200" w:lineRule="auto" w:line="312"/>
      </w:pPr>
      <w:r>
        <w:rPr>
          <w:rFonts w:ascii="맑은 고딕" w:hAnsi="맑은 고딕" w:eastAsia="맑은 고딕"/>
          <w:b w:val="0"/>
          <w:color w:val="666B73"/>
          <w:sz w:val="17"/>
        </w:rPr>
        <w:t>가스터빈 두 건은 금액이 경영상 비밀유지로 유보됐으나, 공시 본문의 “최근 매출액의 2.5% 이상”이라는 문구가 하한을 보증한다. 2024년 연결 매출 16조 2,331억원의 2.5%가 4,058억원이다.</w:t>
      </w:r>
    </w:p>
    <w:p>
      <w:pPr>
        <w:spacing w:before="0" w:after="120" w:lineRule="auto" w:line="348"/>
        <w:jc w:val="both"/>
      </w:pPr>
      <w:r>
        <w:rPr>
          <w:rFonts w:ascii="맑은 고딕" w:hAnsi="맑은 고딕" w:eastAsia="맑은 고딕"/>
          <w:b w:val="0"/>
          <w:color w:val="1A1A1A"/>
          <w:sz w:val="21"/>
        </w:rPr>
        <w:t xml:space="preserve">읽는 방법은 이렇다. 가스터빈 두 건은 합쳐 </w:t>
      </w:r>
      <w:r>
        <w:rPr>
          <w:rFonts w:ascii="맑은 고딕" w:hAnsi="맑은 고딕" w:eastAsia="맑은 고딕"/>
          <w:b/>
          <w:color w:val="1B365D"/>
          <w:sz w:val="21"/>
        </w:rPr>
        <w:t>최소 8,116억원</w:t>
      </w:r>
      <w:r>
        <w:rPr>
          <w:rFonts w:ascii="맑은 고딕" w:hAnsi="맑은 고딕" w:eastAsia="맑은 고딕"/>
          <w:b w:val="0"/>
          <w:color w:val="1A1A1A"/>
          <w:sz w:val="21"/>
        </w:rPr>
        <w:t xml:space="preserve">이고 공시의무를 넘긴 진짜 계약이다. 반면 미국 신규 원전 두 건은 합쳐 </w:t>
      </w:r>
      <w:r>
        <w:rPr>
          <w:rFonts w:ascii="맑은 고딕" w:hAnsi="맑은 고딕" w:eastAsia="맑은 고딕"/>
          <w:b/>
          <w:color w:val="1B365D"/>
          <w:sz w:val="21"/>
        </w:rPr>
        <w:t>509억원</w:t>
      </w:r>
      <w:r>
        <w:rPr>
          <w:rFonts w:ascii="맑은 고딕" w:hAnsi="맑은 고딕" w:eastAsia="맑은 고딕"/>
          <w:b w:val="0"/>
          <w:color w:val="1A1A1A"/>
          <w:sz w:val="21"/>
        </w:rPr>
        <w:t>으로, 상반기 부문 수주 7.12조원의 0.7%, 수주잔고 26.35조원의 0.19%에 지나지 않는다. 공시의무 기준선 근처에도 가지 않으므로 공시가 없었던 것이 정상이다. 요컨대 미국에서 지금 실제로 돈이 되는 것은 원전이 아니라 가스터빈이며, 그 차이가 최소 16배다.</w:t>
      </w:r>
    </w:p>
    <w:tbl>
      <w:tblPr>
        <w:tblW w:type="auto" w:w="0"/>
        <w:jc w:val="center"/>
        <w:tblLook w:firstColumn="1" w:firstRow="1" w:lastColumn="0" w:lastRow="0" w:noHBand="0" w:noVBand="1" w:val="04A0"/>
      </w:tblPr>
      <w:tblGrid>
        <w:gridCol w:w="9298"/>
      </w:tblGrid>
      <w:tr>
        <w:tc>
          <w:tcPr>
            <w:tcW w:type="dxa" w:w="9298"/>
            <w:shd w:val="clear" w:fill="F7F5EF"/>
            <w:tcBorders>
              <w:top w:val="nil"/>
              <w:left w:val="single" w:sz="24" w:color="1B365D"/>
              <w:bottom w:val="nil"/>
              <w:right w:val="nil"/>
            </w:tcBorders>
          </w:tcPr>
          <w:p>
            <w:pPr>
              <w:spacing w:before="140" w:after="60" w:lineRule="auto" w:line="312"/>
              <w:ind w:left="198"/>
            </w:pPr>
            <w:r>
              <w:rPr>
                <w:rFonts w:ascii="맑은 고딕" w:hAnsi="맑은 고딕" w:eastAsia="맑은 고딕"/>
                <w:b/>
                <w:color w:val="1B365D"/>
                <w:sz w:val="21"/>
              </w:rPr>
              <w:t>페르미아메리카 건은 발주가 아니라 예약이다</w:t>
            </w:r>
          </w:p>
          <w:p>
            <w:pPr>
              <w:spacing w:before="0" w:after="140" w:lineRule="auto" w:line="341"/>
              <w:ind w:left="198"/>
              <w:jc w:val="both"/>
            </w:pPr>
            <w:r>
              <w:rPr>
                <w:rFonts w:ascii="맑은 고딕" w:hAnsi="맑은 고딕" w:eastAsia="맑은 고딕"/>
                <w:b w:val="0"/>
                <w:color w:val="1A1A1A"/>
                <w:sz w:val="20"/>
              </w:rPr>
              <w:t>페르미는 자사 연차보고서에 첫 원자로 착공이 원자력규제위원회 승인, 주요 장납기 기자재의 발주, 그리고 원전 전용 프로젝트 금융 조달을 전제로 한다고 적었다. 셋 가운데 이루어진 것이 없다. 즉 압력용기와 증기발생기의 발주 자체가 아직 나오지 않았다. 더구나 페르미가 2026년 8월 14일 제출한 2분기 분기보고서에는 두산이라는 단어가 한 번도 나오지 않는다. 예약 유지기간이 2026년 3월로 끝난 뒤의 후속 진행은 확인하지 못했다. 진행 중일 수도, 멈췄을 수도 있다. 다만 고객이 환불되지 않는 현금을 내고 두산의 제작 슬롯을 잡아둔다는 사실 자체는 두산의 단조 능력이 희소하다는 주장을 고객의 돈으로 증명한 것이다. 그것은 해자의 증거이지 매출의 증거가 아니다.</w:t>
            </w:r>
          </w:p>
        </w:tc>
      </w:tr>
    </w:tbl>
    <w:p>
      <w:pPr>
        <w:spacing w:before="0" w:after="200" w:lineRule="auto" w:line="348"/>
      </w:pPr>
    </w:p>
    <w:p>
      <w:pPr>
        <w:spacing w:before="0" w:after="120" w:lineRule="auto" w:line="348"/>
        <w:jc w:val="both"/>
      </w:pPr>
      <w:r>
        <w:rPr>
          <w:rFonts w:ascii="맑은 고딕" w:hAnsi="맑은 고딕" w:eastAsia="맑은 고딕"/>
          <w:b w:val="0"/>
          <w:color w:val="1A1A1A"/>
          <w:sz w:val="21"/>
        </w:rPr>
        <w:t xml:space="preserve">한 가지 더 덜어내고 읽어야 할 것이 있다. </w:t>
      </w:r>
      <w:r>
        <w:rPr>
          <w:rFonts w:ascii="맑은 고딕" w:hAnsi="맑은 고딕" w:eastAsia="맑은 고딕"/>
          <w:b/>
          <w:color w:val="1B365D"/>
          <w:sz w:val="21"/>
        </w:rPr>
        <w:t>두산은 이 고객사들의 주주이기도 하다</w:t>
      </w:r>
      <w:r>
        <w:rPr>
          <w:rFonts w:ascii="맑은 고딕" w:hAnsi="맑은 고딕" w:eastAsia="맑은 고딕"/>
          <w:b w:val="0"/>
          <w:color w:val="1A1A1A"/>
          <w:sz w:val="21"/>
        </w:rPr>
        <w:t>. 2026년 6월 말 기준으로 뉴스케일 지분 0.69%(장부가 302억원), 엑스에너지 지분 0.30%(장부가 242억원)를 들고 있다. 업계에서 드문 일은 아니지만, 고객이 두산 것을 사기로 했다는 말의 일부는 두산이 그 고객에 돈을 넣어 만든 것이다. 엑스에너지 예약계약의 반대급부로 두산이 소형모듈원전 전용공장을 짓기로 약속한 구조이기도 하다. 고객의 구매 의무보다 두산의 투자 의무가 더 구속적이다.</w:t>
      </w:r>
    </w:p>
    <w:p>
      <w:pPr>
        <w:spacing w:before="260" w:after="80" w:lineRule="auto" w:line="288"/>
        <w:outlineLvl w:val="1"/>
        <w:keepNext/>
      </w:pPr>
      <w:r>
        <w:rPr>
          <w:rFonts w:ascii="맑은 고딕" w:hAnsi="맑은 고딕" w:eastAsia="맑은 고딕"/>
          <w:b/>
          <w:color w:val="1B365D"/>
          <w:sz w:val="23"/>
        </w:rPr>
        <w:t>그 가스터빈을 고객 쪽에서 되짚어 보면 (2026년 8월 29일 2차 추가)</w:t>
      </w:r>
    </w:p>
    <w:p>
      <w:pPr>
        <w:spacing w:before="0" w:after="120" w:lineRule="auto" w:line="348"/>
        <w:jc w:val="both"/>
      </w:pPr>
      <w:r>
        <w:rPr>
          <w:rFonts w:ascii="맑은 고딕" w:hAnsi="맑은 고딕" w:eastAsia="맑은 고딕"/>
          <w:b w:val="0"/>
          <w:color w:val="1A1A1A"/>
          <w:sz w:val="21"/>
        </w:rPr>
        <w:t xml:space="preserve">앞 절은 계약이 진짜인지를 물었다. 이번에는 한 걸음 더 갔다. </w:t>
      </w:r>
      <w:r>
        <w:rPr>
          <w:rFonts w:ascii="맑은 고딕" w:hAnsi="맑은 고딕" w:eastAsia="맑은 고딕"/>
          <w:b/>
          <w:color w:val="1B365D"/>
          <w:sz w:val="21"/>
        </w:rPr>
        <w:t>누가 샀고, 그 사람이 돈이 있는가</w:t>
      </w:r>
      <w:r>
        <w:rPr>
          <w:rFonts w:ascii="맑은 고딕" w:hAnsi="맑은 고딕" w:eastAsia="맑은 고딕"/>
          <w:b w:val="0"/>
          <w:color w:val="1A1A1A"/>
          <w:sz w:val="21"/>
        </w:rPr>
        <w:t>다. 회사 보도자료 원문을 게시물 번호 역순으로 전수 조회하고, 미 증권거래위원회 전문검색으로 두산을 언급한 미국 기업을 모두 뽑았으며, 미 에너지부의 계획 발전기 원장을 전수 대조했다. 결과는 다음과 같다.</w:t>
      </w:r>
    </w:p>
    <w:p>
      <w:pPr>
        <w:spacing w:before="160" w:after="80" w:lineRule="auto" w:line="348"/>
      </w:pPr>
      <w:r>
        <w:rPr>
          <w:rFonts w:ascii="맑은 고딕" w:hAnsi="맑은 고딕" w:eastAsia="맑은 고딕"/>
          <w:b/>
          <w:color w:val="1A1A1A"/>
          <w:sz w:val="21"/>
        </w:rPr>
        <w:t>미국에서 이름을 알리는 중이 아니라, 고객이 사실상 한 곳이다</w:t>
      </w:r>
    </w:p>
    <w:tbl>
      <w:tblPr>
        <w:tblW w:type="auto" w:w="0"/>
        <w:jc w:val="center"/>
        <w:tblLook w:firstColumn="1" w:firstRow="1" w:lastColumn="0" w:lastRow="0" w:noHBand="0" w:noVBand="1" w:val="04A0"/>
        <w:tblLayout w:type="fixed"/>
      </w:tblPr>
      <w:tblGrid>
        <w:gridCol w:w="1860"/>
        <w:gridCol w:w="1860"/>
        <w:gridCol w:w="1860"/>
        <w:gridCol w:w="1860"/>
        <w:gridCol w:w="1860"/>
      </w:tblGrid>
      <w:tr>
        <w:trPr>
          <w:tblHeader w:val="true"/>
        </w:trPr>
        <w:tc>
          <w:tcPr>
            <w:tcW w:type="dxa" w:w="1587"/>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계약 시점</w:t>
            </w:r>
          </w:p>
        </w:tc>
        <w:tc>
          <w:tcPr>
            <w:tcW w:type="dxa" w:w="907"/>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대수</w:t>
            </w:r>
          </w:p>
        </w:tc>
        <w:tc>
          <w:tcPr>
            <w:tcW w:type="dxa" w:w="3061"/>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고객</w:t>
            </w:r>
          </w:p>
        </w:tc>
        <w:tc>
          <w:tcPr>
            <w:tcW w:type="dxa" w:w="2154"/>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납기</w:t>
            </w:r>
          </w:p>
        </w:tc>
        <w:tc>
          <w:tcPr>
            <w:tcW w:type="dxa" w:w="1587"/>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DART 공시</w:t>
            </w:r>
          </w:p>
        </w:tc>
      </w:tr>
      <w:tr>
        <w:tc>
          <w:tcPr>
            <w:tcW w:type="dxa" w:w="1587"/>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2025년 10월</w:t>
            </w:r>
          </w:p>
        </w:tc>
        <w:tc>
          <w:tcPr>
            <w:tcW w:type="dxa" w:w="907"/>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2기</w:t>
            </w:r>
          </w:p>
        </w:tc>
        <w:tc>
          <w:tcPr>
            <w:tcW w:type="dxa" w:w="306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미국 대형 정보기술기업 (첫 해외수출)</w:t>
            </w:r>
          </w:p>
        </w:tc>
        <w:tc>
          <w:tcPr>
            <w:tcW w:type="dxa" w:w="215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미공개</w:t>
            </w:r>
          </w:p>
        </w:tc>
        <w:tc>
          <w:tcPr>
            <w:tcW w:type="dxa" w:w="1587"/>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없음</w:t>
            </w:r>
          </w:p>
        </w:tc>
      </w:tr>
      <w:tr>
        <w:tc>
          <w:tcPr>
            <w:tcW w:type="dxa" w:w="1587"/>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2025. 12. 17</w:t>
            </w:r>
          </w:p>
        </w:tc>
        <w:tc>
          <w:tcPr>
            <w:tcW w:type="dxa" w:w="907"/>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3기</w:t>
            </w:r>
          </w:p>
        </w:tc>
        <w:tc>
          <w:tcPr>
            <w:tcW w:type="dxa" w:w="306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같은 미국 대형 정보기술기업</w:t>
            </w:r>
          </w:p>
        </w:tc>
        <w:tc>
          <w:tcPr>
            <w:tcW w:type="dxa" w:w="215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2027년 1기, 2028년 2기</w:t>
            </w:r>
          </w:p>
        </w:tc>
        <w:tc>
          <w:tcPr>
            <w:tcW w:type="dxa" w:w="1587"/>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있음 (최소 4,058억원)</w:t>
            </w:r>
          </w:p>
        </w:tc>
      </w:tr>
      <w:tr>
        <w:tc>
          <w:tcPr>
            <w:tcW w:type="dxa" w:w="1587"/>
            <w:vAlign w:val="center"/>
            <w:tcBorders>
              <w:top w:val="nil"/>
              <w:left w:val="nil"/>
              <w:bottom w:val="single" w:sz="10" w:color="1B365D"/>
              <w:right w:val="nil"/>
            </w:tcBorders>
          </w:tcPr>
          <w:p>
            <w:pPr>
              <w:spacing w:before="70" w:after="70" w:lineRule="auto" w:line="288"/>
              <w:jc w:val="center"/>
            </w:pPr>
            <w:r>
              <w:rPr>
                <w:rFonts w:ascii="맑은 고딕" w:hAnsi="맑은 고딕" w:eastAsia="맑은 고딕"/>
                <w:b w:val="0"/>
                <w:color w:val="1A1A1A"/>
                <w:sz w:val="19"/>
              </w:rPr>
              <w:t>2026. 3. 6</w:t>
            </w:r>
          </w:p>
        </w:tc>
        <w:tc>
          <w:tcPr>
            <w:tcW w:type="dxa" w:w="907"/>
            <w:vAlign w:val="center"/>
            <w:tcBorders>
              <w:top w:val="nil"/>
              <w:left w:val="nil"/>
              <w:bottom w:val="single" w:sz="10" w:color="1B365D"/>
              <w:right w:val="nil"/>
            </w:tcBorders>
          </w:tcPr>
          <w:p>
            <w:pPr>
              <w:spacing w:before="70" w:after="70" w:lineRule="auto" w:line="288"/>
              <w:jc w:val="center"/>
            </w:pPr>
            <w:r>
              <w:rPr>
                <w:rFonts w:ascii="맑은 고딕" w:hAnsi="맑은 고딕" w:eastAsia="맑은 고딕"/>
                <w:b/>
                <w:color w:val="1B365D"/>
                <w:sz w:val="19"/>
              </w:rPr>
              <w:t>7기</w:t>
            </w:r>
          </w:p>
        </w:tc>
        <w:tc>
          <w:tcPr>
            <w:tcW w:type="dxa" w:w="3061"/>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the U.S. company</w:t>
            </w:r>
          </w:p>
        </w:tc>
        <w:tc>
          <w:tcPr>
            <w:tcW w:type="dxa" w:w="2154"/>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color w:val="1B365D"/>
                <w:sz w:val="19"/>
              </w:rPr>
              <w:t>2029년 5월부터 월 1기씩</w:t>
            </w:r>
          </w:p>
        </w:tc>
        <w:tc>
          <w:tcPr>
            <w:tcW w:type="dxa" w:w="1587"/>
            <w:vAlign w:val="center"/>
            <w:tcBorders>
              <w:top w:val="nil"/>
              <w:left w:val="nil"/>
              <w:bottom w:val="single" w:sz="10" w:color="1B365D"/>
              <w:right w:val="nil"/>
            </w:tcBorders>
          </w:tcPr>
          <w:p>
            <w:pPr>
              <w:spacing w:before="70" w:after="70" w:lineRule="auto" w:line="288"/>
              <w:jc w:val="center"/>
            </w:pPr>
            <w:r>
              <w:rPr>
                <w:rFonts w:ascii="맑은 고딕" w:hAnsi="맑은 고딕" w:eastAsia="맑은 고딕"/>
                <w:b w:val="0"/>
                <w:color w:val="1A1A1A"/>
                <w:sz w:val="19"/>
              </w:rPr>
              <w:t>있음 (최소 4,058억원)</w:t>
            </w:r>
          </w:p>
        </w:tc>
      </w:tr>
    </w:tbl>
    <w:p>
      <w:pPr>
        <w:spacing w:before="60" w:after="200" w:lineRule="auto" w:line="312"/>
      </w:pPr>
      <w:r>
        <w:rPr>
          <w:rFonts w:ascii="맑은 고딕" w:hAnsi="맑은 고딕" w:eastAsia="맑은 고딕"/>
          <w:b w:val="0"/>
          <w:color w:val="666B73"/>
          <w:sz w:val="17"/>
        </w:rPr>
        <w:t>2025년 12월 17일 보도자료 원문은 “약 두 달 동안 동일한 미국 빅테크 기업과 총 5기의 가스터빈 공급계약을 체결하게 됐다”고 적었다. 2026년 3월 6일 영문 부제는 “Total of 12 gas turbines contracted with the U.S. company to date”다. 5기가 같은 고객인 것은 확정이고, 나머지 7기도 정관사가 같은 곳을 가리키지만 본문이 명시하지는 않는다.</w:t>
      </w:r>
    </w:p>
    <w:p>
      <w:pPr>
        <w:spacing w:before="0" w:after="120" w:lineRule="auto" w:line="348"/>
        <w:jc w:val="both"/>
      </w:pPr>
      <w:r>
        <w:rPr>
          <w:rFonts w:ascii="맑은 고딕" w:hAnsi="맑은 고딕" w:eastAsia="맑은 고딕"/>
          <w:b w:val="0"/>
          <w:color w:val="1A1A1A"/>
          <w:sz w:val="21"/>
        </w:rPr>
        <w:t xml:space="preserve">어느 쪽이든 결론은 같다. 전 세계 누적 가스터빈 수주 23기 가운데 </w:t>
      </w:r>
      <w:r>
        <w:rPr>
          <w:rFonts w:ascii="맑은 고딕" w:hAnsi="맑은 고딕" w:eastAsia="맑은 고딕"/>
          <w:b/>
          <w:color w:val="1B365D"/>
          <w:sz w:val="21"/>
        </w:rPr>
        <w:t>12기, 곧 52%가 미국 한 나라이고 그 가운데 최소 5기가 한 고객</w:t>
      </w:r>
      <w:r>
        <w:rPr>
          <w:rFonts w:ascii="맑은 고딕" w:hAnsi="맑은 고딕" w:eastAsia="맑은 고딕"/>
          <w:b w:val="0"/>
          <w:color w:val="1A1A1A"/>
          <w:sz w:val="21"/>
        </w:rPr>
        <w:t>이다. 이것은 분산이 아니라 집중이다. 시장에서 팔리는 글로벌 플레이어 등극이라는 이야기와 방향이 반대다.</w:t>
      </w:r>
    </w:p>
    <w:p>
      <w:pPr>
        <w:spacing w:before="160" w:after="80" w:lineRule="auto" w:line="348"/>
      </w:pPr>
      <w:r>
        <w:rPr>
          <w:rFonts w:ascii="맑은 고딕" w:hAnsi="맑은 고딕" w:eastAsia="맑은 고딕"/>
          <w:b/>
          <w:color w:val="1A1A1A"/>
          <w:sz w:val="21"/>
        </w:rPr>
        <w:t>여기에 이전 판에 없던 축이 하나 더 붙는다. 스팀터빈이다</w:t>
      </w:r>
    </w:p>
    <w:tbl>
      <w:tblPr>
        <w:tblW w:type="auto" w:w="0"/>
        <w:jc w:val="center"/>
        <w:tblLook w:firstColumn="1" w:firstRow="1" w:lastColumn="0" w:lastRow="0" w:noHBand="0" w:noVBand="1" w:val="04A0"/>
        <w:tblLayout w:type="fixed"/>
      </w:tblPr>
      <w:tblGrid>
        <w:gridCol w:w="3099"/>
        <w:gridCol w:w="3099"/>
        <w:gridCol w:w="3099"/>
      </w:tblGrid>
      <w:tr>
        <w:trPr>
          <w:tblHeader w:val="true"/>
        </w:trPr>
        <w:tc>
          <w:tcPr>
            <w:tcW w:type="dxa" w:w="1587"/>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계약 시점</w:t>
            </w:r>
          </w:p>
        </w:tc>
        <w:tc>
          <w:tcPr>
            <w:tcW w:type="dxa" w:w="5329"/>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내용</w:t>
            </w:r>
          </w:p>
        </w:tc>
        <w:tc>
          <w:tcPr>
            <w:tcW w:type="dxa" w:w="2154"/>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지역·납기</w:t>
            </w:r>
          </w:p>
        </w:tc>
      </w:tr>
      <w:tr>
        <w:tc>
          <w:tcPr>
            <w:tcW w:type="dxa" w:w="1587"/>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2026. 3. 18</w:t>
            </w:r>
          </w:p>
        </w:tc>
        <w:tc>
          <w:tcPr>
            <w:tcW w:type="dxa" w:w="5329"/>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370메가와트급 스팀터빈과 발전기 2기. 북미 첫 스팀터빈 수주이며 고객의 데이터센터용이다</w:t>
            </w:r>
          </w:p>
        </w:tc>
        <w:tc>
          <w:tcPr>
            <w:tcW w:type="dxa" w:w="215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미공개</w:t>
            </w:r>
          </w:p>
        </w:tc>
      </w:tr>
      <w:tr>
        <w:tc>
          <w:tcPr>
            <w:tcW w:type="dxa" w:w="1587"/>
            <w:vAlign w:val="center"/>
            <w:shd w:val="clear" w:fill="F4F6F8"/>
            <w:tcBorders>
              <w:top w:val="nil"/>
              <w:left w:val="nil"/>
              <w:bottom w:val="single" w:sz="10" w:color="1B365D"/>
              <w:right w:val="nil"/>
            </w:tcBorders>
          </w:tcPr>
          <w:p>
            <w:pPr>
              <w:spacing w:before="70" w:after="70" w:lineRule="auto" w:line="288"/>
              <w:jc w:val="center"/>
            </w:pPr>
            <w:r>
              <w:rPr>
                <w:rFonts w:ascii="맑은 고딕" w:hAnsi="맑은 고딕" w:eastAsia="맑은 고딕"/>
                <w:b w:val="0"/>
                <w:color w:val="1A1A1A"/>
                <w:sz w:val="19"/>
              </w:rPr>
              <w:t>2026. 5. 27</w:t>
            </w:r>
          </w:p>
        </w:tc>
        <w:tc>
          <w:tcPr>
            <w:tcW w:type="dxa" w:w="5329"/>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370메가와트급 스팀터빈과 발전기 4기</w:t>
            </w:r>
          </w:p>
        </w:tc>
        <w:tc>
          <w:tcPr>
            <w:tcW w:type="dxa" w:w="2154"/>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color w:val="1B365D"/>
                <w:sz w:val="19"/>
              </w:rPr>
              <w:t>텍사스, 2029년까지</w:t>
            </w:r>
          </w:p>
        </w:tc>
      </w:tr>
    </w:tbl>
    <w:p>
      <w:pPr>
        <w:spacing w:before="60" w:after="200" w:lineRule="auto" w:line="312"/>
      </w:pPr>
      <w:r>
        <w:rPr>
          <w:rFonts w:ascii="맑은 고딕" w:hAnsi="맑은 고딕" w:eastAsia="맑은 고딕"/>
          <w:b w:val="0"/>
          <w:color w:val="666B73"/>
          <w:sz w:val="17"/>
        </w:rPr>
        <w:t>가스터빈 12기와 스팀터빈 6기는 2대 1 복합화력 여섯 블록 구성과 정확히 맞는다. 가스 4.56기가와트에 스팀 2.22기가와트를 더하면 6.8기가와트급 캠퍼스가 된다. 같은 프로젝트일 개연성이 높으나 회사가 둘을 연결해 말한 적은 없다.</w:t>
      </w:r>
    </w:p>
    <w:p>
      <w:pPr>
        <w:spacing w:before="160" w:after="80" w:lineRule="auto" w:line="348"/>
      </w:pPr>
      <w:r>
        <w:rPr>
          <w:rFonts w:ascii="맑은 고딕" w:hAnsi="맑은 고딕" w:eastAsia="맑은 고딕"/>
          <w:b/>
          <w:color w:val="1A1A1A"/>
          <w:sz w:val="21"/>
        </w:rPr>
        <w:t>미 증권거래위원회 전 범위를 뒤졌으나 가스터빈 고객은 신고 대상 기업이 아니다</w:t>
      </w:r>
    </w:p>
    <w:tbl>
      <w:tblPr>
        <w:tblW w:type="auto" w:w="0"/>
        <w:jc w:val="center"/>
        <w:tblLook w:firstColumn="1" w:firstRow="1" w:lastColumn="0" w:lastRow="0" w:noHBand="0" w:noVBand="1" w:val="04A0"/>
        <w:tblLayout w:type="fixed"/>
      </w:tblPr>
      <w:tblGrid>
        <w:gridCol w:w="3099"/>
        <w:gridCol w:w="3099"/>
        <w:gridCol w:w="3099"/>
      </w:tblGrid>
      <w:tr>
        <w:trPr>
          <w:tblHeader w:val="true"/>
        </w:trPr>
        <w:tc>
          <w:tcPr>
            <w:tcW w:type="dxa" w:w="2494"/>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회사</w:t>
            </w:r>
          </w:p>
        </w:tc>
        <w:tc>
          <w:tcPr>
            <w:tcW w:type="dxa" w:w="2608"/>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제출 서식</w:t>
            </w:r>
          </w:p>
        </w:tc>
        <w:tc>
          <w:tcPr>
            <w:tcW w:type="dxa" w:w="3969"/>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두산을 어떻게 적었나</w:t>
            </w:r>
          </w:p>
        </w:tc>
      </w:tr>
      <w:tr>
        <w:tc>
          <w:tcPr>
            <w:tcW w:type="dxa" w:w="249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페르미 (Fermi Inc.)</w:t>
            </w:r>
          </w:p>
        </w:tc>
        <w:tc>
          <w:tcPr>
            <w:tcW w:type="dxa" w:w="260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수시·연차·분기보고서</w:t>
            </w:r>
          </w:p>
        </w:tc>
        <w:tc>
          <w:tcPr>
            <w:tcW w:type="dxa" w:w="3969"/>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원전 단조 준비계약</w:t>
            </w:r>
          </w:p>
        </w:tc>
      </w:tr>
      <w:tr>
        <w:tc>
          <w:tcPr>
            <w:tcW w:type="dxa" w:w="249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엑스에너지 (X-Energy, Inc.)</w:t>
            </w:r>
          </w:p>
        </w:tc>
        <w:tc>
          <w:tcPr>
            <w:tcW w:type="dxa" w:w="260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분기보고서·증권신고서</w:t>
            </w:r>
          </w:p>
        </w:tc>
        <w:tc>
          <w:tcPr>
            <w:tcW w:type="dxa" w:w="3969"/>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소형모듈원전 단조 슬롯 예약</w:t>
            </w:r>
          </w:p>
        </w:tc>
      </w:tr>
      <w:tr>
        <w:tc>
          <w:tcPr>
            <w:tcW w:type="dxa" w:w="249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뉴스케일 (NuScale Power)</w:t>
            </w:r>
          </w:p>
        </w:tc>
        <w:tc>
          <w:tcPr>
            <w:tcW w:type="dxa" w:w="260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수시·연차·분기보고서, 대량보유</w:t>
            </w:r>
          </w:p>
        </w:tc>
        <w:tc>
          <w:tcPr>
            <w:tcW w:type="dxa" w:w="3969"/>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주주이자 공급사</w:t>
            </w:r>
          </w:p>
        </w:tc>
      </w:tr>
      <w:tr>
        <w:tc>
          <w:tcPr>
            <w:tcW w:type="dxa" w:w="249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커티스라이트 (Curtiss-Wright)</w:t>
            </w:r>
          </w:p>
        </w:tc>
        <w:tc>
          <w:tcPr>
            <w:tcW w:type="dxa" w:w="260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수시보고서</w:t>
            </w:r>
          </w:p>
        </w:tc>
        <w:tc>
          <w:tcPr>
            <w:tcW w:type="dxa" w:w="3969"/>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원전 관련</w:t>
            </w:r>
          </w:p>
        </w:tc>
      </w:tr>
      <w:tr>
        <w:tc>
          <w:tcPr>
            <w:tcW w:type="dxa" w:w="2494"/>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한국전력공사</w:t>
            </w:r>
          </w:p>
        </w:tc>
        <w:tc>
          <w:tcPr>
            <w:tcW w:type="dxa" w:w="2608"/>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연차보고서(20-F)</w:t>
            </w:r>
          </w:p>
        </w:tc>
        <w:tc>
          <w:tcPr>
            <w:tcW w:type="dxa" w:w="3969"/>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국내 기자재</w:t>
            </w:r>
          </w:p>
        </w:tc>
      </w:tr>
    </w:tbl>
    <w:p>
      <w:pPr>
        <w:spacing w:before="60" w:after="200" w:lineRule="auto" w:line="312"/>
      </w:pPr>
      <w:r>
        <w:rPr>
          <w:rFonts w:ascii="맑은 고딕" w:hAnsi="맑은 고딕" w:eastAsia="맑은 고딕"/>
          <w:b w:val="0"/>
          <w:color w:val="666B73"/>
          <w:sz w:val="17"/>
        </w:rPr>
        <w:t>2025년 1월 1일부터 2026년 8월 29일까지 자기 공시에 Doosan Enerbility 를 적은 사업회사 전부다. 펀드 보유내역은 제외했다. 가스터빈 고객은 이 목록에 없다.</w:t>
      </w:r>
    </w:p>
    <w:tbl>
      <w:tblPr>
        <w:tblW w:type="auto" w:w="0"/>
        <w:jc w:val="center"/>
        <w:tblLook w:firstColumn="1" w:firstRow="1" w:lastColumn="0" w:lastRow="0" w:noHBand="0" w:noVBand="1" w:val="04A0"/>
      </w:tblPr>
      <w:tblGrid>
        <w:gridCol w:w="9298"/>
      </w:tblGrid>
      <w:tr>
        <w:tc>
          <w:tcPr>
            <w:tcW w:type="dxa" w:w="9298"/>
            <w:shd w:val="clear" w:fill="F7F5EF"/>
            <w:tcBorders>
              <w:top w:val="nil"/>
              <w:left w:val="single" w:sz="24" w:color="1B365D"/>
              <w:bottom w:val="nil"/>
              <w:right w:val="nil"/>
            </w:tcBorders>
          </w:tcPr>
          <w:p>
            <w:pPr>
              <w:spacing w:before="140" w:after="60" w:lineRule="auto" w:line="312"/>
              <w:ind w:left="198"/>
            </w:pPr>
            <w:r>
              <w:rPr>
                <w:rFonts w:ascii="맑은 고딕" w:hAnsi="맑은 고딕" w:eastAsia="맑은 고딕"/>
                <w:b/>
                <w:color w:val="1B365D"/>
                <w:sz w:val="21"/>
              </w:rPr>
              <w:t>고객에게는 각주도 되지 않는 계약이다</w:t>
            </w:r>
          </w:p>
          <w:p>
            <w:pPr>
              <w:spacing w:before="0" w:after="140" w:lineRule="auto" w:line="341"/>
              <w:ind w:left="198"/>
              <w:jc w:val="both"/>
            </w:pPr>
            <w:r>
              <w:rPr>
                <w:rFonts w:ascii="맑은 고딕" w:hAnsi="맑은 고딕" w:eastAsia="맑은 고딕"/>
                <w:b w:val="0"/>
                <w:color w:val="1A1A1A"/>
                <w:sz w:val="20"/>
              </w:rPr>
              <w:t>가스터빈 고객이 목록에 없다는 것은 둘 중 하나를 뜻한다. 신고 의무가 없는 비상장사이거나, 터빈 12기가 자기 공시 문턱에도 미치지 못하는 초대형 상장사이거나다. 두산이 쓴 미국 빅테크라는 표현과 맞추면 후자다. 두산에게는 회사의 방향이 걸린 계약이 고객에게는 각주도 되지 않는다. 이 비대칭이 협상력의 실체이며, 동시에 검증의 한계이기도 하다. 상대가 공시하지 않으므로 우리가 대조할 1차 출처가 존재하지 않는다.</w:t>
            </w:r>
          </w:p>
        </w:tc>
      </w:tr>
    </w:tbl>
    <w:p>
      <w:pPr>
        <w:spacing w:before="0" w:after="200" w:lineRule="auto" w:line="348"/>
      </w:pPr>
    </w:p>
    <w:p>
      <w:pPr>
        <w:spacing w:before="160" w:after="80" w:lineRule="auto" w:line="348"/>
      </w:pPr>
      <w:r>
        <w:rPr>
          <w:rFonts w:ascii="맑은 고딕" w:hAnsi="맑은 고딕" w:eastAsia="맑은 고딕"/>
          <w:b/>
          <w:color w:val="1A1A1A"/>
          <w:sz w:val="21"/>
        </w:rPr>
        <w:t>페르미아메리카는 가스터빈 고객이 아니다</w:t>
      </w:r>
    </w:p>
    <w:p>
      <w:pPr>
        <w:spacing w:before="0" w:after="120" w:lineRule="auto" w:line="348"/>
        <w:jc w:val="both"/>
      </w:pPr>
      <w:r>
        <w:rPr>
          <w:rFonts w:ascii="맑은 고딕" w:hAnsi="맑은 고딕" w:eastAsia="맑은 고딕"/>
          <w:b w:val="0"/>
          <w:color w:val="1A1A1A"/>
          <w:sz w:val="21"/>
        </w:rPr>
        <w:t xml:space="preserve">앞 절에서 미국 신규 원전의 상대로 확인한 페르미아메리카를 가스터빈까지 넘겨 읽으면 틀린다. 1차 출처 두 개가 동시에 부인한다. 첫째, 페르미가 2026년 3월 30일 제출한 주주서한 원문은 전략적 협력사를 열거하면서 </w:t>
      </w:r>
      <w:r>
        <w:rPr>
          <w:rFonts w:ascii="맑은 고딕" w:hAnsi="맑은 고딕" w:eastAsia="맑은 고딕"/>
          <w:b/>
          <w:color w:val="1B365D"/>
          <w:sz w:val="21"/>
        </w:rPr>
        <w:t>지멘스에너지, 웨스팅하우스, 현대건설, 두산에너빌리티, 미쓰비시은행, 키스톤</w:t>
      </w:r>
      <w:r>
        <w:rPr>
          <w:rFonts w:ascii="맑은 고딕" w:hAnsi="맑은 고딕" w:eastAsia="맑은 고딕"/>
          <w:b w:val="0"/>
          <w:color w:val="1A1A1A"/>
          <w:sz w:val="21"/>
        </w:rPr>
        <w:t xml:space="preserve">이라고 적었다. 가스터빈은 지멘스, 두산은 원전 단조로 역할이 갈려 있다. 둘째, 미 에너지부 발전기 원장에 등재된 페르미의 프로젝트 마타도르 가스발전소는 텍사스 카슨 카운티 소재이며 </w:t>
      </w:r>
      <w:r>
        <w:rPr>
          <w:rFonts w:ascii="맑은 고딕" w:hAnsi="맑은 고딕" w:eastAsia="맑은 고딕"/>
          <w:b/>
          <w:color w:val="1B365D"/>
          <w:sz w:val="21"/>
        </w:rPr>
        <w:t>260메가와트 가스터빈 6기와 105메가와트 스팀터빈 5기</w:t>
      </w:r>
      <w:r>
        <w:rPr>
          <w:rFonts w:ascii="맑은 고딕" w:hAnsi="맑은 고딕" w:eastAsia="맑은 고딕"/>
          <w:b w:val="0"/>
          <w:color w:val="1A1A1A"/>
          <w:sz w:val="21"/>
        </w:rPr>
        <w:t>로 되어 있다. 두산의 380메가와트가 아니다.</w:t>
      </w:r>
    </w:p>
    <w:p>
      <w:pPr>
        <w:spacing w:before="160" w:after="80" w:lineRule="auto" w:line="348"/>
      </w:pPr>
      <w:r>
        <w:rPr>
          <w:rFonts w:ascii="맑은 고딕" w:hAnsi="맑은 고딕" w:eastAsia="맑은 고딕"/>
          <w:b/>
          <w:color w:val="1A1A1A"/>
          <w:sz w:val="21"/>
        </w:rPr>
        <w:t>그런데 그 고객의 발전소가 연방 발전기 원장에 아직 없다</w:t>
      </w:r>
    </w:p>
    <w:p>
      <w:pPr>
        <w:spacing w:before="0" w:after="120" w:lineRule="auto" w:line="348"/>
        <w:jc w:val="both"/>
      </w:pPr>
      <w:r>
        <w:rPr>
          <w:rFonts w:ascii="맑은 고딕" w:hAnsi="맑은 고딕" w:eastAsia="맑은 고딕"/>
          <w:b w:val="0"/>
          <w:color w:val="1A1A1A"/>
          <w:sz w:val="21"/>
        </w:rPr>
        <w:t xml:space="preserve">미 에너지부 발전기 원장(EIA-860M) 2026년 7월판의 계획 발전기 시트 2,343행을 전수 대조했다. </w:t>
      </w:r>
      <w:r>
        <w:rPr>
          <w:rFonts w:ascii="맑은 고딕" w:hAnsi="맑은 고딕" w:eastAsia="맑은 고딕"/>
          <w:b/>
          <w:color w:val="1B365D"/>
          <w:sz w:val="21"/>
        </w:rPr>
        <w:t>텍사스의 계획 가스발전기 가운데 330메가와트에서 430메가와트 구간은 0건</w:t>
      </w:r>
      <w:r>
        <w:rPr>
          <w:rFonts w:ascii="맑은 고딕" w:hAnsi="맑은 고딕" w:eastAsia="맑은 고딕"/>
          <w:b w:val="0"/>
          <w:color w:val="1A1A1A"/>
          <w:sz w:val="21"/>
        </w:rPr>
        <w:t>이다. 두산의 380메가와트가 들어갈 자리가 없다. 텍사스 계획 가스발전기 상위는 CPV 베이슨랜치 722.5메가와트 2기(2029년, 건설 중), 시더바유 5호기 721메가와트(2028년), 샌도우레이크 645메가와트 2기(2028년), 엔터지 론스타 467메가와트, NRG 그린스바유 6호기 447메가와트로 모두 다른 출력대다.</w:t>
      </w:r>
    </w:p>
    <w:tbl>
      <w:tblPr>
        <w:tblW w:type="auto" w:w="0"/>
        <w:jc w:val="center"/>
        <w:tblLook w:firstColumn="1" w:firstRow="1" w:lastColumn="0" w:lastRow="0" w:noHBand="0" w:noVBand="1" w:val="04A0"/>
      </w:tblPr>
      <w:tblGrid>
        <w:gridCol w:w="9298"/>
      </w:tblGrid>
      <w:tr>
        <w:tc>
          <w:tcPr>
            <w:tcW w:type="dxa" w:w="9298"/>
            <w:shd w:val="clear" w:fill="F7F5EF"/>
            <w:tcBorders>
              <w:top w:val="nil"/>
              <w:left w:val="single" w:sz="24" w:color="1B365D"/>
              <w:bottom w:val="nil"/>
              <w:right w:val="nil"/>
            </w:tcBorders>
          </w:tcPr>
          <w:p>
            <w:pPr>
              <w:spacing w:before="140" w:after="60" w:lineRule="auto" w:line="312"/>
              <w:ind w:left="198"/>
            </w:pPr>
            <w:r>
              <w:rPr>
                <w:rFonts w:ascii="맑은 고딕" w:hAnsi="맑은 고딕" w:eastAsia="맑은 고딕"/>
                <w:b/>
                <w:color w:val="1B365D"/>
                <w:sz w:val="21"/>
              </w:rPr>
              <w:t>계약은 확인됐고 발전소는 아직 확인되지 않았다</w:t>
            </w:r>
          </w:p>
          <w:p>
            <w:pPr>
              <w:spacing w:before="0" w:after="140" w:lineRule="auto" w:line="341"/>
              <w:ind w:left="198"/>
              <w:jc w:val="both"/>
            </w:pPr>
            <w:r>
              <w:rPr>
                <w:rFonts w:ascii="맑은 고딕" w:hAnsi="맑은 고딕" w:eastAsia="맑은 고딕"/>
                <w:b w:val="0"/>
                <w:color w:val="1A1A1A"/>
                <w:sz w:val="20"/>
              </w:rPr>
              <w:t>이것을 계약이 가짜라는 뜻으로 읽으면 안 된다. 수요지 자가발전 설비는 등재가 늦고, 이 원장은 사업자가 신고해야 잡힌다. 다만 2029년 5월 납기인 설비가 2026년 7월 현재 원장에 흔적이 없다는 것은 부지와 인허가와 계통이 아직 공적으로 확인되지 않았다는 뜻이다. 계약은 DART 공시라는 1차 출처로 확인됐고, 발전소는 아직 1차 출처로 확인되지 않았다. 둘은 다른 문제이며, 원장이 매달 갱신되므로 이 항목은 앞으로 가장 값싼 확인 경로가 된다.</w:t>
            </w:r>
          </w:p>
        </w:tc>
      </w:tr>
    </w:tbl>
    <w:p>
      <w:pPr>
        <w:spacing w:before="0" w:after="200" w:lineRule="auto" w:line="348"/>
      </w:pPr>
    </w:p>
    <w:p>
      <w:pPr>
        <w:spacing w:before="260" w:after="80" w:lineRule="auto" w:line="288"/>
        <w:outlineLvl w:val="1"/>
        <w:keepNext/>
      </w:pPr>
      <w:r>
        <w:rPr>
          <w:rFonts w:ascii="맑은 고딕" w:hAnsi="맑은 고딕" w:eastAsia="맑은 고딕"/>
          <w:b/>
          <w:color w:val="1B365D"/>
          <w:sz w:val="23"/>
        </w:rPr>
        <w:t>수요를 떠받치는 다섯 기둥 (2026년 8월 29일 2차 추가)</w:t>
      </w:r>
    </w:p>
    <w:p>
      <w:pPr>
        <w:spacing w:before="0" w:after="160" w:lineRule="auto" w:line="348"/>
      </w:pPr>
      <w:r>
        <w:rPr>
          <w:rFonts w:ascii="맑은 고딕" w:hAnsi="맑은 고딕" w:eastAsia="맑은 고딕"/>
          <w:b w:val="0"/>
          <w:color w:val="1A1A1A"/>
          <w:sz w:val="21"/>
        </w:rPr>
        <w:t>인공지능 데이터센터가 전기를 구하지 못한다는 말은 한 문장이 아니라 다섯 개의 서로 다른 주장이다. 고객이 돈이 있는가, 그 돈이 어디서 오는가, 나라가 도와주는가, 관세는 어떠한가, 그리고 두산이 만들 수 있는가. 하나씩 실측했다.</w:t>
      </w:r>
    </w:p>
    <w:p>
      <w:pPr>
        <w:spacing w:before="120" w:after="80" w:lineRule="auto" w:line="348"/>
      </w:pPr>
      <w:r>
        <w:rPr>
          <w:rFonts w:ascii="맑은 고딕" w:hAnsi="맑은 고딕" w:eastAsia="맑은 고딕"/>
          <w:b/>
          <w:color w:val="1A1A1A"/>
          <w:sz w:val="21"/>
        </w:rPr>
        <w:t>기둥 1. 고객의 돈 — 수요는 식지 않았다</w:t>
      </w:r>
    </w:p>
    <w:tbl>
      <w:tblPr>
        <w:tblW w:type="auto" w:w="0"/>
        <w:jc w:val="center"/>
        <w:tblLook w:firstColumn="1" w:firstRow="1" w:lastColumn="0" w:lastRow="0" w:noHBand="0" w:noVBand="1" w:val="04A0"/>
        <w:tblLayout w:type="fixed"/>
      </w:tblPr>
      <w:tblGrid>
        <w:gridCol w:w="1860"/>
        <w:gridCol w:w="1860"/>
        <w:gridCol w:w="1860"/>
        <w:gridCol w:w="1860"/>
        <w:gridCol w:w="1860"/>
      </w:tblGrid>
      <w:tr>
        <w:trPr>
          <w:tblHeader w:val="true"/>
        </w:trPr>
        <w:tc>
          <w:tcPr>
            <w:tcW w:type="dxa" w:w="2494"/>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분기 설비투자 (억달러)</w:t>
            </w:r>
          </w:p>
        </w:tc>
        <w:tc>
          <w:tcPr>
            <w:tcW w:type="dxa" w:w="164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2025년 3분기</w:t>
            </w:r>
          </w:p>
        </w:tc>
        <w:tc>
          <w:tcPr>
            <w:tcW w:type="dxa" w:w="164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2025년 4분기</w:t>
            </w:r>
          </w:p>
        </w:tc>
        <w:tc>
          <w:tcPr>
            <w:tcW w:type="dxa" w:w="164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2026년 1분기</w:t>
            </w:r>
          </w:p>
        </w:tc>
        <w:tc>
          <w:tcPr>
            <w:tcW w:type="dxa" w:w="164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2026년 2분기</w:t>
            </w:r>
          </w:p>
        </w:tc>
      </w:tr>
      <w:tr>
        <w:tc>
          <w:tcPr>
            <w:tcW w:type="dxa" w:w="249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마이크로소프트</w:t>
            </w:r>
          </w:p>
        </w:tc>
        <w:tc>
          <w:tcPr>
            <w:tcW w:type="dxa" w:w="164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194</w:t>
            </w:r>
          </w:p>
        </w:tc>
        <w:tc>
          <w:tcPr>
            <w:tcW w:type="dxa" w:w="164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299</w:t>
            </w:r>
          </w:p>
        </w:tc>
        <w:tc>
          <w:tcPr>
            <w:tcW w:type="dxa" w:w="164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309</w:t>
            </w:r>
          </w:p>
        </w:tc>
        <w:tc>
          <w:tcPr>
            <w:tcW w:type="dxa" w:w="164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358</w:t>
            </w:r>
          </w:p>
        </w:tc>
      </w:tr>
      <w:tr>
        <w:tc>
          <w:tcPr>
            <w:tcW w:type="dxa" w:w="249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알파벳</w:t>
            </w:r>
          </w:p>
        </w:tc>
        <w:tc>
          <w:tcPr>
            <w:tcW w:type="dxa" w:w="164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240</w:t>
            </w:r>
          </w:p>
        </w:tc>
        <w:tc>
          <w:tcPr>
            <w:tcW w:type="dxa" w:w="164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279</w:t>
            </w:r>
          </w:p>
        </w:tc>
        <w:tc>
          <w:tcPr>
            <w:tcW w:type="dxa" w:w="164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357</w:t>
            </w:r>
          </w:p>
        </w:tc>
        <w:tc>
          <w:tcPr>
            <w:tcW w:type="dxa" w:w="164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449</w:t>
            </w:r>
          </w:p>
        </w:tc>
      </w:tr>
      <w:tr>
        <w:tc>
          <w:tcPr>
            <w:tcW w:type="dxa" w:w="249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메타</w:t>
            </w:r>
          </w:p>
        </w:tc>
        <w:tc>
          <w:tcPr>
            <w:tcW w:type="dxa" w:w="164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188</w:t>
            </w:r>
          </w:p>
        </w:tc>
        <w:tc>
          <w:tcPr>
            <w:tcW w:type="dxa" w:w="164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214</w:t>
            </w:r>
          </w:p>
        </w:tc>
        <w:tc>
          <w:tcPr>
            <w:tcW w:type="dxa" w:w="164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190</w:t>
            </w:r>
          </w:p>
        </w:tc>
        <w:tc>
          <w:tcPr>
            <w:tcW w:type="dxa" w:w="164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301</w:t>
            </w:r>
          </w:p>
        </w:tc>
      </w:tr>
      <w:tr>
        <w:tc>
          <w:tcPr>
            <w:tcW w:type="dxa" w:w="2494"/>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오라클</w:t>
            </w:r>
          </w:p>
        </w:tc>
        <w:tc>
          <w:tcPr>
            <w:tcW w:type="dxa" w:w="1644"/>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85</w:t>
            </w:r>
          </w:p>
        </w:tc>
        <w:tc>
          <w:tcPr>
            <w:tcW w:type="dxa" w:w="1644"/>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120</w:t>
            </w:r>
          </w:p>
        </w:tc>
        <w:tc>
          <w:tcPr>
            <w:tcW w:type="dxa" w:w="1644"/>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186</w:t>
            </w:r>
          </w:p>
        </w:tc>
        <w:tc>
          <w:tcPr>
            <w:tcW w:type="dxa" w:w="1644"/>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165</w:t>
            </w:r>
          </w:p>
        </w:tc>
      </w:tr>
    </w:tbl>
    <w:p>
      <w:pPr>
        <w:spacing w:before="60" w:after="200" w:lineRule="auto" w:line="312"/>
      </w:pPr>
      <w:r>
        <w:rPr>
          <w:rFonts w:ascii="맑은 고딕" w:hAnsi="맑은 고딕" w:eastAsia="맑은 고딕"/>
          <w:b w:val="0"/>
          <w:color w:val="666B73"/>
          <w:sz w:val="17"/>
        </w:rPr>
        <w:t>미 증권거래위원회 XBRL 재무데이터 원문에서 누계를 차분해 분기값으로 환산했다. 1년 전 대비 대략 두 배다. 마이크로소프트·알파벳·메타 세 곳만 합쳐도 분기 1,108억달러이며 연율로 4,400억달러대다. 수요 자체는 살아 있고, 두산 계약의 배경이 사라진 것이 아니다.</w:t>
      </w:r>
    </w:p>
    <w:p>
      <w:pPr>
        <w:spacing w:before="120" w:after="80" w:lineRule="auto" w:line="348"/>
      </w:pPr>
      <w:r>
        <w:rPr>
          <w:rFonts w:ascii="맑은 고딕" w:hAnsi="맑은 고딕" w:eastAsia="맑은 고딕"/>
          <w:b/>
          <w:color w:val="1A1A1A"/>
          <w:sz w:val="21"/>
        </w:rPr>
        <w:t>기둥 2. 그 돈의 출처 — 현금에서 빚으로 넘어갔다</w:t>
      </w:r>
    </w:p>
    <w:tbl>
      <w:tblPr>
        <w:tblW w:type="auto" w:w="0"/>
        <w:jc w:val="center"/>
        <w:tblLook w:firstColumn="1" w:firstRow="1" w:lastColumn="0" w:lastRow="0" w:noHBand="0" w:noVBand="1" w:val="04A0"/>
        <w:tblLayout w:type="fixed"/>
      </w:tblPr>
      <w:tblGrid>
        <w:gridCol w:w="1860"/>
        <w:gridCol w:w="1860"/>
        <w:gridCol w:w="1860"/>
        <w:gridCol w:w="1860"/>
        <w:gridCol w:w="1860"/>
      </w:tblGrid>
      <w:tr>
        <w:trPr>
          <w:tblHeader w:val="true"/>
        </w:trPr>
        <w:tc>
          <w:tcPr>
            <w:tcW w:type="dxa" w:w="2494"/>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영업현금흐름 - 설비투자 (억달러)</w:t>
            </w:r>
          </w:p>
        </w:tc>
        <w:tc>
          <w:tcPr>
            <w:tcW w:type="dxa" w:w="164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2025년 3분기</w:t>
            </w:r>
          </w:p>
        </w:tc>
        <w:tc>
          <w:tcPr>
            <w:tcW w:type="dxa" w:w="164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2025년 4분기</w:t>
            </w:r>
          </w:p>
        </w:tc>
        <w:tc>
          <w:tcPr>
            <w:tcW w:type="dxa" w:w="164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2026년 1분기</w:t>
            </w:r>
          </w:p>
        </w:tc>
        <w:tc>
          <w:tcPr>
            <w:tcW w:type="dxa" w:w="164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2026년 2분기</w:t>
            </w:r>
          </w:p>
        </w:tc>
      </w:tr>
      <w:tr>
        <w:tc>
          <w:tcPr>
            <w:tcW w:type="dxa" w:w="249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마이크로소프트</w:t>
            </w:r>
          </w:p>
        </w:tc>
        <w:tc>
          <w:tcPr>
            <w:tcW w:type="dxa" w:w="164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+257</w:t>
            </w:r>
          </w:p>
        </w:tc>
        <w:tc>
          <w:tcPr>
            <w:tcW w:type="dxa" w:w="164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+59</w:t>
            </w:r>
          </w:p>
        </w:tc>
        <w:tc>
          <w:tcPr>
            <w:tcW w:type="dxa" w:w="164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+158</w:t>
            </w:r>
          </w:p>
        </w:tc>
        <w:tc>
          <w:tcPr>
            <w:tcW w:type="dxa" w:w="164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+196</w:t>
            </w:r>
          </w:p>
        </w:tc>
      </w:tr>
      <w:tr>
        <w:tc>
          <w:tcPr>
            <w:tcW w:type="dxa" w:w="249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알파벳</w:t>
            </w:r>
          </w:p>
        </w:tc>
        <w:tc>
          <w:tcPr>
            <w:tcW w:type="dxa" w:w="164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+245</w:t>
            </w:r>
          </w:p>
        </w:tc>
        <w:tc>
          <w:tcPr>
            <w:tcW w:type="dxa" w:w="164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+246</w:t>
            </w:r>
          </w:p>
        </w:tc>
        <w:tc>
          <w:tcPr>
            <w:tcW w:type="dxa" w:w="164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+101</w:t>
            </w:r>
          </w:p>
        </w:tc>
        <w:tc>
          <w:tcPr>
            <w:tcW w:type="dxa" w:w="164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-59</w:t>
            </w:r>
          </w:p>
        </w:tc>
      </w:tr>
      <w:tr>
        <w:tc>
          <w:tcPr>
            <w:tcW w:type="dxa" w:w="249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메타</w:t>
            </w:r>
          </w:p>
        </w:tc>
        <w:tc>
          <w:tcPr>
            <w:tcW w:type="dxa" w:w="164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+112</w:t>
            </w:r>
          </w:p>
        </w:tc>
        <w:tc>
          <w:tcPr>
            <w:tcW w:type="dxa" w:w="164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+148</w:t>
            </w:r>
          </w:p>
        </w:tc>
        <w:tc>
          <w:tcPr>
            <w:tcW w:type="dxa" w:w="164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+132</w:t>
            </w:r>
          </w:p>
        </w:tc>
        <w:tc>
          <w:tcPr>
            <w:tcW w:type="dxa" w:w="164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+17</w:t>
            </w:r>
          </w:p>
        </w:tc>
      </w:tr>
      <w:tr>
        <w:tc>
          <w:tcPr>
            <w:tcW w:type="dxa" w:w="2494"/>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오라클</w:t>
            </w:r>
          </w:p>
        </w:tc>
        <w:tc>
          <w:tcPr>
            <w:tcW w:type="dxa" w:w="1644"/>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-4</w:t>
            </w:r>
          </w:p>
        </w:tc>
        <w:tc>
          <w:tcPr>
            <w:tcW w:type="dxa" w:w="1644"/>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-100</w:t>
            </w:r>
          </w:p>
        </w:tc>
        <w:tc>
          <w:tcPr>
            <w:tcW w:type="dxa" w:w="1644"/>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-115</w:t>
            </w:r>
          </w:p>
        </w:tc>
        <w:tc>
          <w:tcPr>
            <w:tcW w:type="dxa" w:w="1644"/>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-19</w:t>
            </w:r>
          </w:p>
        </w:tc>
      </w:tr>
    </w:tbl>
    <w:p>
      <w:pPr>
        <w:spacing w:before="60" w:after="200" w:lineRule="auto" w:line="312"/>
      </w:pPr>
      <w:r>
        <w:rPr>
          <w:rFonts w:ascii="맑은 고딕" w:hAnsi="맑은 고딕" w:eastAsia="맑은 고딕"/>
          <w:b w:val="0"/>
          <w:color w:val="666B73"/>
          <w:sz w:val="17"/>
        </w:rPr>
        <w:t>알파벳의 영업현금흐름에서 설비투자를 뺀 값이 2026년 2분기에 처음 마이너스로 갔다. 메타는 사실상 0이고 오라클은 만성이다. 여기에 차입이 붙는다. 아마존은 2026년 1분기에 장기차입 534억달러를, 메타는 2025년 4분기에 회사채 299억달러를 일으켰다.</w:t>
      </w:r>
    </w:p>
    <w:tbl>
      <w:tblPr>
        <w:tblW w:type="auto" w:w="0"/>
        <w:jc w:val="center"/>
        <w:tblLook w:firstColumn="1" w:firstRow="1" w:lastColumn="0" w:lastRow="0" w:noHBand="0" w:noVBand="1" w:val="04A0"/>
      </w:tblPr>
      <w:tblGrid>
        <w:gridCol w:w="9298"/>
      </w:tblGrid>
      <w:tr>
        <w:tc>
          <w:tcPr>
            <w:tcW w:type="dxa" w:w="9298"/>
            <w:shd w:val="clear" w:fill="F7F5EF"/>
            <w:tcBorders>
              <w:top w:val="nil"/>
              <w:left w:val="single" w:sz="24" w:color="1B365D"/>
              <w:bottom w:val="nil"/>
              <w:right w:val="nil"/>
            </w:tcBorders>
          </w:tcPr>
          <w:p>
            <w:pPr>
              <w:spacing w:before="140" w:after="60" w:lineRule="auto" w:line="312"/>
              <w:ind w:left="198"/>
            </w:pPr>
            <w:r>
              <w:rPr>
                <w:rFonts w:ascii="맑은 고딕" w:hAnsi="맑은 고딕" w:eastAsia="맑은 고딕"/>
                <w:b/>
                <w:color w:val="1B365D"/>
                <w:sz w:val="21"/>
              </w:rPr>
              <w:t>이제는 신용시장이 대는 수요다</w:t>
            </w:r>
          </w:p>
          <w:p>
            <w:pPr>
              <w:spacing w:before="0" w:after="140" w:lineRule="auto" w:line="341"/>
              <w:ind w:left="198"/>
              <w:jc w:val="both"/>
            </w:pPr>
            <w:r>
              <w:rPr>
                <w:rFonts w:ascii="맑은 고딕" w:hAnsi="맑은 고딕" w:eastAsia="맑은 고딕"/>
                <w:b w:val="0"/>
                <w:color w:val="1A1A1A"/>
                <w:sz w:val="20"/>
              </w:rPr>
              <w:t>인공지능 전력수요는 더 이상 고객이 자기 현금으로 대는 수요가 아니다. 신용시장이 대는 수요다. 이것이 두산 수주잔고의 실제 기반이므로, 2029년 납기는 2027년과 2028년의 신용 여건에 걸려 있다. 고객의 신용도가 아주 높다는 점이 이 위험을 크게 줄이지만, 위험의 성격이 사업 위험에서 금융 위험으로 바뀌었다는 사실은 그대로다.</w:t>
            </w:r>
          </w:p>
        </w:tc>
      </w:tr>
    </w:tbl>
    <w:p>
      <w:pPr>
        <w:spacing w:before="0" w:after="200" w:lineRule="auto" w:line="348"/>
      </w:pPr>
    </w:p>
    <w:p>
      <w:pPr>
        <w:spacing w:before="120" w:after="80" w:lineRule="auto" w:line="348"/>
      </w:pPr>
      <w:r>
        <w:rPr>
          <w:rFonts w:ascii="맑은 고딕" w:hAnsi="맑은 고딕" w:eastAsia="맑은 고딕"/>
          <w:b/>
          <w:color w:val="1A1A1A"/>
          <w:sz w:val="21"/>
        </w:rPr>
        <w:t>기둥 3. 미국 재정 — 도와주는 것이 아니라 할인율을 올린다</w:t>
      </w:r>
    </w:p>
    <w:tbl>
      <w:tblPr>
        <w:tblW w:type="auto" w:w="0"/>
        <w:jc w:val="center"/>
        <w:tblLook w:firstColumn="1" w:firstRow="1" w:lastColumn="0" w:lastRow="0" w:noHBand="0" w:noVBand="1" w:val="04A0"/>
        <w:tblLayout w:type="fixed"/>
      </w:tblPr>
      <w:tblGrid>
        <w:gridCol w:w="4649"/>
        <w:gridCol w:w="4649"/>
      </w:tblGrid>
      <w:tr>
        <w:trPr>
          <w:tblHeader w:val="true"/>
        </w:trPr>
        <w:tc>
          <w:tcPr>
            <w:tcW w:type="dxa" w:w="3402"/>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지표</w:t>
            </w:r>
          </w:p>
        </w:tc>
        <w:tc>
          <w:tcPr>
            <w:tcW w:type="dxa" w:w="5669"/>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값</w:t>
            </w:r>
          </w:p>
        </w:tc>
      </w:tr>
      <w:tr>
        <w:tc>
          <w:tcPr>
            <w:tcW w:type="dxa" w:w="3402"/>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연방부채</w:t>
            </w:r>
          </w:p>
        </w:tc>
        <w:tc>
          <w:tcPr>
            <w:tcW w:type="dxa" w:w="5669"/>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39조 700억달러 (2026년 1월) · 국내총생산 대비 122.6%</w:t>
            </w:r>
          </w:p>
        </w:tc>
      </w:tr>
      <w:tr>
        <w:tc>
          <w:tcPr>
            <w:tcW w:type="dxa" w:w="3402"/>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최근 12개월 재정수지</w:t>
            </w:r>
          </w:p>
        </w:tc>
        <w:tc>
          <w:tcPr>
            <w:tcW w:type="dxa" w:w="5669"/>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-1조 9,460억달러 (직전 12개월 -1조 9,450억달러, 개선 없음)</w:t>
            </w:r>
          </w:p>
        </w:tc>
      </w:tr>
      <w:tr>
        <w:tc>
          <w:tcPr>
            <w:tcW w:type="dxa" w:w="3402"/>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연방 이자지급</w:t>
            </w:r>
          </w:p>
        </w:tc>
        <w:tc>
          <w:tcPr>
            <w:tcW w:type="dxa" w:w="5669"/>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연율 1조 2,470억달러</w:t>
            </w:r>
          </w:p>
        </w:tc>
      </w:tr>
      <w:tr>
        <w:tc>
          <w:tcPr>
            <w:tcW w:type="dxa" w:w="3402"/>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10년 국채금리 · 10년 실질금리</w:t>
            </w:r>
          </w:p>
        </w:tc>
        <w:tc>
          <w:tcPr>
            <w:tcW w:type="dxa" w:w="5669"/>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4.67% · 2.34%</w:t>
            </w:r>
          </w:p>
        </w:tc>
      </w:tr>
      <w:tr>
        <w:tc>
          <w:tcPr>
            <w:tcW w:type="dxa" w:w="3402"/>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소비자물가 전년비</w:t>
            </w:r>
          </w:p>
        </w:tc>
        <w:tc>
          <w:tcPr>
            <w:tcW w:type="dxa" w:w="5669"/>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+3.3%</w:t>
            </w:r>
          </w:p>
        </w:tc>
      </w:tr>
    </w:tbl>
    <w:p>
      <w:pPr>
        <w:spacing w:before="60" w:after="200" w:lineRule="auto" w:line="312"/>
      </w:pPr>
      <w:r>
        <w:rPr>
          <w:rFonts w:ascii="맑은 고딕" w:hAnsi="맑은 고딕" w:eastAsia="맑은 고딕"/>
          <w:b w:val="0"/>
          <w:color w:val="666B73"/>
          <w:sz w:val="17"/>
        </w:rPr>
        <w:t>세인트루이스 연준 경제지표 실측, 2026년 8월 29일 기준. 재정이 이 산업에 닿는 경로는 보조금이 아니라 금리다. 실질금리 2.34%는 30년짜리 발전자산의 할인율을 그대로 올리는데, 하필 고객들이 부채 조달로 넘어간 시점과 겹친다. 에너지부의 AP1000 175억달러 프로그램도 여전히 조건부 대출이며 의향서 7건에 구속계약은 0건이다. 미국 재정은 두산에 발주를 만들어 주지 않는다.</w:t>
      </w:r>
    </w:p>
    <w:p>
      <w:pPr>
        <w:spacing w:before="120" w:after="80" w:lineRule="auto" w:line="348"/>
      </w:pPr>
      <w:r>
        <w:rPr>
          <w:rFonts w:ascii="맑은 고딕" w:hAnsi="맑은 고딕" w:eastAsia="맑은 고딕"/>
          <w:b/>
          <w:color w:val="1A1A1A"/>
          <w:sz w:val="21"/>
        </w:rPr>
        <w:t>기둥 4. 관세 15퍼센트 — 두산에만 붙는 불리함</w:t>
      </w:r>
    </w:p>
    <w:p>
      <w:pPr>
        <w:spacing w:before="0" w:after="120" w:lineRule="auto" w:line="348"/>
        <w:jc w:val="both"/>
      </w:pPr>
      <w:r>
        <w:rPr>
          <w:rFonts w:ascii="맑은 고딕" w:hAnsi="맑은 고딕" w:eastAsia="맑은 고딕"/>
          <w:b w:val="0"/>
          <w:color w:val="1A1A1A"/>
          <w:sz w:val="21"/>
        </w:rPr>
        <w:t xml:space="preserve">2025년 12월 4일자 미 연방관보 “한미 전략무역투자합의의 관세 관련 요소 이행” 원문을 읽었다. 한국산 물품은 기본세율에 추가 종가세를 더해 </w:t>
      </w:r>
      <w:r>
        <w:rPr>
          <w:rFonts w:ascii="맑은 고딕" w:hAnsi="맑은 고딕" w:eastAsia="맑은 고딕"/>
          <w:b/>
          <w:color w:val="1B365D"/>
          <w:sz w:val="21"/>
        </w:rPr>
        <w:t>합계 15%</w:t>
      </w:r>
      <w:r>
        <w:rPr>
          <w:rFonts w:ascii="맑은 고딕" w:hAnsi="맑은 고딕" w:eastAsia="맑은 고딕"/>
          <w:b w:val="0"/>
          <w:color w:val="1A1A1A"/>
          <w:sz w:val="21"/>
        </w:rPr>
        <w:t xml:space="preserve">가 되도록 맞춰진다. 한미 자유무역협정으로 무관세였던 품목도 합쳐서 15%가 된다고 명시돼 있다. 면제 품목 목록에 가스터빈 세번(8411)이 들어 있기는 하나, 그 목록은 </w:t>
      </w:r>
      <w:r>
        <w:rPr>
          <w:rFonts w:ascii="맑은 고딕" w:hAnsi="맑은 고딕" w:eastAsia="맑은 고딕"/>
          <w:b/>
          <w:color w:val="1B365D"/>
          <w:sz w:val="21"/>
        </w:rPr>
        <w:t>민간항공기 부품 전용</w:t>
      </w:r>
      <w:r>
        <w:rPr>
          <w:rFonts w:ascii="맑은 고딕" w:hAnsi="맑은 고딕" w:eastAsia="맑은 고딕"/>
          <w:b w:val="0"/>
          <w:color w:val="1A1A1A"/>
          <w:sz w:val="21"/>
        </w:rPr>
        <w:t>이다. 발전용 산업 가스터빈은 해당하지 않는다. 곧 두산의 미국향 가스터빈은 15% 관세를 문다.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크기를 가늠하면 이렇다. 기당 1,000억원에서 1,500억원이라면 기당 150억원에서 225억원이고, 12기면 1,800억원에서 2,700억원이다. 부문 연간 영업이익이 1천억원 안팎이라는 점과 견주면 무시할 수 없다. 다만 기당 단가는 실측이 아니라 감도 계산을 위한 가정이다.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누가 부담하는지는 계약서의 인도조건에 달려 있고 공시에 없다. 확인하지 못했다.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업계가 실제로 관세를 맞고 있다는 간접 증거가 둘 있다. 페르미는 주주서한에서 자유무역지역 신청이 수입 발전설비에 의미 있는 관세 경감을 준다고 적었고, GE 조차 가스터빈 생산을 이유로 자유무역지역 신청을 냈다(2026년 2월 11일 연방관보).</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경쟁 구도로 보면 사우스캐롤라이나 그린빌에서 만드는 GE 대비 순수 열위다. 일본 미쓰비시와 독일 지멘스도 각국 합의로 15% 대역이라 대체로 동률이지만, 지멘스는 샬럿 공장이 있어 일부 우회가 가능하다. 관세는 두산의 빠른 납기라는 강점을 가격에서 깎는다.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무역확장법 232조 파생품 목록에는 아직 가스터빈 세번이 없다(2026년 8월 6일 확대 라운드 공람 원문 확인). 편입되면 15% 위에 더 얹힌다.</w:t>
      </w:r>
    </w:p>
    <w:p>
      <w:pPr>
        <w:spacing w:before="120" w:after="80" w:lineRule="auto" w:line="348"/>
      </w:pPr>
      <w:r>
        <w:rPr>
          <w:rFonts w:ascii="맑은 고딕" w:hAnsi="맑은 고딕" w:eastAsia="맑은 고딕"/>
          <w:b/>
          <w:color w:val="1A1A1A"/>
          <w:sz w:val="21"/>
        </w:rPr>
        <w:t>기둥 5. 두산이 만들 수 있는가 — 자기 목표가 자기 생산능력을 넘는다</w:t>
      </w:r>
    </w:p>
    <w:p>
      <w:pPr>
        <w:spacing w:before="0" w:after="120" w:lineRule="auto" w:line="348"/>
        <w:jc w:val="both"/>
      </w:pPr>
      <w:r>
        <w:rPr>
          <w:rFonts w:ascii="맑은 고딕" w:hAnsi="맑은 고딕" w:eastAsia="맑은 고딕"/>
          <w:b w:val="0"/>
          <w:color w:val="1A1A1A"/>
          <w:sz w:val="21"/>
        </w:rPr>
        <w:t xml:space="preserve">2025년 사업보고서의 생산능력 산출근거 원문은 이렇게 적었다. 가스터빈은 기준용량 380메가와트, 연간생산능력은 380메가와트에 8호기를 곱한 3,040메가와트이며 조립 스탠드 기준이다. 곧 </w:t>
      </w:r>
      <w:r>
        <w:rPr>
          <w:rFonts w:ascii="맑은 고딕" w:hAnsi="맑은 고딕" w:eastAsia="맑은 고딕"/>
          <w:b/>
          <w:color w:val="1B365D"/>
          <w:sz w:val="21"/>
        </w:rPr>
        <w:t>연 8기가 물리적 상한</w:t>
      </w:r>
      <w:r>
        <w:rPr>
          <w:rFonts w:ascii="맑은 고딕" w:hAnsi="맑은 고딕" w:eastAsia="맑은 고딕"/>
          <w:b w:val="0"/>
          <w:color w:val="1A1A1A"/>
          <w:sz w:val="21"/>
        </w:rPr>
        <w:t>이다. 같은 표에서 부대설비는 가스터빈과 스팀터빈 생산능력을 고려해 연 3,500메가와트로 잡혀 있다.</w:t>
      </w:r>
    </w:p>
    <w:tbl>
      <w:tblPr>
        <w:tblW w:type="auto" w:w="0"/>
        <w:jc w:val="center"/>
        <w:tblLook w:firstColumn="1" w:firstRow="1" w:lastColumn="0" w:lastRow="0" w:noHBand="0" w:noVBand="1" w:val="04A0"/>
        <w:tblLayout w:type="fixed"/>
      </w:tblPr>
      <w:tblGrid>
        <w:gridCol w:w="2324"/>
        <w:gridCol w:w="2324"/>
        <w:gridCol w:w="2324"/>
        <w:gridCol w:w="2324"/>
      </w:tblGrid>
      <w:tr>
        <w:trPr>
          <w:tblHeader w:val="true"/>
        </w:trPr>
        <w:tc>
          <w:tcPr>
            <w:tcW w:type="dxa" w:w="3742"/>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구간</w:t>
            </w:r>
          </w:p>
        </w:tc>
        <w:tc>
          <w:tcPr>
            <w:tcW w:type="dxa" w:w="1928"/>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필요 생산</w:t>
            </w:r>
          </w:p>
        </w:tc>
        <w:tc>
          <w:tcPr>
            <w:tcW w:type="dxa" w:w="1701"/>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연평균</w:t>
            </w:r>
          </w:p>
        </w:tc>
        <w:tc>
          <w:tcPr>
            <w:tcW w:type="dxa" w:w="1701"/>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상한(연 8기) 대비</w:t>
            </w:r>
          </w:p>
        </w:tc>
      </w:tr>
      <w:tr>
        <w:tc>
          <w:tcPr>
            <w:tcW w:type="dxa" w:w="3742"/>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누적 25기(2026년 2분기)에서 71기(2030년)</w:t>
            </w:r>
          </w:p>
        </w:tc>
        <w:tc>
          <w:tcPr>
            <w:tcW w:type="dxa" w:w="1928"/>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46기 / 약 4.5년</w:t>
            </w:r>
          </w:p>
        </w:tc>
        <w:tc>
          <w:tcPr>
            <w:tcW w:type="dxa" w:w="1701"/>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연 10.2기</w:t>
            </w:r>
          </w:p>
        </w:tc>
        <w:tc>
          <w:tcPr>
            <w:tcW w:type="dxa" w:w="1701"/>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128%</w:t>
            </w:r>
          </w:p>
        </w:tc>
      </w:tr>
      <w:tr>
        <w:tc>
          <w:tcPr>
            <w:tcW w:type="dxa" w:w="3742"/>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71기에서 110기(2034년)</w:t>
            </w:r>
          </w:p>
        </w:tc>
        <w:tc>
          <w:tcPr>
            <w:tcW w:type="dxa" w:w="1928"/>
            <w:vAlign w:val="center"/>
            <w:shd w:val="clear" w:fill="F4F6F8"/>
            <w:tcBorders>
              <w:top w:val="nil"/>
              <w:left w:val="nil"/>
              <w:bottom w:val="single" w:sz="10" w:color="1B365D"/>
              <w:right w:val="nil"/>
            </w:tcBorders>
          </w:tcPr>
          <w:p>
            <w:pPr>
              <w:spacing w:before="70" w:after="70" w:lineRule="auto" w:line="288"/>
              <w:jc w:val="center"/>
            </w:pPr>
            <w:r>
              <w:rPr>
                <w:rFonts w:ascii="맑은 고딕" w:hAnsi="맑은 고딕" w:eastAsia="맑은 고딕"/>
                <w:b w:val="0"/>
                <w:color w:val="1A1A1A"/>
                <w:sz w:val="19"/>
              </w:rPr>
              <w:t>39기 / 4년</w:t>
            </w:r>
          </w:p>
        </w:tc>
        <w:tc>
          <w:tcPr>
            <w:tcW w:type="dxa" w:w="1701"/>
            <w:vAlign w:val="center"/>
            <w:shd w:val="clear" w:fill="F4F6F8"/>
            <w:tcBorders>
              <w:top w:val="nil"/>
              <w:left w:val="nil"/>
              <w:bottom w:val="single" w:sz="10" w:color="1B365D"/>
              <w:right w:val="nil"/>
            </w:tcBorders>
          </w:tcPr>
          <w:p>
            <w:pPr>
              <w:spacing w:before="70" w:after="70" w:lineRule="auto" w:line="288"/>
              <w:jc w:val="center"/>
            </w:pPr>
            <w:r>
              <w:rPr>
                <w:rFonts w:ascii="맑은 고딕" w:hAnsi="맑은 고딕" w:eastAsia="맑은 고딕"/>
                <w:b/>
                <w:color w:val="1B365D"/>
                <w:sz w:val="19"/>
              </w:rPr>
              <w:t>연 9.8기</w:t>
            </w:r>
          </w:p>
        </w:tc>
        <w:tc>
          <w:tcPr>
            <w:tcW w:type="dxa" w:w="1701"/>
            <w:vAlign w:val="center"/>
            <w:shd w:val="clear" w:fill="F4F6F8"/>
            <w:tcBorders>
              <w:top w:val="nil"/>
              <w:left w:val="nil"/>
              <w:bottom w:val="single" w:sz="10" w:color="1B365D"/>
              <w:right w:val="nil"/>
            </w:tcBorders>
          </w:tcPr>
          <w:p>
            <w:pPr>
              <w:spacing w:before="70" w:after="70" w:lineRule="auto" w:line="288"/>
              <w:jc w:val="center"/>
            </w:pPr>
            <w:r>
              <w:rPr>
                <w:rFonts w:ascii="맑은 고딕" w:hAnsi="맑은 고딕" w:eastAsia="맑은 고딕"/>
                <w:b/>
                <w:color w:val="1B365D"/>
                <w:sz w:val="19"/>
              </w:rPr>
              <w:t>123%</w:t>
            </w:r>
          </w:p>
        </w:tc>
      </w:tr>
    </w:tbl>
    <w:p>
      <w:pPr>
        <w:spacing w:before="60" w:after="200" w:lineRule="auto" w:line="312"/>
      </w:pPr>
      <w:r>
        <w:rPr>
          <w:rFonts w:ascii="맑은 고딕" w:hAnsi="맑은 고딕" w:eastAsia="맑은 고딕"/>
          <w:b w:val="0"/>
          <w:color w:val="666B73"/>
          <w:sz w:val="17"/>
        </w:rPr>
        <w:t>회사가 제시한 로드맵은 현재 생산능력으로는 산술적으로 닿지 않는다. 최소 25% 증설이 전제다. 사업보고서는 적시 생산 역량을 확보하고자 설비 혁신을 추진하며 공급망 확대로 최적의 제작 능력을 확보할 예정이라고만 적었고, 완공 시점도 금액도 목표 대수도 없다.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2026년 3월 6일 계약 한 건이 2029년 5월부터 월 1기씩 7기다. 곧 2029년 조립 슬롯 8개 가운데 7개를 고객 한 곳이 가져간다. 여기에 텍사스행 스팀터빈 4기와 부대설비 상한이 겹친다.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새 라인업이 하나 있다. 두산이 90메가와트급 중형 가스터빈 설계를 마치고 시제품을 만들고 있으며 2027년 6월 완제품 출고 뒤 하반기에 글로벌 수주전에 들어간다는 보도가 있다. 중소규모 데이터센터가 표적이다. 다만 언론 보도이고 회사 공식 발표나 공시로는 확인하지 못했다. 사실이라면 대형 8기 슬롯과 다른 라인이므로 위 상한 계산을 우회한다.</w:t>
      </w:r>
    </w:p>
    <w:tbl>
      <w:tblPr>
        <w:tblW w:type="auto" w:w="0"/>
        <w:jc w:val="center"/>
        <w:tblLook w:firstColumn="1" w:firstRow="1" w:lastColumn="0" w:lastRow="0" w:noHBand="0" w:noVBand="1" w:val="04A0"/>
      </w:tblPr>
      <w:tblGrid>
        <w:gridCol w:w="9298"/>
      </w:tblGrid>
      <w:tr>
        <w:tc>
          <w:tcPr>
            <w:tcW w:type="dxa" w:w="9298"/>
            <w:shd w:val="clear" w:fill="F7F5EF"/>
            <w:tcBorders>
              <w:top w:val="nil"/>
              <w:left w:val="single" w:sz="24" w:color="1B365D"/>
              <w:bottom w:val="nil"/>
              <w:right w:val="nil"/>
            </w:tcBorders>
          </w:tcPr>
          <w:p>
            <w:pPr>
              <w:spacing w:before="140" w:after="60" w:lineRule="auto" w:line="312"/>
              <w:ind w:left="198"/>
            </w:pPr>
            <w:r>
              <w:rPr>
                <w:rFonts w:ascii="맑은 고딕" w:hAnsi="맑은 고딕" w:eastAsia="맑은 고딕"/>
                <w:b/>
                <w:color w:val="1B365D"/>
                <w:sz w:val="21"/>
              </w:rPr>
              <w:t>다섯 기둥을 한 문장으로</w:t>
            </w:r>
          </w:p>
          <w:p>
            <w:pPr>
              <w:spacing w:before="0" w:after="140" w:lineRule="auto" w:line="341"/>
              <w:ind w:left="198"/>
              <w:jc w:val="both"/>
            </w:pPr>
            <w:r>
              <w:rPr>
                <w:rFonts w:ascii="맑은 고딕" w:hAnsi="맑은 고딕" w:eastAsia="맑은 고딕"/>
                <w:b w:val="0"/>
                <w:color w:val="1A1A1A"/>
                <w:sz w:val="20"/>
              </w:rPr>
              <w:t>수요는 식지 않았고, 그 돈은 빚으로 바뀌었고, 나라는 금리로 방해하고, 관세가 마진을 깎고, 정작 두산은 2029년까지 더 만들 수도 없다. 그래서 가스터빈 축의 위험은 수요가 사라지는 것이 아니다. 2029년까지 수요 위험은 사실상 없다. 슬롯이 이미 찼기 때문이다. 위험은 고객 집중과 관세와 생산능력 셋으로 옮겨갔다. 그리고 같은 이유로 상방도 막힌다. 수요가 두 배가 되어도 연 8기 이상 팔 수 없다. 7장의 역산이 요구하는 본체 이익 성장을 가스터빈 혼자로는 만들 수 없다는 뜻이다.</w:t>
            </w:r>
          </w:p>
        </w:tc>
      </w:tr>
    </w:tbl>
    <w:p>
      <w:pPr>
        <w:spacing w:before="0" w:after="200" w:lineRule="auto" w:line="348"/>
      </w:pPr>
    </w:p>
    <w:p>
      <w:pPr>
        <w:spacing w:before="400" w:after="40" w:lineRule="auto" w:line="288"/>
        <w:outlineLvl w:val="0"/>
        <w:keepNext/>
      </w:pPr>
      <w:r>
        <w:rPr>
          <w:rFonts w:ascii="맑은 고딕" w:hAnsi="맑은 고딕" w:eastAsia="맑은 고딕"/>
          <w:b/>
          <w:color w:val="1B365D"/>
          <w:sz w:val="28"/>
        </w:rPr>
        <w:t xml:space="preserve">4.  </w:t>
      </w:r>
      <w:r>
        <w:rPr>
          <w:rFonts w:ascii="맑은 고딕" w:hAnsi="맑은 고딕" w:eastAsia="맑은 고딕"/>
          <w:b/>
          <w:color w:val="1B365D"/>
          <w:sz w:val="28"/>
        </w:rPr>
        <w:t>실적</w:t>
      </w:r>
    </w:p>
    <w:p>
      <w:pPr>
        <w:spacing w:before="0" w:after="200" w:lineRule="auto" w:line="240"/>
        <w:pBdr>
          <w:bottom w:val="single" w:sz="10" w:space="1" w:color="1B365D"/>
        </w:pBdr>
      </w:pPr>
    </w:p>
    <w:p>
      <w:pPr>
        <w:spacing w:before="260" w:after="80" w:lineRule="auto" w:line="288"/>
        <w:outlineLvl w:val="1"/>
        <w:keepNext/>
      </w:pPr>
      <w:r>
        <w:rPr>
          <w:rFonts w:ascii="맑은 고딕" w:hAnsi="맑은 고딕" w:eastAsia="맑은 고딕"/>
          <w:b/>
          <w:color w:val="1B365D"/>
          <w:sz w:val="23"/>
        </w:rPr>
        <w:t>연결 기준 — 밥캣을 포함한 숫자</w:t>
      </w:r>
    </w:p>
    <w:tbl>
      <w:tblPr>
        <w:tblW w:type="auto" w:w="0"/>
        <w:jc w:val="center"/>
        <w:tblLook w:firstColumn="1" w:firstRow="1" w:lastColumn="0" w:lastRow="0" w:noHBand="0" w:noVBand="1" w:val="04A0"/>
        <w:tblLayout w:type="fixed"/>
      </w:tblPr>
      <w:tblGrid>
        <w:gridCol w:w="2324"/>
        <w:gridCol w:w="2324"/>
        <w:gridCol w:w="2324"/>
        <w:gridCol w:w="2324"/>
      </w:tblGrid>
      <w:tr>
        <w:trPr>
          <w:tblHeader w:val="true"/>
        </w:trPr>
        <w:tc>
          <w:tcPr>
            <w:tcW w:type="dxa" w:w="2835"/>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항목</w:t>
            </w:r>
          </w:p>
        </w:tc>
        <w:tc>
          <w:tcPr>
            <w:tcW w:type="dxa" w:w="215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2026년 상반기</w:t>
            </w:r>
          </w:p>
        </w:tc>
        <w:tc>
          <w:tcPr>
            <w:tcW w:type="dxa" w:w="215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2025년 상반기</w:t>
            </w:r>
          </w:p>
        </w:tc>
        <w:tc>
          <w:tcPr>
            <w:tcW w:type="dxa" w:w="215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증감</w:t>
            </w:r>
          </w:p>
        </w:tc>
      </w:tr>
      <w:tr>
        <w:tc>
          <w:tcPr>
            <w:tcW w:type="dxa" w:w="283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매출액</w:t>
            </w:r>
          </w:p>
        </w:tc>
        <w:tc>
          <w:tcPr>
            <w:tcW w:type="dxa" w:w="215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8.99조원</w:t>
            </w:r>
          </w:p>
        </w:tc>
        <w:tc>
          <w:tcPr>
            <w:tcW w:type="dxa" w:w="215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8.32조원</w:t>
            </w:r>
          </w:p>
        </w:tc>
        <w:tc>
          <w:tcPr>
            <w:tcW w:type="dxa" w:w="215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+8.0%</w:t>
            </w:r>
          </w:p>
        </w:tc>
      </w:tr>
      <w:tr>
        <w:tc>
          <w:tcPr>
            <w:tcW w:type="dxa" w:w="283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매출총이익</w:t>
            </w:r>
          </w:p>
        </w:tc>
        <w:tc>
          <w:tcPr>
            <w:tcW w:type="dxa" w:w="215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1.63조원</w:t>
            </w:r>
          </w:p>
        </w:tc>
        <w:tc>
          <w:tcPr>
            <w:tcW w:type="dxa" w:w="215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1.34조원</w:t>
            </w:r>
          </w:p>
        </w:tc>
        <w:tc>
          <w:tcPr>
            <w:tcW w:type="dxa" w:w="215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+21.3%</w:t>
            </w:r>
          </w:p>
        </w:tc>
      </w:tr>
      <w:tr>
        <w:tc>
          <w:tcPr>
            <w:tcW w:type="dxa" w:w="283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영업이익</w:t>
            </w:r>
          </w:p>
        </w:tc>
        <w:tc>
          <w:tcPr>
            <w:tcW w:type="dxa" w:w="215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5,478억원</w:t>
            </w:r>
          </w:p>
        </w:tc>
        <w:tc>
          <w:tcPr>
            <w:tcW w:type="dxa" w:w="215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4,136억원</w:t>
            </w:r>
          </w:p>
        </w:tc>
        <w:tc>
          <w:tcPr>
            <w:tcW w:type="dxa" w:w="215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+32.4%</w:t>
            </w:r>
          </w:p>
        </w:tc>
      </w:tr>
      <w:tr>
        <w:tc>
          <w:tcPr>
            <w:tcW w:type="dxa" w:w="283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반기순이익</w:t>
            </w:r>
          </w:p>
        </w:tc>
        <w:tc>
          <w:tcPr>
            <w:tcW w:type="dxa" w:w="215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2,866억원</w:t>
            </w:r>
          </w:p>
        </w:tc>
        <w:tc>
          <w:tcPr>
            <w:tcW w:type="dxa" w:w="215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1,767억원</w:t>
            </w:r>
          </w:p>
        </w:tc>
        <w:tc>
          <w:tcPr>
            <w:tcW w:type="dxa" w:w="215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+62.2%</w:t>
            </w:r>
          </w:p>
        </w:tc>
      </w:tr>
      <w:tr>
        <w:tc>
          <w:tcPr>
            <w:tcW w:type="dxa" w:w="283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 xml:space="preserve">  지배주주 몫</w:t>
            </w:r>
          </w:p>
        </w:tc>
        <w:tc>
          <w:tcPr>
            <w:tcW w:type="dxa" w:w="215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1,584억원</w:t>
            </w:r>
          </w:p>
        </w:tc>
        <w:tc>
          <w:tcPr>
            <w:tcW w:type="dxa" w:w="215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621억원</w:t>
            </w:r>
          </w:p>
        </w:tc>
        <w:tc>
          <w:tcPr>
            <w:tcW w:type="dxa" w:w="215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+155%</w:t>
            </w:r>
          </w:p>
        </w:tc>
      </w:tr>
      <w:tr>
        <w:tc>
          <w:tcPr>
            <w:tcW w:type="dxa" w:w="2835"/>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color w:val="1B365D"/>
                <w:sz w:val="19"/>
              </w:rPr>
              <w:t>영업활동현금흐름</w:t>
            </w:r>
          </w:p>
        </w:tc>
        <w:tc>
          <w:tcPr>
            <w:tcW w:type="dxa" w:w="2154"/>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color w:val="1B365D"/>
                <w:sz w:val="19"/>
              </w:rPr>
              <w:t>-8,867억원</w:t>
            </w:r>
          </w:p>
        </w:tc>
        <w:tc>
          <w:tcPr>
            <w:tcW w:type="dxa" w:w="2154"/>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확인 못 함</w:t>
            </w:r>
          </w:p>
        </w:tc>
        <w:tc>
          <w:tcPr>
            <w:tcW w:type="dxa" w:w="2154"/>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w:t>
            </w:r>
          </w:p>
        </w:tc>
      </w:tr>
    </w:tbl>
    <w:p>
      <w:pPr>
        <w:spacing w:before="60" w:after="200" w:lineRule="auto" w:line="312"/>
      </w:pPr>
      <w:r>
        <w:rPr>
          <w:rFonts w:ascii="맑은 고딕" w:hAnsi="맑은 고딕" w:eastAsia="맑은 고딕"/>
          <w:b w:val="0"/>
          <w:color w:val="666B73"/>
          <w:sz w:val="17"/>
        </w:rPr>
        <w:t>자료: DART 2026년 반기보고서(연결). 손익은 반기 누계 원문 값이다.</w:t>
      </w:r>
    </w:p>
    <w:tbl>
      <w:tblPr>
        <w:tblW w:type="auto" w:w="0"/>
        <w:jc w:val="center"/>
        <w:tblLook w:firstColumn="1" w:firstRow="1" w:lastColumn="0" w:lastRow="0" w:noHBand="0" w:noVBand="1" w:val="04A0"/>
      </w:tblPr>
      <w:tblGrid>
        <w:gridCol w:w="9298"/>
      </w:tblGrid>
      <w:tr>
        <w:tc>
          <w:tcPr>
            <w:tcW w:type="dxa" w:w="9298"/>
            <w:shd w:val="clear" w:fill="F7F5EF"/>
            <w:tcBorders>
              <w:top w:val="nil"/>
              <w:left w:val="single" w:sz="24" w:color="1B365D"/>
              <w:bottom w:val="nil"/>
              <w:right w:val="nil"/>
            </w:tcBorders>
          </w:tcPr>
          <w:p>
            <w:pPr>
              <w:spacing w:before="140" w:after="60" w:lineRule="auto" w:line="312"/>
              <w:ind w:left="198"/>
            </w:pPr>
            <w:r>
              <w:rPr>
                <w:rFonts w:ascii="맑은 고딕" w:hAnsi="맑은 고딕" w:eastAsia="맑은 고딕"/>
                <w:b/>
                <w:color w:val="1B365D"/>
                <w:sz w:val="21"/>
              </w:rPr>
              <w:t>데이터 처리상 유의점</w:t>
            </w:r>
          </w:p>
          <w:p>
            <w:pPr>
              <w:spacing w:before="0" w:after="140" w:lineRule="auto" w:line="341"/>
              <w:ind w:left="198"/>
              <w:jc w:val="both"/>
            </w:pPr>
            <w:r>
              <w:rPr>
                <w:rFonts w:ascii="맑은 고딕" w:hAnsi="맑은 고딕" w:eastAsia="맑은 고딕"/>
                <w:b w:val="0"/>
                <w:color w:val="1A1A1A"/>
                <w:sz w:val="20"/>
              </w:rPr>
              <w:t>DART 반기보고서 손익계산서에는 3개월 단독 칸과 반기 누계 칸이 함께 들어 있다. 리포의 module_fundamentals_kr 은 3개월 칸을 읽어 반기 매출을 4.72조원, 영업이익을 3,143억원으로 보고한다. 반면 현금흐름표는 누계뿐이다. 두 칸을 나누면 영업활동현금흐름 대 영업이익 비율이 -2.82로 나오는데, 기간이 어긋난 값이다. 반기 누계로 맞추면 -1.62다. 위 표는 원문의 누계 칸을 직접 읽은 값이다.</w:t>
            </w:r>
          </w:p>
        </w:tc>
      </w:tr>
    </w:tbl>
    <w:p>
      <w:pPr>
        <w:spacing w:before="0" w:after="200" w:lineRule="auto" w:line="348"/>
      </w:pPr>
    </w:p>
    <w:p>
      <w:pPr>
        <w:spacing w:before="260" w:after="80" w:lineRule="auto" w:line="288"/>
        <w:outlineLvl w:val="1"/>
        <w:keepNext/>
      </w:pPr>
      <w:r>
        <w:rPr>
          <w:rFonts w:ascii="맑은 고딕" w:hAnsi="맑은 고딕" w:eastAsia="맑은 고딕"/>
          <w:b/>
          <w:color w:val="1B365D"/>
          <w:sz w:val="23"/>
        </w:rPr>
        <w:t>부문 기준 — 원전·가스터빈 본체만</w:t>
      </w:r>
    </w:p>
    <w:tbl>
      <w:tblPr>
        <w:tblW w:type="auto" w:w="0"/>
        <w:jc w:val="center"/>
        <w:tblLook w:firstColumn="1" w:firstRow="1" w:lastColumn="0" w:lastRow="0" w:noHBand="0" w:noVBand="1" w:val="04A0"/>
        <w:tblLayout w:type="fixed"/>
      </w:tblPr>
      <w:tblGrid>
        <w:gridCol w:w="2324"/>
        <w:gridCol w:w="2324"/>
        <w:gridCol w:w="2324"/>
        <w:gridCol w:w="2324"/>
      </w:tblGrid>
      <w:tr>
        <w:trPr>
          <w:tblHeader w:val="true"/>
        </w:trPr>
        <w:tc>
          <w:tcPr>
            <w:tcW w:type="dxa" w:w="2835"/>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항목</w:t>
            </w:r>
          </w:p>
        </w:tc>
        <w:tc>
          <w:tcPr>
            <w:tcW w:type="dxa" w:w="215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2026년 상반기</w:t>
            </w:r>
          </w:p>
        </w:tc>
        <w:tc>
          <w:tcPr>
            <w:tcW w:type="dxa" w:w="215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2025년 상반기</w:t>
            </w:r>
          </w:p>
        </w:tc>
        <w:tc>
          <w:tcPr>
            <w:tcW w:type="dxa" w:w="215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증감</w:t>
            </w:r>
          </w:p>
        </w:tc>
      </w:tr>
      <w:tr>
        <w:tc>
          <w:tcPr>
            <w:tcW w:type="dxa" w:w="283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수주</w:t>
            </w:r>
          </w:p>
        </w:tc>
        <w:tc>
          <w:tcPr>
            <w:tcW w:type="dxa" w:w="215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7.12조원</w:t>
            </w:r>
          </w:p>
        </w:tc>
        <w:tc>
          <w:tcPr>
            <w:tcW w:type="dxa" w:w="215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3.76조원</w:t>
            </w:r>
          </w:p>
        </w:tc>
        <w:tc>
          <w:tcPr>
            <w:tcW w:type="dxa" w:w="215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+89.6%</w:t>
            </w:r>
          </w:p>
        </w:tc>
      </w:tr>
      <w:tr>
        <w:tc>
          <w:tcPr>
            <w:tcW w:type="dxa" w:w="283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수주잔고</w:t>
            </w:r>
          </w:p>
        </w:tc>
        <w:tc>
          <w:tcPr>
            <w:tcW w:type="dxa" w:w="215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26.35조원</w:t>
            </w:r>
          </w:p>
        </w:tc>
        <w:tc>
          <w:tcPr>
            <w:tcW w:type="dxa" w:w="215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16.42조원</w:t>
            </w:r>
          </w:p>
        </w:tc>
        <w:tc>
          <w:tcPr>
            <w:tcW w:type="dxa" w:w="215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+60.4%</w:t>
            </w:r>
          </w:p>
        </w:tc>
      </w:tr>
      <w:tr>
        <w:tc>
          <w:tcPr>
            <w:tcW w:type="dxa" w:w="283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매출액</w:t>
            </w:r>
          </w:p>
        </w:tc>
        <w:tc>
          <w:tcPr>
            <w:tcW w:type="dxa" w:w="215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4.13조원</w:t>
            </w:r>
          </w:p>
        </w:tc>
        <w:tc>
          <w:tcPr>
            <w:tcW w:type="dxa" w:w="215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3.84조원</w:t>
            </w:r>
          </w:p>
        </w:tc>
        <w:tc>
          <w:tcPr>
            <w:tcW w:type="dxa" w:w="215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+7.4%</w:t>
            </w:r>
          </w:p>
        </w:tc>
      </w:tr>
      <w:tr>
        <w:tc>
          <w:tcPr>
            <w:tcW w:type="dxa" w:w="283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영업이익</w:t>
            </w:r>
          </w:p>
        </w:tc>
        <w:tc>
          <w:tcPr>
            <w:tcW w:type="dxa" w:w="215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1,544억원</w:t>
            </w:r>
          </w:p>
        </w:tc>
        <w:tc>
          <w:tcPr>
            <w:tcW w:type="dxa" w:w="215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910억원</w:t>
            </w:r>
          </w:p>
        </w:tc>
        <w:tc>
          <w:tcPr>
            <w:tcW w:type="dxa" w:w="215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+70%</w:t>
            </w:r>
          </w:p>
        </w:tc>
      </w:tr>
      <w:tr>
        <w:tc>
          <w:tcPr>
            <w:tcW w:type="dxa" w:w="283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영업이익률</w:t>
            </w:r>
          </w:p>
        </w:tc>
        <w:tc>
          <w:tcPr>
            <w:tcW w:type="dxa" w:w="215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3.7%</w:t>
            </w:r>
          </w:p>
        </w:tc>
        <w:tc>
          <w:tcPr>
            <w:tcW w:type="dxa" w:w="215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2.4%</w:t>
            </w:r>
          </w:p>
        </w:tc>
        <w:tc>
          <w:tcPr>
            <w:tcW w:type="dxa" w:w="215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+1.3%포인트</w:t>
            </w:r>
          </w:p>
        </w:tc>
      </w:tr>
      <w:tr>
        <w:tc>
          <w:tcPr>
            <w:tcW w:type="dxa" w:w="283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순이익</w:t>
            </w:r>
          </w:p>
        </w:tc>
        <w:tc>
          <w:tcPr>
            <w:tcW w:type="dxa" w:w="215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535억원</w:t>
            </w:r>
          </w:p>
        </w:tc>
        <w:tc>
          <w:tcPr>
            <w:tcW w:type="dxa" w:w="215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214억원</w:t>
            </w:r>
          </w:p>
        </w:tc>
        <w:tc>
          <w:tcPr>
            <w:tcW w:type="dxa" w:w="215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+150%</w:t>
            </w:r>
          </w:p>
        </w:tc>
      </w:tr>
      <w:tr>
        <w:tc>
          <w:tcPr>
            <w:tcW w:type="dxa" w:w="283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순차입금</w:t>
            </w:r>
          </w:p>
        </w:tc>
        <w:tc>
          <w:tcPr>
            <w:tcW w:type="dxa" w:w="215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4.03조원</w:t>
            </w:r>
          </w:p>
        </w:tc>
        <w:tc>
          <w:tcPr>
            <w:tcW w:type="dxa" w:w="215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3.58조원</w:t>
            </w:r>
          </w:p>
        </w:tc>
        <w:tc>
          <w:tcPr>
            <w:tcW w:type="dxa" w:w="215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+4,913억원</w:t>
            </w:r>
          </w:p>
        </w:tc>
      </w:tr>
      <w:tr>
        <w:tc>
          <w:tcPr>
            <w:tcW w:type="dxa" w:w="2835"/>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부채비율</w:t>
            </w:r>
          </w:p>
        </w:tc>
        <w:tc>
          <w:tcPr>
            <w:tcW w:type="dxa" w:w="2154"/>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151.6%</w:t>
            </w:r>
          </w:p>
        </w:tc>
        <w:tc>
          <w:tcPr>
            <w:tcW w:type="dxa" w:w="2154"/>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135.5%</w:t>
            </w:r>
          </w:p>
        </w:tc>
        <w:tc>
          <w:tcPr>
            <w:tcW w:type="dxa" w:w="2154"/>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+16.1%포인트</w:t>
            </w:r>
          </w:p>
        </w:tc>
      </w:tr>
    </w:tbl>
    <w:p>
      <w:pPr>
        <w:spacing w:before="60" w:after="200" w:lineRule="auto" w:line="312"/>
      </w:pPr>
      <w:r>
        <w:rPr>
          <w:rFonts w:ascii="맑은 고딕" w:hAnsi="맑은 고딕" w:eastAsia="맑은 고딕"/>
          <w:b w:val="0"/>
          <w:color w:val="666B73"/>
          <w:sz w:val="17"/>
        </w:rPr>
        <w:t>자료: 회사 2026년 2분기 기업설명회 자료. 부문은 별도재무제표와 해외자회사를 합친 회사 내부관리연결 기준이다.</w:t>
      </w:r>
    </w:p>
    <w:p>
      <w:pPr>
        <w:spacing w:before="260" w:after="80" w:lineRule="auto" w:line="288"/>
        <w:outlineLvl w:val="1"/>
        <w:keepNext/>
      </w:pPr>
      <w:r>
        <w:rPr>
          <w:rFonts w:ascii="맑은 고딕" w:hAnsi="맑은 고딕" w:eastAsia="맑은 고딕"/>
          <w:b/>
          <w:color w:val="1B365D"/>
          <w:sz w:val="23"/>
        </w:rPr>
        <w:t>이익의 출처 — 이 보고서에서 가장 중요한 한 표</w:t>
      </w:r>
    </w:p>
    <w:tbl>
      <w:tblPr>
        <w:tblW w:type="auto" w:w="0"/>
        <w:jc w:val="center"/>
        <w:tblLook w:firstColumn="1" w:firstRow="1" w:lastColumn="0" w:lastRow="0" w:noHBand="0" w:noVBand="1" w:val="04A0"/>
        <w:tblLayout w:type="fixed"/>
      </w:tblPr>
      <w:tblGrid>
        <w:gridCol w:w="2324"/>
        <w:gridCol w:w="2324"/>
        <w:gridCol w:w="2324"/>
        <w:gridCol w:w="2324"/>
      </w:tblGrid>
      <w:tr>
        <w:trPr>
          <w:tblHeader w:val="true"/>
        </w:trPr>
        <w:tc>
          <w:tcPr>
            <w:tcW w:type="dxa" w:w="2268"/>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출처</w:t>
            </w:r>
          </w:p>
        </w:tc>
        <w:tc>
          <w:tcPr>
            <w:tcW w:type="dxa" w:w="1701"/>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2026년 추정</w:t>
            </w:r>
          </w:p>
        </w:tc>
        <w:tc>
          <w:tcPr>
            <w:tcW w:type="dxa" w:w="1020"/>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비중</w:t>
            </w:r>
          </w:p>
        </w:tc>
        <w:tc>
          <w:tcPr>
            <w:tcW w:type="dxa" w:w="4309"/>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산출 근거</w:t>
            </w:r>
          </w:p>
        </w:tc>
      </w:tr>
      <w:tr>
        <w:tc>
          <w:tcPr>
            <w:tcW w:type="dxa" w:w="226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두산밥캣 지분 몫</w:t>
            </w:r>
          </w:p>
        </w:tc>
        <w:tc>
          <w:tcPr>
            <w:tcW w:type="dxa" w:w="170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약 2,713억원</w:t>
            </w:r>
          </w:p>
        </w:tc>
        <w:tc>
          <w:tcPr>
            <w:tcW w:type="dxa" w:w="1020"/>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85%</w:t>
            </w:r>
          </w:p>
        </w:tc>
        <w:tc>
          <w:tcPr>
            <w:tcW w:type="dxa" w:w="4309"/>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밥캣 2026년 추정 지배순이익 5,625억원(주당 5,868원 곱하기 9,586만주)에 지분 48.23%</w:t>
            </w:r>
          </w:p>
        </w:tc>
      </w:tr>
      <w:tr>
        <w:tc>
          <w:tcPr>
            <w:tcW w:type="dxa" w:w="226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두산에너빌리티 본체</w:t>
            </w:r>
          </w:p>
        </w:tc>
        <w:tc>
          <w:tcPr>
            <w:tcW w:type="dxa" w:w="170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약 1,000억원</w:t>
            </w:r>
          </w:p>
        </w:tc>
        <w:tc>
          <w:tcPr>
            <w:tcW w:type="dxa" w:w="1020"/>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31%</w:t>
            </w:r>
          </w:p>
        </w:tc>
        <w:tc>
          <w:tcPr>
            <w:tcW w:type="dxa" w:w="4309"/>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부문 상반기 순이익 535억원의 연간 환산</w:t>
            </w:r>
          </w:p>
        </w:tc>
      </w:tr>
      <w:tr>
        <w:tc>
          <w:tcPr>
            <w:tcW w:type="dxa" w:w="226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두산퓨얼셀 지분 몫</w:t>
            </w:r>
          </w:p>
        </w:tc>
        <w:tc>
          <w:tcPr>
            <w:tcW w:type="dxa" w:w="170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약 -400억원</w:t>
            </w:r>
          </w:p>
        </w:tc>
        <w:tc>
          <w:tcPr>
            <w:tcW w:type="dxa" w:w="1020"/>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-13%</w:t>
            </w:r>
          </w:p>
        </w:tc>
        <w:tc>
          <w:tcPr>
            <w:tcW w:type="dxa" w:w="4309"/>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퓨얼셀 2026년 추정 주당손실 1,099원에 지분 30.33%</w:t>
            </w:r>
          </w:p>
        </w:tc>
      </w:tr>
      <w:tr>
        <w:tc>
          <w:tcPr>
            <w:tcW w:type="dxa" w:w="226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기타 및 연결조정</w:t>
            </w:r>
          </w:p>
        </w:tc>
        <w:tc>
          <w:tcPr>
            <w:tcW w:type="dxa" w:w="170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약 -120억원</w:t>
            </w:r>
          </w:p>
        </w:tc>
        <w:tc>
          <w:tcPr>
            <w:tcW w:type="dxa" w:w="1020"/>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-4%</w:t>
            </w:r>
          </w:p>
        </w:tc>
        <w:tc>
          <w:tcPr>
            <w:tcW w:type="dxa" w:w="4309"/>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잔차</w:t>
            </w:r>
          </w:p>
        </w:tc>
      </w:tr>
      <w:tr>
        <w:tc>
          <w:tcPr>
            <w:tcW w:type="dxa" w:w="2268"/>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color w:val="1B365D"/>
                <w:sz w:val="19"/>
              </w:rPr>
              <w:t>합계 (컨센서스)</w:t>
            </w:r>
          </w:p>
        </w:tc>
        <w:tc>
          <w:tcPr>
            <w:tcW w:type="dxa" w:w="1701"/>
            <w:vAlign w:val="center"/>
            <w:tcBorders>
              <w:top w:val="nil"/>
              <w:left w:val="nil"/>
              <w:bottom w:val="single" w:sz="10" w:color="1B365D"/>
              <w:right w:val="nil"/>
            </w:tcBorders>
          </w:tcPr>
          <w:p>
            <w:pPr>
              <w:spacing w:before="70" w:after="70" w:lineRule="auto" w:line="288"/>
              <w:jc w:val="right"/>
            </w:pPr>
            <w:r>
              <w:rPr>
                <w:rFonts w:ascii="맑은 고딕" w:hAnsi="맑은 고딕" w:eastAsia="맑은 고딕"/>
                <w:b/>
                <w:color w:val="1B365D"/>
                <w:sz w:val="19"/>
              </w:rPr>
              <w:t>3,193억원</w:t>
            </w:r>
          </w:p>
        </w:tc>
        <w:tc>
          <w:tcPr>
            <w:tcW w:type="dxa" w:w="1020"/>
            <w:vAlign w:val="center"/>
            <w:tcBorders>
              <w:top w:val="nil"/>
              <w:left w:val="nil"/>
              <w:bottom w:val="single" w:sz="10" w:color="1B365D"/>
              <w:right w:val="nil"/>
            </w:tcBorders>
          </w:tcPr>
          <w:p>
            <w:pPr>
              <w:spacing w:before="70" w:after="70" w:lineRule="auto" w:line="288"/>
              <w:jc w:val="right"/>
            </w:pPr>
            <w:r>
              <w:rPr>
                <w:rFonts w:ascii="맑은 고딕" w:hAnsi="맑은 고딕" w:eastAsia="맑은 고딕"/>
                <w:b/>
                <w:color w:val="1B365D"/>
                <w:sz w:val="19"/>
              </w:rPr>
              <w:t>100%</w:t>
            </w:r>
          </w:p>
        </w:tc>
        <w:tc>
          <w:tcPr>
            <w:tcW w:type="dxa" w:w="4309"/>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FnGuide 2026년 지배주주 순이익 컨센서스</w:t>
            </w:r>
          </w:p>
        </w:tc>
      </w:tr>
    </w:tbl>
    <w:p>
      <w:pPr>
        <w:spacing w:before="60" w:after="200" w:lineRule="auto" w:line="312"/>
      </w:pPr>
      <w:r>
        <w:rPr>
          <w:rFonts w:ascii="맑은 고딕" w:hAnsi="맑은 고딕" w:eastAsia="맑은 고딕"/>
          <w:b w:val="0"/>
          <w:color w:val="666B73"/>
          <w:sz w:val="17"/>
        </w:rPr>
        <w:t>본체 몫은 부문 순이익을 연간 환산한 추정치다. 회사는 부문별 순이익을 공시하지 않는다.</w:t>
      </w:r>
    </w:p>
    <w:p>
      <w:pPr>
        <w:spacing w:before="0" w:after="120" w:lineRule="auto" w:line="348"/>
        <w:jc w:val="both"/>
      </w:pPr>
      <w:r>
        <w:rPr>
          <w:rFonts w:ascii="맑은 고딕" w:hAnsi="맑은 고딕" w:eastAsia="맑은 고딕"/>
          <w:b w:val="0"/>
          <w:color w:val="1A1A1A"/>
          <w:sz w:val="21"/>
        </w:rPr>
        <w:t xml:space="preserve">풀어 쓰면 이렇다. </w:t>
      </w:r>
      <w:r>
        <w:rPr>
          <w:rFonts w:ascii="맑은 고딕" w:hAnsi="맑은 고딕" w:eastAsia="맑은 고딕"/>
          <w:b/>
          <w:color w:val="1B365D"/>
          <w:sz w:val="21"/>
        </w:rPr>
        <w:t>이 주식을 사면 회사가 지금 실제로 버는 돈의 85%는 미국에서 소형 굴착기를 파는 회사에서 나온다</w:t>
      </w:r>
      <w:r>
        <w:rPr>
          <w:rFonts w:ascii="맑은 고딕" w:hAnsi="맑은 고딕" w:eastAsia="맑은 고딕"/>
          <w:b w:val="0"/>
          <w:color w:val="1A1A1A"/>
          <w:sz w:val="21"/>
        </w:rPr>
        <w:t>. 원전에서 나오는 돈은 아직 거의 없다. 그것이 나쁘다는 뜻이 아니라, 가격을 매길 때 이 사실을 알고 매겨야 한다는 뜻이다. 덧붙여 회사 IR 자료는 상반기 연결 영업이익 개선 요인으로 밥캣의 관세 환급 효과를 명시했다. 일회성이다.</w:t>
      </w:r>
    </w:p>
    <w:p>
      <w:pPr>
        <w:spacing w:before="400" w:after="40" w:lineRule="auto" w:line="288"/>
        <w:outlineLvl w:val="0"/>
        <w:keepNext/>
      </w:pPr>
      <w:r>
        <w:rPr>
          <w:rFonts w:ascii="맑은 고딕" w:hAnsi="맑은 고딕" w:eastAsia="맑은 고딕"/>
          <w:b/>
          <w:color w:val="1B365D"/>
          <w:sz w:val="28"/>
        </w:rPr>
        <w:t xml:space="preserve">5.  </w:t>
      </w:r>
      <w:r>
        <w:rPr>
          <w:rFonts w:ascii="맑은 고딕" w:hAnsi="맑은 고딕" w:eastAsia="맑은 고딕"/>
          <w:b/>
          <w:color w:val="1B365D"/>
          <w:sz w:val="28"/>
        </w:rPr>
        <w:t>성장 동력 — 세 축이 각각 얼마나 진짜인가</w:t>
      </w:r>
    </w:p>
    <w:p>
      <w:pPr>
        <w:spacing w:before="0" w:after="200" w:lineRule="auto" w:line="240"/>
        <w:pBdr>
          <w:bottom w:val="single" w:sz="10" w:space="1" w:color="1B365D"/>
        </w:pBdr>
      </w:pPr>
    </w:p>
    <w:p>
      <w:pPr>
        <w:spacing w:before="260" w:after="80" w:lineRule="auto" w:line="288"/>
        <w:outlineLvl w:val="1"/>
        <w:keepNext/>
      </w:pPr>
      <w:r>
        <w:rPr>
          <w:rFonts w:ascii="맑은 고딕" w:hAnsi="맑은 고딕" w:eastAsia="맑은 고딕"/>
          <w:b/>
          <w:color w:val="1B365D"/>
          <w:sz w:val="23"/>
        </w:rPr>
        <w:t>가스터빈 — 이미 일어나고 있다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2026년 상반기 누적으로 가스터빈 12기, 스팀터빈 6기, 장기유지보수 5건을 수주했다.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미국 대형 H급 발주 18기 가운데 두산이 7기를 확보했다. GE 6기, 미쓰비시 4기, 지멘스 1기다. 글로벌 원천기술 보유사와 대등한 경쟁 구도에 들어섰다는 뜻이다.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회사 전망으로는 누적 수주가 2026년 2분기 25기에서 2030년 71기, 2034년 110기로 늘어난다.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인공지능 데이터센터는 전력을 얻기까지 걸리는 시간이 사업의 성패를 가른다. 원전은 10년, 가스복합은 3~4년이다. 그래서 첫 순번이 가스터빈이다.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2026년 8월 29일 확인. 미국향 대형 가스터빈 패키지 공급계약이 DART에 두 건 있고, 금액은 유보됐으나 공시의무 문구상 각각 최소 4,058억원, 합계 최소 8,116억원이다. 회사 보도자료가 내용을 채운다. 380메가와트급 7기를 2029년 5월부터 월 1기씩 순차 납품하며, 이로써 미국 누적 12기가 된다. 기존 5기에 신규 7기를 더한 숫자다.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주의. 위 첫 줄의 상반기 12기는 전 시장 기준 수주이고, 방금의 미국 누적 12기는 미국 한 나라 기준이다. 우연히 같은 숫자일 뿐 다른 값이다.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2026년 8월 29일 2차 확인. 이 축의 병목은 수요가 아니라 우리 쪽이다. 2025년 사업보고서 생산능력 산출근거 원문상 가스터빈 연간생산능력은 380메가와트에 8호기를 곱한 3,040메가와트, 곧 연 8기가 물리적 상한이다. 그런데 2026년 3월 6일 계약 한 건이 2029년 5월부터 월 1기씩 7기다. 2029년 조립 슬롯 8개 가운데 7개를 고객 한 곳이 가져간다는 뜻이다. 자세한 내용은 3장의 다섯 기둥 절에 있다.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같은 확인에서 고객 구성도 드러났다. 미국 12기 가운데 최소 5기가 같은 고객이며, 전 세계 누적 23기의 52%가 미국 한 나라다. 이 축의 강점과 약점이 같은 사실에서 나온다.</w:t>
      </w:r>
    </w:p>
    <w:p>
      <w:pPr>
        <w:spacing w:before="0" w:after="200" w:lineRule="auto" w:line="348"/>
      </w:pPr>
      <w:r>
        <w:rPr>
          <w:rFonts w:ascii="맑은 고딕" w:hAnsi="맑은 고딕" w:eastAsia="맑은 고딕"/>
          <w:b w:val="0"/>
          <w:color w:val="1A1A1A"/>
          <w:sz w:val="21"/>
        </w:rPr>
        <w:t>세 축 가운데 가장 단단하고, 유일하게 이미 손익계산서에 들어오고 있는 축이다. 날짜와 하한금액이 동시에 박힌 유일한 성장축이기도 하다. 다만 2026년 8월 29일 2차 개정에서 확인했듯 그 날짜는 2027년부터 시작하고, 여기까지 일어난 것은 수주이지 실적이 아니다.</w:t>
      </w:r>
    </w:p>
    <w:p>
      <w:pPr>
        <w:spacing w:before="260" w:after="80" w:lineRule="auto" w:line="288"/>
        <w:outlineLvl w:val="1"/>
        <w:keepNext/>
      </w:pPr>
      <w:r>
        <w:rPr>
          <w:rFonts w:ascii="맑은 고딕" w:hAnsi="맑은 고딕" w:eastAsia="맑은 고딕"/>
          <w:b/>
          <w:color w:val="1B365D"/>
          <w:sz w:val="23"/>
        </w:rPr>
        <w:t>원자력 — 크지만 느리고 정치적이다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체코 두코바니 5·6호기는 2025년 12월에 원자로설비 4.93조원과 터빈발전기 0.71조원, 합계 5.64조원 계약이 이미 체결됐다. 잔고에 들어와 있다.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미국 AP1000은 에너지부의 175억달러 대출 프로그램이 최대 5개 사업을 겨냥한다. 두산은 보글 3·4호기와 서머 사업에 기자재를 공급한 실적이 있어 참여를 추진 중이다.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2026년 8월 29일 확인. 그 대출 프로그램은 조건부이며 최대 10기를 겨냥한다. 그러나 웨스팅하우스가 잠재 파트너 7곳과 맺은 것은 의향서뿐이고 구속력 있는 계약은 한 건도 없다. 2026년 6월 23일 발표 이후 오늘까지 전환된 사례가 없다. 두산이 견적을 낼 대상 자체가 아직 확정되지 않았다는 뜻이다.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국내 신규 원전은 정부가 검토를 공식화했을 뿐 결정된 것이 없다. 인허가, 공론화, 정권 교체는 모두 회사가 통제할 수 없는 변수다.</w:t>
      </w:r>
    </w:p>
    <w:p>
      <w:pPr>
        <w:spacing w:before="260" w:after="80" w:lineRule="auto" w:line="288"/>
        <w:outlineLvl w:val="1"/>
        <w:keepNext/>
      </w:pPr>
      <w:r>
        <w:rPr>
          <w:rFonts w:ascii="맑은 고딕" w:hAnsi="맑은 고딕" w:eastAsia="맑은 고딕"/>
          <w:b/>
          <w:color w:val="1B365D"/>
          <w:sz w:val="23"/>
        </w:rPr>
        <w:t>소형모듈원전 — 가장 크게 팔리는 이야기이자 가장 먼 이야기</w:t>
      </w:r>
    </w:p>
    <w:tbl>
      <w:tblPr>
        <w:tblW w:type="auto" w:w="0"/>
        <w:jc w:val="center"/>
        <w:tblLook w:firstColumn="1" w:firstRow="1" w:lastColumn="0" w:lastRow="0" w:noHBand="0" w:noVBand="1" w:val="04A0"/>
        <w:tblLayout w:type="fixed"/>
      </w:tblPr>
      <w:tblGrid>
        <w:gridCol w:w="2324"/>
        <w:gridCol w:w="2324"/>
        <w:gridCol w:w="2324"/>
        <w:gridCol w:w="2324"/>
      </w:tblGrid>
      <w:tr>
        <w:trPr>
          <w:tblHeader w:val="true"/>
        </w:trPr>
        <w:tc>
          <w:tcPr>
            <w:tcW w:type="dxa" w:w="1928"/>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파트너</w:t>
            </w:r>
          </w:p>
        </w:tc>
        <w:tc>
          <w:tcPr>
            <w:tcW w:type="dxa" w:w="1701"/>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사업</w:t>
            </w:r>
          </w:p>
        </w:tc>
        <w:tc>
          <w:tcPr>
            <w:tcW w:type="dxa" w:w="2494"/>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규모</w:t>
            </w:r>
          </w:p>
        </w:tc>
        <w:tc>
          <w:tcPr>
            <w:tcW w:type="dxa" w:w="3175"/>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진행 상태</w:t>
            </w:r>
          </w:p>
        </w:tc>
      </w:tr>
      <w:tr>
        <w:tc>
          <w:tcPr>
            <w:tcW w:type="dxa" w:w="192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뉴스케일 · TVA</w:t>
            </w:r>
          </w:p>
        </w:tc>
        <w:tc>
          <w:tcPr>
            <w:tcW w:type="dxa" w:w="170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미국 TVA 부지</w:t>
            </w:r>
          </w:p>
        </w:tc>
        <w:tc>
          <w:tcPr>
            <w:tcW w:type="dxa" w:w="249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6기가와트 (77메가와트 곱하기 72모듈)</w:t>
            </w:r>
          </w:p>
        </w:tc>
        <w:tc>
          <w:tcPr>
            <w:tcW w:type="dxa" w:w="317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전력구매계약 협의 중. 계약 후 주기기 제작계약 예정</w:t>
            </w:r>
          </w:p>
        </w:tc>
      </w:tr>
      <w:tr>
        <w:tc>
          <w:tcPr>
            <w:tcW w:type="dxa" w:w="192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엑스에너지 · 다우케미칼</w:t>
            </w:r>
          </w:p>
        </w:tc>
        <w:tc>
          <w:tcPr>
            <w:tcW w:type="dxa" w:w="170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텍사스 시드리프트</w:t>
            </w:r>
          </w:p>
        </w:tc>
        <w:tc>
          <w:tcPr>
            <w:tcW w:type="dxa" w:w="249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320메가와트</w:t>
            </w:r>
          </w:p>
        </w:tc>
        <w:tc>
          <w:tcPr>
            <w:tcW w:type="dxa" w:w="317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건설허가 심사 중. 장주기 품목 공급 협의</w:t>
            </w:r>
          </w:p>
        </w:tc>
      </w:tr>
      <w:tr>
        <w:tc>
          <w:tcPr>
            <w:tcW w:type="dxa" w:w="192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테라파워</w:t>
            </w:r>
          </w:p>
        </w:tc>
        <w:tc>
          <w:tcPr>
            <w:tcW w:type="dxa" w:w="170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와이오밍 케머러</w:t>
            </w:r>
          </w:p>
        </w:tc>
        <w:tc>
          <w:tcPr>
            <w:tcW w:type="dxa" w:w="249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345메가와트</w:t>
            </w:r>
          </w:p>
        </w:tc>
        <w:tc>
          <w:tcPr>
            <w:tcW w:type="dxa" w:w="317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주기기 3종 공급계약 체결 완료</w:t>
            </w:r>
          </w:p>
        </w:tc>
      </w:tr>
      <w:tr>
        <w:tc>
          <w:tcPr>
            <w:tcW w:type="dxa" w:w="192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영국원자력청</w:t>
            </w:r>
          </w:p>
        </w:tc>
        <w:tc>
          <w:tcPr>
            <w:tcW w:type="dxa" w:w="170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윌파</w:t>
            </w:r>
          </w:p>
        </w:tc>
        <w:tc>
          <w:tcPr>
            <w:tcW w:type="dxa" w:w="249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470메가와트 곱하기 3기</w:t>
            </w:r>
          </w:p>
        </w:tc>
        <w:tc>
          <w:tcPr>
            <w:tcW w:type="dxa" w:w="317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건설준비 계약 체결</w:t>
            </w:r>
          </w:p>
        </w:tc>
      </w:tr>
      <w:tr>
        <w:tc>
          <w:tcPr>
            <w:tcW w:type="dxa" w:w="1928"/>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한국수력원자력</w:t>
            </w:r>
          </w:p>
        </w:tc>
        <w:tc>
          <w:tcPr>
            <w:tcW w:type="dxa" w:w="1701"/>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부산 기장</w:t>
            </w:r>
          </w:p>
        </w:tc>
        <w:tc>
          <w:tcPr>
            <w:tcW w:type="dxa" w:w="2494"/>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680메가와트 (170메가와트 곱하기 4모듈)</w:t>
            </w:r>
          </w:p>
        </w:tc>
        <w:tc>
          <w:tcPr>
            <w:tcW w:type="dxa" w:w="3175"/>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표준설계승인 신청 완료. 2028년 취득 목표</w:t>
            </w:r>
          </w:p>
        </w:tc>
      </w:tr>
    </w:tbl>
    <w:p>
      <w:pPr>
        <w:spacing w:before="60" w:after="200" w:lineRule="auto" w:line="312"/>
      </w:pPr>
      <w:r>
        <w:rPr>
          <w:rFonts w:ascii="맑은 고딕" w:hAnsi="맑은 고딕" w:eastAsia="맑은 고딕"/>
          <w:b w:val="0"/>
          <w:color w:val="666B73"/>
          <w:sz w:val="17"/>
        </w:rPr>
        <w:t>자료: 회사 2026년 2분기 기업설명회 자료. 전용 제작공장은 2028년 하반기 완공 예정이며 연 20모듈 생산체계를 목표로 한다.</w:t>
      </w:r>
    </w:p>
    <w:p>
      <w:pPr>
        <w:spacing w:before="0" w:after="120" w:lineRule="auto" w:line="348"/>
        <w:jc w:val="both"/>
      </w:pPr>
      <w:r>
        <w:rPr>
          <w:rFonts w:ascii="맑은 고딕" w:hAnsi="맑은 고딕" w:eastAsia="맑은 고딕"/>
          <w:b w:val="0"/>
          <w:color w:val="1A1A1A"/>
          <w:sz w:val="21"/>
        </w:rPr>
        <w:t xml:space="preserve">여기서 놓치면 안 되는 것은 시점이다. 전용공장이 2028년 하반기에 완공되므로 소형모듈원전이 매출로 잡히는 시기는 대체로 </w:t>
      </w:r>
      <w:r>
        <w:rPr>
          <w:rFonts w:ascii="맑은 고딕" w:hAnsi="맑은 고딕" w:eastAsia="맑은 고딕"/>
          <w:b/>
          <w:color w:val="1B365D"/>
          <w:sz w:val="21"/>
        </w:rPr>
        <w:t>2029년에서 2030년 이후</w:t>
      </w:r>
      <w:r>
        <w:rPr>
          <w:rFonts w:ascii="맑은 고딕" w:hAnsi="맑은 고딕" w:eastAsia="맑은 고딕"/>
          <w:b w:val="0"/>
          <w:color w:val="1A1A1A"/>
          <w:sz w:val="21"/>
        </w:rPr>
        <w:t>다. 지금 주가는 그 매출을 지금 사고 있다.</w:t>
      </w:r>
    </w:p>
    <w:tbl>
      <w:tblPr>
        <w:tblW w:type="auto" w:w="0"/>
        <w:jc w:val="center"/>
        <w:tblLook w:firstColumn="1" w:firstRow="1" w:lastColumn="0" w:lastRow="0" w:noHBand="0" w:noVBand="1" w:val="04A0"/>
        <w:tblLayout w:type="fixed"/>
      </w:tblPr>
      <w:tblGrid>
        <w:gridCol w:w="2324"/>
        <w:gridCol w:w="2324"/>
        <w:gridCol w:w="2324"/>
        <w:gridCol w:w="2324"/>
      </w:tblGrid>
      <w:tr>
        <w:trPr>
          <w:tblHeader w:val="true"/>
        </w:trPr>
        <w:tc>
          <w:tcPr>
            <w:tcW w:type="dxa" w:w="1474"/>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파트너</w:t>
            </w:r>
          </w:p>
        </w:tc>
        <w:tc>
          <w:tcPr>
            <w:tcW w:type="dxa" w:w="2041"/>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위 표의 표기</w:t>
            </w:r>
          </w:p>
        </w:tc>
        <w:tc>
          <w:tcPr>
            <w:tcW w:type="dxa" w:w="4422"/>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2026년 8월 29일 1차 출처 확인</w:t>
            </w:r>
          </w:p>
        </w:tc>
        <w:tc>
          <w:tcPr>
            <w:tcW w:type="dxa" w:w="1361"/>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금액</w:t>
            </w:r>
          </w:p>
        </w:tc>
      </w:tr>
      <w:tr>
        <w:tc>
          <w:tcPr>
            <w:tcW w:type="dxa" w:w="147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엑스에너지</w:t>
            </w:r>
          </w:p>
        </w:tc>
        <w:tc>
          <w:tcPr>
            <w:tcW w:type="dxa" w:w="204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장주기 품목 공급 협의</w:t>
            </w:r>
          </w:p>
        </w:tc>
        <w:tc>
          <w:tcPr>
            <w:tcW w:type="dxa" w:w="4422"/>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격상. 2025년 12월 예약계약 체결. 16세트(다우 4기, 에너지노스웨스트 12기) 슬롯 예약</w:t>
            </w:r>
          </w:p>
        </w:tc>
        <w:tc>
          <w:tcPr>
            <w:tcW w:type="dxa" w:w="136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165억원</w:t>
            </w:r>
          </w:p>
        </w:tc>
      </w:tr>
      <w:tr>
        <w:tc>
          <w:tcPr>
            <w:tcW w:type="dxa" w:w="147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테라파워</w:t>
            </w:r>
          </w:p>
        </w:tc>
        <w:tc>
          <w:tcPr>
            <w:tcW w:type="dxa" w:w="204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주기기 3종 공급계약 체결 완료</w:t>
            </w:r>
          </w:p>
        </w:tc>
        <w:tc>
          <w:tcPr>
            <w:tcW w:type="dxa" w:w="4422"/>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유지. 2026년 8월 14일 회사 발표. 원자로 보호용기, 지지구조물, 내부구조물. 2024년 12월 제작성 검토계약의 후속</w:t>
            </w:r>
          </w:p>
        </w:tc>
        <w:tc>
          <w:tcPr>
            <w:tcW w:type="dxa" w:w="136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비공개</w:t>
            </w:r>
          </w:p>
        </w:tc>
      </w:tr>
      <w:tr>
        <w:tc>
          <w:tcPr>
            <w:tcW w:type="dxa" w:w="1474"/>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뉴스케일 · TVA</w:t>
            </w:r>
          </w:p>
        </w:tc>
        <w:tc>
          <w:tcPr>
            <w:tcW w:type="dxa" w:w="2041"/>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전력구매계약 협의 중</w:t>
            </w:r>
          </w:p>
        </w:tc>
        <w:tc>
          <w:tcPr>
            <w:tcW w:type="dxa" w:w="4422"/>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정정. 6기가와트의 상대는 뉴스케일이 아니라 ENTRA1이다(뉴스케일은 그 아래 공급사). 2026년 6월 30일 현재 여전히 비구속이다</w:t>
            </w:r>
          </w:p>
        </w:tc>
        <w:tc>
          <w:tcPr>
            <w:tcW w:type="dxa" w:w="1361"/>
            <w:vAlign w:val="center"/>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해당 없음</w:t>
            </w:r>
          </w:p>
        </w:tc>
      </w:tr>
    </w:tbl>
    <w:p>
      <w:pPr>
        <w:spacing w:before="60" w:after="200" w:lineRule="auto" w:line="312"/>
      </w:pPr>
      <w:r>
        <w:rPr>
          <w:rFonts w:ascii="맑은 고딕" w:hAnsi="맑은 고딕" w:eastAsia="맑은 고딕"/>
          <w:b w:val="0"/>
          <w:color w:val="666B73"/>
          <w:sz w:val="17"/>
        </w:rPr>
        <w:t>비구속의 증거는 서술이 아니라 회계다. 뉴스케일이 “구속력 있는 전력구매계약 체결 시” 지급하기로 한 의무가 2026년 6월 30일 현재 재무제표에 인식되지 않았다(분기보고서 원문). 두 건 모두 DART 단일판매·공급계약 공시가 없으므로 각각 4,058억원 미만이다. 테라파워 계약은 2026년 6월 말 기준 수주잔고 26.35조원에 아직 들어 있지 않다.</w:t>
      </w:r>
    </w:p>
    <w:p>
      <w:pPr>
        <w:spacing w:before="260" w:after="80" w:lineRule="auto" w:line="288"/>
        <w:outlineLvl w:val="1"/>
        <w:keepNext/>
      </w:pPr>
      <w:r>
        <w:rPr>
          <w:rFonts w:ascii="맑은 고딕" w:hAnsi="맑은 고딕" w:eastAsia="맑은 고딕"/>
          <w:b/>
          <w:color w:val="1B365D"/>
          <w:sz w:val="23"/>
        </w:rPr>
        <w:t>해상풍력 — 작지만 날짜가 박힌 촉매가 있다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2026년 상반기 고정가격입찰에서 금오도 160메가와트와 굴업도 250메가와트, 합계 410메가와트를 낙찰받았다. 두산 10메가와트 기자재가 전량 적용된다.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서남권 확산 1단지에서 한국수력원자력 주관 컨소시엄이 우선협상대상자로 선정됐다. 보도 기준 7조원 규모다. 회사는 2026년 8월 7일 해명공시에서 선정 사실은 인정하되 금액 등 구체적으로 결정된 바 없다고 밝혔고, 재공시 예정일을 2026년 11월 6일로 적었다.</w:t>
      </w:r>
    </w:p>
    <w:p>
      <w:pPr>
        <w:spacing w:before="0" w:after="200" w:lineRule="auto" w:line="348"/>
      </w:pPr>
      <w:r>
        <w:rPr>
          <w:rFonts w:ascii="맑은 고딕" w:hAnsi="맑은 고딕" w:eastAsia="맑은 고딕"/>
          <w:b w:val="0"/>
          <w:color w:val="1A1A1A"/>
          <w:sz w:val="21"/>
        </w:rPr>
        <w:t>이 재공시가 현재 이 종목에 걸린 유일한, 날짜가 확정된 촉매다.</w:t>
      </w:r>
    </w:p>
    <w:p>
      <w:pPr>
        <w:spacing w:before="260" w:after="80" w:lineRule="auto" w:line="288"/>
        <w:outlineLvl w:val="1"/>
        <w:keepNext/>
      </w:pPr>
      <w:r>
        <w:rPr>
          <w:rFonts w:ascii="맑은 고딕" w:hAnsi="맑은 고딕" w:eastAsia="맑은 고딕"/>
          <w:b/>
          <w:color w:val="1B365D"/>
          <w:sz w:val="23"/>
        </w:rPr>
        <w:t>2026년 계획 대비 진척</w:t>
      </w:r>
    </w:p>
    <w:tbl>
      <w:tblPr>
        <w:tblW w:type="auto" w:w="0"/>
        <w:jc w:val="center"/>
        <w:tblLook w:firstColumn="1" w:firstRow="1" w:lastColumn="0" w:lastRow="0" w:noHBand="0" w:noVBand="1" w:val="04A0"/>
        <w:tblLayout w:type="fixed"/>
      </w:tblPr>
      <w:tblGrid>
        <w:gridCol w:w="2324"/>
        <w:gridCol w:w="2324"/>
        <w:gridCol w:w="2324"/>
        <w:gridCol w:w="2324"/>
      </w:tblGrid>
      <w:tr>
        <w:trPr>
          <w:tblHeader w:val="true"/>
        </w:trPr>
        <w:tc>
          <w:tcPr>
            <w:tcW w:type="dxa" w:w="1701"/>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구분</w:t>
            </w:r>
          </w:p>
        </w:tc>
        <w:tc>
          <w:tcPr>
            <w:tcW w:type="dxa" w:w="1587"/>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2026년 계획</w:t>
            </w:r>
          </w:p>
        </w:tc>
        <w:tc>
          <w:tcPr>
            <w:tcW w:type="dxa" w:w="181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상반기 실적</w:t>
            </w:r>
          </w:p>
        </w:tc>
        <w:tc>
          <w:tcPr>
            <w:tcW w:type="dxa" w:w="4195"/>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하반기 남은 몫</w:t>
            </w:r>
          </w:p>
        </w:tc>
      </w:tr>
      <w:tr>
        <w:tc>
          <w:tcPr>
            <w:tcW w:type="dxa" w:w="170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총 수주</w:t>
            </w:r>
          </w:p>
        </w:tc>
        <w:tc>
          <w:tcPr>
            <w:tcW w:type="dxa" w:w="1587"/>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13.3조원</w:t>
            </w:r>
          </w:p>
        </w:tc>
        <w:tc>
          <w:tcPr>
            <w:tcW w:type="dxa" w:w="181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7.1조원 (53%)</w:t>
            </w:r>
          </w:p>
        </w:tc>
        <w:tc>
          <w:tcPr>
            <w:tcW w:type="dxa" w:w="419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6.2조원</w:t>
            </w:r>
          </w:p>
        </w:tc>
      </w:tr>
      <w:tr>
        <w:tc>
          <w:tcPr>
            <w:tcW w:type="dxa" w:w="170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 xml:space="preserve">  원자력</w:t>
            </w:r>
          </w:p>
        </w:tc>
        <w:tc>
          <w:tcPr>
            <w:tcW w:type="dxa" w:w="1587"/>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4.9조원</w:t>
            </w:r>
          </w:p>
        </w:tc>
        <w:tc>
          <w:tcPr>
            <w:tcW w:type="dxa" w:w="181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1.1조원</w:t>
            </w:r>
          </w:p>
        </w:tc>
        <w:tc>
          <w:tcPr>
            <w:tcW w:type="dxa" w:w="419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3.8조원 (대형원전 2.7 · 소형모듈 1.0 · 서비스 0.1)</w:t>
            </w:r>
          </w:p>
        </w:tc>
      </w:tr>
      <w:tr>
        <w:tc>
          <w:tcPr>
            <w:tcW w:type="dxa" w:w="170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 xml:space="preserve">  가스·수소</w:t>
            </w:r>
          </w:p>
        </w:tc>
        <w:tc>
          <w:tcPr>
            <w:tcW w:type="dxa" w:w="1587"/>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3.2조원</w:t>
            </w:r>
          </w:p>
        </w:tc>
        <w:tc>
          <w:tcPr>
            <w:tcW w:type="dxa" w:w="181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3.4조원</w:t>
            </w:r>
          </w:p>
        </w:tc>
        <w:tc>
          <w:tcPr>
            <w:tcW w:type="dxa" w:w="419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초과 달성</w:t>
            </w:r>
          </w:p>
        </w:tc>
      </w:tr>
      <w:tr>
        <w:tc>
          <w:tcPr>
            <w:tcW w:type="dxa" w:w="170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 xml:space="preserve">  복합 EPC</w:t>
            </w:r>
          </w:p>
        </w:tc>
        <w:tc>
          <w:tcPr>
            <w:tcW w:type="dxa" w:w="1587"/>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w:t>
            </w:r>
          </w:p>
        </w:tc>
        <w:tc>
          <w:tcPr>
            <w:tcW w:type="dxa" w:w="181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w:t>
            </w:r>
          </w:p>
        </w:tc>
        <w:tc>
          <w:tcPr>
            <w:tcW w:type="dxa" w:w="419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1.1조원 (해외)</w:t>
            </w:r>
          </w:p>
        </w:tc>
      </w:tr>
      <w:tr>
        <w:tc>
          <w:tcPr>
            <w:tcW w:type="dxa" w:w="1701"/>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 xml:space="preserve">  신재생</w:t>
            </w:r>
          </w:p>
        </w:tc>
        <w:tc>
          <w:tcPr>
            <w:tcW w:type="dxa" w:w="1587"/>
            <w:vAlign w:val="center"/>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1.2조원</w:t>
            </w:r>
          </w:p>
        </w:tc>
        <w:tc>
          <w:tcPr>
            <w:tcW w:type="dxa" w:w="1814"/>
            <w:vAlign w:val="center"/>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0.1조원</w:t>
            </w:r>
          </w:p>
        </w:tc>
        <w:tc>
          <w:tcPr>
            <w:tcW w:type="dxa" w:w="4195"/>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1.2조원 (해상풍력 등)</w:t>
            </w:r>
          </w:p>
        </w:tc>
      </w:tr>
    </w:tbl>
    <w:p>
      <w:pPr>
        <w:spacing w:before="60" w:after="200" w:lineRule="auto" w:line="312"/>
      </w:pPr>
      <w:r>
        <w:rPr>
          <w:rFonts w:ascii="맑은 고딕" w:hAnsi="맑은 고딕" w:eastAsia="맑은 고딕"/>
          <w:b w:val="0"/>
          <w:color w:val="666B73"/>
          <w:sz w:val="17"/>
        </w:rPr>
        <w:t>자료: 회사 2026년 2분기 기업설명회 자료. 과거 계획 대비 실적은 2023년 8.6조 계획에 8.9조 달성, 2024년 6.3조에 7.1조, 2025년 10.7조에 14.1조로 3년 연속 초과 달성했다.</w:t>
      </w:r>
    </w:p>
    <w:p>
      <w:pPr>
        <w:spacing w:before="400" w:after="40" w:lineRule="auto" w:line="288"/>
        <w:outlineLvl w:val="0"/>
        <w:keepNext/>
      </w:pPr>
      <w:r>
        <w:rPr>
          <w:rFonts w:ascii="맑은 고딕" w:hAnsi="맑은 고딕" w:eastAsia="맑은 고딕"/>
          <w:b/>
          <w:color w:val="1B365D"/>
          <w:sz w:val="28"/>
        </w:rPr>
        <w:t xml:space="preserve">6.  </w:t>
      </w:r>
      <w:r>
        <w:rPr>
          <w:rFonts w:ascii="맑은 고딕" w:hAnsi="맑은 고딕" w:eastAsia="맑은 고딕"/>
          <w:b/>
          <w:color w:val="1B365D"/>
          <w:sz w:val="28"/>
        </w:rPr>
        <w:t>주가는 지금 어떤 상태인가</w:t>
      </w:r>
    </w:p>
    <w:p>
      <w:pPr>
        <w:spacing w:before="0" w:after="200" w:lineRule="auto" w:line="240"/>
        <w:pBdr>
          <w:bottom w:val="single" w:sz="10" w:space="1" w:color="1B365D"/>
        </w:pBdr>
      </w:pPr>
    </w:p>
    <w:p>
      <w:pPr>
        <w:spacing w:before="260" w:after="80" w:lineRule="auto" w:line="288"/>
        <w:outlineLvl w:val="1"/>
        <w:keepNext/>
      </w:pPr>
      <w:r>
        <w:rPr>
          <w:rFonts w:ascii="맑은 고딕" w:hAnsi="맑은 고딕" w:eastAsia="맑은 고딕"/>
          <w:b/>
          <w:color w:val="1B365D"/>
          <w:sz w:val="23"/>
        </w:rPr>
        <w:t>2년 만에 7.5배, 5개월 만에 반토막, 한 달 만에 31%</w:t>
      </w:r>
    </w:p>
    <w:tbl>
      <w:tblPr>
        <w:tblW w:type="auto" w:w="0"/>
        <w:jc w:val="center"/>
        <w:tblLook w:firstColumn="1" w:firstRow="1" w:lastColumn="0" w:lastRow="0" w:noHBand="0" w:noVBand="1" w:val="04A0"/>
        <w:tblLayout w:type="fixed"/>
      </w:tblPr>
      <w:tblGrid>
        <w:gridCol w:w="3099"/>
        <w:gridCol w:w="3099"/>
        <w:gridCol w:w="3099"/>
      </w:tblGrid>
      <w:tr>
        <w:trPr>
          <w:tblHeader w:val="true"/>
        </w:trPr>
        <w:tc>
          <w:tcPr>
            <w:tcW w:type="dxa" w:w="2268"/>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시점</w:t>
            </w:r>
          </w:p>
        </w:tc>
        <w:tc>
          <w:tcPr>
            <w:tcW w:type="dxa" w:w="1928"/>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주가</w:t>
            </w:r>
          </w:p>
        </w:tc>
        <w:tc>
          <w:tcPr>
            <w:tcW w:type="dxa" w:w="5102"/>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비고</w:t>
            </w:r>
          </w:p>
        </w:tc>
      </w:tr>
      <w:tr>
        <w:tc>
          <w:tcPr>
            <w:tcW w:type="dxa" w:w="226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2024년 8월</w:t>
            </w:r>
          </w:p>
        </w:tc>
        <w:tc>
          <w:tcPr>
            <w:tcW w:type="dxa" w:w="1928"/>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18,100원</w:t>
            </w:r>
          </w:p>
        </w:tc>
        <w:tc>
          <w:tcPr>
            <w:tcW w:type="dxa" w:w="5102"/>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r>
          </w:p>
        </w:tc>
      </w:tr>
      <w:tr>
        <w:tc>
          <w:tcPr>
            <w:tcW w:type="dxa" w:w="226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2025년 6월</w:t>
            </w:r>
          </w:p>
        </w:tc>
        <w:tc>
          <w:tcPr>
            <w:tcW w:type="dxa" w:w="1928"/>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68,400원</w:t>
            </w:r>
          </w:p>
        </w:tc>
        <w:tc>
          <w:tcPr>
            <w:tcW w:type="dxa" w:w="5102"/>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r>
          </w:p>
        </w:tc>
      </w:tr>
      <w:tr>
        <w:tc>
          <w:tcPr>
            <w:tcW w:type="dxa" w:w="226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2026년 2월</w:t>
            </w:r>
          </w:p>
        </w:tc>
        <w:tc>
          <w:tcPr>
            <w:tcW w:type="dxa" w:w="1928"/>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106,300원</w:t>
            </w:r>
          </w:p>
        </w:tc>
        <w:tc>
          <w:tcPr>
            <w:tcW w:type="dxa" w:w="5102"/>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r>
          </w:p>
        </w:tc>
      </w:tr>
      <w:tr>
        <w:tc>
          <w:tcPr>
            <w:tcW w:type="dxa" w:w="226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2026년 4월</w:t>
            </w:r>
          </w:p>
        </w:tc>
        <w:tc>
          <w:tcPr>
            <w:tcW w:type="dxa" w:w="1928"/>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127,100원</w:t>
            </w:r>
          </w:p>
        </w:tc>
        <w:tc>
          <w:tcPr>
            <w:tcW w:type="dxa" w:w="5102"/>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52주 최고 139,200원</w:t>
            </w:r>
          </w:p>
        </w:tc>
      </w:tr>
      <w:tr>
        <w:tc>
          <w:tcPr>
            <w:tcW w:type="dxa" w:w="226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2026년 7월</w:t>
            </w:r>
          </w:p>
        </w:tc>
        <w:tc>
          <w:tcPr>
            <w:tcW w:type="dxa" w:w="1928"/>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67,100원</w:t>
            </w:r>
          </w:p>
        </w:tc>
        <w:tc>
          <w:tcPr>
            <w:tcW w:type="dxa" w:w="5102"/>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고점 대비 -52%</w:t>
            </w:r>
          </w:p>
        </w:tc>
      </w:tr>
      <w:tr>
        <w:tc>
          <w:tcPr>
            <w:tcW w:type="dxa" w:w="2268"/>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color w:val="1B365D"/>
                <w:sz w:val="19"/>
              </w:rPr>
              <w:t>2026년 8월 28일</w:t>
            </w:r>
          </w:p>
        </w:tc>
        <w:tc>
          <w:tcPr>
            <w:tcW w:type="dxa" w:w="1928"/>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color w:val="1B365D"/>
                <w:sz w:val="19"/>
              </w:rPr>
              <w:t>88,200원</w:t>
            </w:r>
          </w:p>
        </w:tc>
        <w:tc>
          <w:tcPr>
            <w:tcW w:type="dxa" w:w="5102"/>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color w:val="1B365D"/>
                <w:sz w:val="19"/>
              </w:rPr>
              <w:t>저점 대비 +31%</w:t>
            </w:r>
          </w:p>
        </w:tc>
      </w:tr>
    </w:tbl>
    <w:p>
      <w:pPr>
        <w:spacing w:before="60" w:after="200" w:lineRule="auto" w:line="312"/>
      </w:pPr>
      <w:r>
        <w:rPr>
          <w:rFonts w:ascii="맑은 고딕" w:hAnsi="맑은 고딕" w:eastAsia="맑은 고딕"/>
          <w:b w:val="0"/>
          <w:color w:val="666B73"/>
          <w:sz w:val="17"/>
        </w:rPr>
        <w:t>자료: 종가 기준. 이 주식은 현재 가치가 아니라 이야기로 움직이고 있다.</w:t>
      </w:r>
    </w:p>
    <w:p>
      <w:pPr>
        <w:spacing w:before="260" w:after="80" w:lineRule="auto" w:line="288"/>
        <w:outlineLvl w:val="1"/>
        <w:keepNext/>
      </w:pPr>
      <w:r>
        <w:rPr>
          <w:rFonts w:ascii="맑은 고딕" w:hAnsi="맑은 고딕" w:eastAsia="맑은 고딕"/>
          <w:b/>
          <w:color w:val="1B365D"/>
          <w:sz w:val="23"/>
        </w:rPr>
        <w:t>최근 4거래일은 기관이 밀어 올렸다</w:t>
      </w:r>
    </w:p>
    <w:tbl>
      <w:tblPr>
        <w:tblW w:type="auto" w:w="0"/>
        <w:jc w:val="center"/>
        <w:tblLook w:firstColumn="1" w:firstRow="1" w:lastColumn="0" w:lastRow="0" w:noHBand="0" w:noVBand="1" w:val="04A0"/>
        <w:tblLayout w:type="fixed"/>
      </w:tblPr>
      <w:tblGrid>
        <w:gridCol w:w="1860"/>
        <w:gridCol w:w="1860"/>
        <w:gridCol w:w="1860"/>
        <w:gridCol w:w="1860"/>
        <w:gridCol w:w="1860"/>
      </w:tblGrid>
      <w:tr>
        <w:trPr>
          <w:tblHeader w:val="true"/>
        </w:trPr>
        <w:tc>
          <w:tcPr>
            <w:tcW w:type="dxa" w:w="1587"/>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날짜</w:t>
            </w:r>
          </w:p>
        </w:tc>
        <w:tc>
          <w:tcPr>
            <w:tcW w:type="dxa" w:w="1701"/>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외국인</w:t>
            </w:r>
          </w:p>
        </w:tc>
        <w:tc>
          <w:tcPr>
            <w:tcW w:type="dxa" w:w="1701"/>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기관</w:t>
            </w:r>
          </w:p>
        </w:tc>
        <w:tc>
          <w:tcPr>
            <w:tcW w:type="dxa" w:w="1701"/>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개인</w:t>
            </w:r>
          </w:p>
        </w:tc>
        <w:tc>
          <w:tcPr>
            <w:tcW w:type="dxa" w:w="1701"/>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종가</w:t>
            </w:r>
          </w:p>
        </w:tc>
      </w:tr>
      <w:tr>
        <w:tc>
          <w:tcPr>
            <w:tcW w:type="dxa" w:w="1587"/>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8월 21일</w:t>
            </w:r>
          </w:p>
        </w:tc>
        <w:tc>
          <w:tcPr>
            <w:tcW w:type="dxa" w:w="170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-92.4만주</w:t>
            </w:r>
          </w:p>
        </w:tc>
        <w:tc>
          <w:tcPr>
            <w:tcW w:type="dxa" w:w="170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-21.6만주</w:t>
            </w:r>
          </w:p>
        </w:tc>
        <w:tc>
          <w:tcPr>
            <w:tcW w:type="dxa" w:w="170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+113.9만주</w:t>
            </w:r>
          </w:p>
        </w:tc>
        <w:tc>
          <w:tcPr>
            <w:tcW w:type="dxa" w:w="170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73,300원</w:t>
            </w:r>
          </w:p>
        </w:tc>
      </w:tr>
      <w:tr>
        <w:tc>
          <w:tcPr>
            <w:tcW w:type="dxa" w:w="1587"/>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8월 24일</w:t>
            </w:r>
          </w:p>
        </w:tc>
        <w:tc>
          <w:tcPr>
            <w:tcW w:type="dxa" w:w="170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-4.8만주</w:t>
            </w:r>
          </w:p>
        </w:tc>
        <w:tc>
          <w:tcPr>
            <w:tcW w:type="dxa" w:w="170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+7.9만주</w:t>
            </w:r>
          </w:p>
        </w:tc>
        <w:tc>
          <w:tcPr>
            <w:tcW w:type="dxa" w:w="170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-2.7만주</w:t>
            </w:r>
          </w:p>
        </w:tc>
        <w:tc>
          <w:tcPr>
            <w:tcW w:type="dxa" w:w="170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73,000원</w:t>
            </w:r>
          </w:p>
        </w:tc>
      </w:tr>
      <w:tr>
        <w:tc>
          <w:tcPr>
            <w:tcW w:type="dxa" w:w="1587"/>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8월 25일</w:t>
            </w:r>
          </w:p>
        </w:tc>
        <w:tc>
          <w:tcPr>
            <w:tcW w:type="dxa" w:w="170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-7.2만주</w:t>
            </w:r>
          </w:p>
        </w:tc>
        <w:tc>
          <w:tcPr>
            <w:tcW w:type="dxa" w:w="170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+125.5만주</w:t>
            </w:r>
          </w:p>
        </w:tc>
        <w:tc>
          <w:tcPr>
            <w:tcW w:type="dxa" w:w="170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-120.5만주</w:t>
            </w:r>
          </w:p>
        </w:tc>
        <w:tc>
          <w:tcPr>
            <w:tcW w:type="dxa" w:w="170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80,700원</w:t>
            </w:r>
          </w:p>
        </w:tc>
      </w:tr>
      <w:tr>
        <w:tc>
          <w:tcPr>
            <w:tcW w:type="dxa" w:w="1587"/>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8월 26일</w:t>
            </w:r>
          </w:p>
        </w:tc>
        <w:tc>
          <w:tcPr>
            <w:tcW w:type="dxa" w:w="170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+6.2만주</w:t>
            </w:r>
          </w:p>
        </w:tc>
        <w:tc>
          <w:tcPr>
            <w:tcW w:type="dxa" w:w="170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+112.5만주</w:t>
            </w:r>
          </w:p>
        </w:tc>
        <w:tc>
          <w:tcPr>
            <w:tcW w:type="dxa" w:w="170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-122.3만주</w:t>
            </w:r>
          </w:p>
        </w:tc>
        <w:tc>
          <w:tcPr>
            <w:tcW w:type="dxa" w:w="170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85,800원</w:t>
            </w:r>
          </w:p>
        </w:tc>
      </w:tr>
      <w:tr>
        <w:tc>
          <w:tcPr>
            <w:tcW w:type="dxa" w:w="1587"/>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8월 27일</w:t>
            </w:r>
          </w:p>
        </w:tc>
        <w:tc>
          <w:tcPr>
            <w:tcW w:type="dxa" w:w="170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-11.1만주</w:t>
            </w:r>
          </w:p>
        </w:tc>
        <w:tc>
          <w:tcPr>
            <w:tcW w:type="dxa" w:w="170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+84.1만주</w:t>
            </w:r>
          </w:p>
        </w:tc>
        <w:tc>
          <w:tcPr>
            <w:tcW w:type="dxa" w:w="170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-70.8만주</w:t>
            </w:r>
          </w:p>
        </w:tc>
        <w:tc>
          <w:tcPr>
            <w:tcW w:type="dxa" w:w="170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85,900원</w:t>
            </w:r>
          </w:p>
        </w:tc>
      </w:tr>
      <w:tr>
        <w:tc>
          <w:tcPr>
            <w:tcW w:type="dxa" w:w="1587"/>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8월 28일</w:t>
            </w:r>
          </w:p>
        </w:tc>
        <w:tc>
          <w:tcPr>
            <w:tcW w:type="dxa" w:w="1701"/>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+8.0만주</w:t>
            </w:r>
          </w:p>
        </w:tc>
        <w:tc>
          <w:tcPr>
            <w:tcW w:type="dxa" w:w="1701"/>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color w:val="1B365D"/>
                <w:sz w:val="19"/>
              </w:rPr>
              <w:t>+81.7만주</w:t>
            </w:r>
          </w:p>
        </w:tc>
        <w:tc>
          <w:tcPr>
            <w:tcW w:type="dxa" w:w="1701"/>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-88.0만주</w:t>
            </w:r>
          </w:p>
        </w:tc>
        <w:tc>
          <w:tcPr>
            <w:tcW w:type="dxa" w:w="1701"/>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color w:val="1B365D"/>
                <w:sz w:val="19"/>
              </w:rPr>
              <w:t>88,200원</w:t>
            </w:r>
          </w:p>
        </w:tc>
      </w:tr>
    </w:tbl>
    <w:p>
      <w:pPr>
        <w:spacing w:before="60" w:after="200" w:lineRule="auto" w:line="312"/>
      </w:pPr>
      <w:r>
        <w:rPr>
          <w:rFonts w:ascii="맑은 고딕" w:hAnsi="맑은 고딕" w:eastAsia="맑은 고딕"/>
          <w:b w:val="0"/>
          <w:color w:val="666B73"/>
          <w:sz w:val="17"/>
        </w:rPr>
        <w:t>자료: 한국투자증권 Open API. 4일간 기관 404만주 순매수, 개인 402만주 순매도, 주가 20.8% 상승. 외국인은 30일 누적 76.7만주 순매도로 따라오지 않았다.</w:t>
      </w:r>
    </w:p>
    <w:p>
      <w:pPr>
        <w:spacing w:before="260" w:after="80" w:lineRule="auto" w:line="288"/>
        <w:outlineLvl w:val="1"/>
        <w:keepNext/>
      </w:pPr>
      <w:r>
        <w:rPr>
          <w:rFonts w:ascii="맑은 고딕" w:hAnsi="맑은 고딕" w:eastAsia="맑은 고딕"/>
          <w:b/>
          <w:color w:val="1B365D"/>
          <w:sz w:val="23"/>
        </w:rPr>
        <w:t>그런데 이 상승은 이 회사의 것이 아니다</w:t>
      </w:r>
    </w:p>
    <w:tbl>
      <w:tblPr>
        <w:tblW w:type="auto" w:w="0"/>
        <w:jc w:val="center"/>
        <w:tblLook w:firstColumn="1" w:firstRow="1" w:lastColumn="0" w:lastRow="0" w:noHBand="0" w:noVBand="1" w:val="04A0"/>
        <w:tblLayout w:type="fixed"/>
      </w:tblPr>
      <w:tblGrid>
        <w:gridCol w:w="3099"/>
        <w:gridCol w:w="3099"/>
        <w:gridCol w:w="3099"/>
      </w:tblGrid>
      <w:tr>
        <w:trPr>
          <w:tblHeader w:val="true"/>
        </w:trPr>
        <w:tc>
          <w:tcPr>
            <w:tcW w:type="dxa" w:w="3628"/>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종목</w:t>
            </w:r>
          </w:p>
        </w:tc>
        <w:tc>
          <w:tcPr>
            <w:tcW w:type="dxa" w:w="2835"/>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20거래일</w:t>
            </w:r>
          </w:p>
        </w:tc>
        <w:tc>
          <w:tcPr>
            <w:tcW w:type="dxa" w:w="2835"/>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60거래일</w:t>
            </w:r>
          </w:p>
        </w:tc>
      </w:tr>
      <w:tr>
        <w:tc>
          <w:tcPr>
            <w:tcW w:type="dxa" w:w="362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두산퓨얼셀</w:t>
            </w:r>
          </w:p>
        </w:tc>
        <w:tc>
          <w:tcPr>
            <w:tcW w:type="dxa" w:w="2835"/>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+140.2%</w:t>
            </w:r>
          </w:p>
        </w:tc>
        <w:tc>
          <w:tcPr>
            <w:tcW w:type="dxa" w:w="2835"/>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-45.2%</w:t>
            </w:r>
          </w:p>
        </w:tc>
      </w:tr>
      <w:tr>
        <w:tc>
          <w:tcPr>
            <w:tcW w:type="dxa" w:w="362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비에이치아이</w:t>
            </w:r>
          </w:p>
        </w:tc>
        <w:tc>
          <w:tcPr>
            <w:tcW w:type="dxa" w:w="2835"/>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+89.0%</w:t>
            </w:r>
          </w:p>
        </w:tc>
        <w:tc>
          <w:tcPr>
            <w:tcW w:type="dxa" w:w="2835"/>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-3.3%</w:t>
            </w:r>
          </w:p>
        </w:tc>
      </w:tr>
      <w:tr>
        <w:tc>
          <w:tcPr>
            <w:tcW w:type="dxa" w:w="362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효성중공업</w:t>
            </w:r>
          </w:p>
        </w:tc>
        <w:tc>
          <w:tcPr>
            <w:tcW w:type="dxa" w:w="2835"/>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+66.5%</w:t>
            </w:r>
          </w:p>
        </w:tc>
        <w:tc>
          <w:tcPr>
            <w:tcW w:type="dxa" w:w="2835"/>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-11.0%</w:t>
            </w:r>
          </w:p>
        </w:tc>
      </w:tr>
      <w:tr>
        <w:tc>
          <w:tcPr>
            <w:tcW w:type="dxa" w:w="362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한국전력기술</w:t>
            </w:r>
          </w:p>
        </w:tc>
        <w:tc>
          <w:tcPr>
            <w:tcW w:type="dxa" w:w="2835"/>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+53.2%</w:t>
            </w:r>
          </w:p>
        </w:tc>
        <w:tc>
          <w:tcPr>
            <w:tcW w:type="dxa" w:w="2835"/>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-4.1%</w:t>
            </w:r>
          </w:p>
        </w:tc>
      </w:tr>
      <w:tr>
        <w:tc>
          <w:tcPr>
            <w:tcW w:type="dxa" w:w="362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두산에너빌리티</w:t>
            </w:r>
          </w:p>
        </w:tc>
        <w:tc>
          <w:tcPr>
            <w:tcW w:type="dxa" w:w="2835"/>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+46.5%</w:t>
            </w:r>
          </w:p>
        </w:tc>
        <w:tc>
          <w:tcPr>
            <w:tcW w:type="dxa" w:w="2835"/>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-11.8%</w:t>
            </w:r>
          </w:p>
        </w:tc>
      </w:tr>
      <w:tr>
        <w:tc>
          <w:tcPr>
            <w:tcW w:type="dxa" w:w="362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LS ELECTRIC</w:t>
            </w:r>
          </w:p>
        </w:tc>
        <w:tc>
          <w:tcPr>
            <w:tcW w:type="dxa" w:w="2835"/>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+42.7%</w:t>
            </w:r>
          </w:p>
        </w:tc>
        <w:tc>
          <w:tcPr>
            <w:tcW w:type="dxa" w:w="2835"/>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-11.2%</w:t>
            </w:r>
          </w:p>
        </w:tc>
      </w:tr>
      <w:tr>
        <w:tc>
          <w:tcPr>
            <w:tcW w:type="dxa" w:w="362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HD현대일렉트릭</w:t>
            </w:r>
          </w:p>
        </w:tc>
        <w:tc>
          <w:tcPr>
            <w:tcW w:type="dxa" w:w="2835"/>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+39.9%</w:t>
            </w:r>
          </w:p>
        </w:tc>
        <w:tc>
          <w:tcPr>
            <w:tcW w:type="dxa" w:w="2835"/>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-18.1%</w:t>
            </w:r>
          </w:p>
        </w:tc>
      </w:tr>
      <w:tr>
        <w:tc>
          <w:tcPr>
            <w:tcW w:type="dxa" w:w="362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두산밥캣</w:t>
            </w:r>
          </w:p>
        </w:tc>
        <w:tc>
          <w:tcPr>
            <w:tcW w:type="dxa" w:w="2835"/>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+10.2%</w:t>
            </w:r>
          </w:p>
        </w:tc>
        <w:tc>
          <w:tcPr>
            <w:tcW w:type="dxa" w:w="2835"/>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-2.6%</w:t>
            </w:r>
          </w:p>
        </w:tc>
      </w:tr>
      <w:tr>
        <w:tc>
          <w:tcPr>
            <w:tcW w:type="dxa" w:w="362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한전KPS</w:t>
            </w:r>
          </w:p>
        </w:tc>
        <w:tc>
          <w:tcPr>
            <w:tcW w:type="dxa" w:w="2835"/>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+8.3%</w:t>
            </w:r>
          </w:p>
        </w:tc>
        <w:tc>
          <w:tcPr>
            <w:tcW w:type="dxa" w:w="2835"/>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-5.8%</w:t>
            </w:r>
          </w:p>
        </w:tc>
      </w:tr>
      <w:tr>
        <w:tc>
          <w:tcPr>
            <w:tcW w:type="dxa" w:w="3628"/>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코스피</w:t>
            </w:r>
          </w:p>
        </w:tc>
        <w:tc>
          <w:tcPr>
            <w:tcW w:type="dxa" w:w="2835"/>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+21.4%</w:t>
            </w:r>
          </w:p>
        </w:tc>
        <w:tc>
          <w:tcPr>
            <w:tcW w:type="dxa" w:w="2835"/>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-22.9%</w:t>
            </w:r>
          </w:p>
        </w:tc>
      </w:tr>
    </w:tbl>
    <w:p>
      <w:pPr>
        <w:spacing w:before="60" w:after="200" w:lineRule="auto" w:line="312"/>
      </w:pPr>
      <w:r>
        <w:rPr>
          <w:rFonts w:ascii="맑은 고딕" w:hAnsi="맑은 고딕" w:eastAsia="맑은 고딕"/>
          <w:b w:val="0"/>
          <w:color w:val="666B73"/>
          <w:sz w:val="17"/>
        </w:rPr>
        <w:t>두산에너빌리티는 전력·원전 테마 안에서 중위권이다. 동종업체와의 60일 수익률 상관계수는 0.71~0.75다. 코스피 자체가 6월 22일 9,114에서 7월말 5,594까지 38.6% 무너진 뒤 반등하는 국면이다.</w:t>
      </w:r>
    </w:p>
    <w:p>
      <w:pPr>
        <w:spacing w:before="260" w:after="80" w:lineRule="auto" w:line="288"/>
        <w:outlineLvl w:val="1"/>
        <w:keepNext/>
      </w:pPr>
      <w:r>
        <w:rPr>
          <w:rFonts w:ascii="맑은 고딕" w:hAnsi="맑은 고딕" w:eastAsia="맑은 고딕"/>
          <w:b/>
          <w:color w:val="1B365D"/>
          <w:sz w:val="23"/>
        </w:rPr>
        <w:t>차트 구조</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현재가 88,200원. 200일선 91,044원 아래(-3.1%), 120일선 95,075원 아래(-7.2%). 20일선 77,840원 위(+13.3%), 60일선 81,110원 위(+8.7%). 단기 강세, 중기 약세의 혼조다.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상대강도지수 66.2로 과열 직전. 20일 모멘텀 +31.4%. 거래량 2.0배 급증. 거래량균형지표는 누적, 볼린저 상단 밴드, 밴드폭 28.4% 수축이다.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결정론 구조판정은 확인된 반전이며, 점화 조건은 종가 95,075원 돌파, 스윙 저점은 67,100원이다.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공매도 잔고는 유통주식 대비 0.45%로 늘고 있으나 아직 부담 수준(2%)과는 거리가 있다. 뉴스 발생 속도는 평시의 2.89배다.</w:t>
      </w:r>
    </w:p>
    <w:p>
      <w:pPr>
        <w:spacing w:before="400" w:after="40" w:lineRule="auto" w:line="288"/>
        <w:outlineLvl w:val="0"/>
        <w:keepNext/>
      </w:pPr>
      <w:r>
        <w:rPr>
          <w:rFonts w:ascii="맑은 고딕" w:hAnsi="맑은 고딕" w:eastAsia="맑은 고딕"/>
          <w:b/>
          <w:color w:val="1B365D"/>
          <w:sz w:val="28"/>
        </w:rPr>
        <w:t xml:space="preserve">7.  </w:t>
      </w:r>
      <w:r>
        <w:rPr>
          <w:rFonts w:ascii="맑은 고딕" w:hAnsi="맑은 고딕" w:eastAsia="맑은 고딕"/>
          <w:b/>
          <w:color w:val="1B365D"/>
          <w:sz w:val="28"/>
        </w:rPr>
        <w:t>주가 산정</w:t>
      </w:r>
    </w:p>
    <w:p>
      <w:pPr>
        <w:spacing w:before="0" w:after="200" w:lineRule="auto" w:line="240"/>
        <w:pBdr>
          <w:bottom w:val="single" w:sz="10" w:space="1" w:color="1B365D"/>
        </w:pBdr>
      </w:pPr>
    </w:p>
    <w:p>
      <w:pPr>
        <w:spacing w:before="260" w:after="80" w:lineRule="auto" w:line="288"/>
        <w:outlineLvl w:val="1"/>
        <w:keepNext/>
      </w:pPr>
      <w:r>
        <w:rPr>
          <w:rFonts w:ascii="맑은 고딕" w:hAnsi="맑은 고딕" w:eastAsia="맑은 고딕"/>
          <w:b/>
          <w:color w:val="1B365D"/>
          <w:sz w:val="23"/>
        </w:rPr>
        <w:t>먼저 지금 가격을 쪼갠다</w:t>
      </w:r>
    </w:p>
    <w:tbl>
      <w:tblPr>
        <w:tblW w:type="auto" w:w="0"/>
        <w:jc w:val="center"/>
        <w:tblLook w:firstColumn="1" w:firstRow="1" w:lastColumn="0" w:lastRow="0" w:noHBand="0" w:noVBand="1" w:val="04A0"/>
        <w:tblLayout w:type="fixed"/>
      </w:tblPr>
      <w:tblGrid>
        <w:gridCol w:w="3099"/>
        <w:gridCol w:w="3099"/>
        <w:gridCol w:w="3099"/>
      </w:tblGrid>
      <w:tr>
        <w:trPr>
          <w:tblHeader w:val="true"/>
        </w:trPr>
        <w:tc>
          <w:tcPr>
            <w:tcW w:type="dxa" w:w="3061"/>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항목</w:t>
            </w:r>
          </w:p>
        </w:tc>
        <w:tc>
          <w:tcPr>
            <w:tcW w:type="dxa" w:w="3402"/>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계산</w:t>
            </w:r>
          </w:p>
        </w:tc>
        <w:tc>
          <w:tcPr>
            <w:tcW w:type="dxa" w:w="2835"/>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금액</w:t>
            </w:r>
          </w:p>
        </w:tc>
      </w:tr>
      <w:tr>
        <w:tc>
          <w:tcPr>
            <w:tcW w:type="dxa" w:w="306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시가총액</w:t>
            </w:r>
          </w:p>
        </w:tc>
        <w:tc>
          <w:tcPr>
            <w:tcW w:type="dxa" w:w="3402"/>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88,200원 곱하기 6억 4,056만주</w:t>
            </w:r>
          </w:p>
        </w:tc>
        <w:tc>
          <w:tcPr>
            <w:tcW w:type="dxa" w:w="2835"/>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56.50조원</w:t>
            </w:r>
          </w:p>
        </w:tc>
      </w:tr>
      <w:tr>
        <w:tc>
          <w:tcPr>
            <w:tcW w:type="dxa" w:w="306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빼기 두산밥캣 지분</w:t>
            </w:r>
          </w:p>
        </w:tc>
        <w:tc>
          <w:tcPr>
            <w:tcW w:type="dxa" w:w="3402"/>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4,617만주 곱하기 63,100원</w:t>
            </w:r>
          </w:p>
        </w:tc>
        <w:tc>
          <w:tcPr>
            <w:tcW w:type="dxa" w:w="2835"/>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-2.91조원</w:t>
            </w:r>
          </w:p>
        </w:tc>
      </w:tr>
      <w:tr>
        <w:tc>
          <w:tcPr>
            <w:tcW w:type="dxa" w:w="306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빼기 두산퓨얼셀 지분</w:t>
            </w:r>
          </w:p>
        </w:tc>
        <w:tc>
          <w:tcPr>
            <w:tcW w:type="dxa" w:w="3402"/>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2,278만주 곱하기 45,400원</w:t>
            </w:r>
          </w:p>
        </w:tc>
        <w:tc>
          <w:tcPr>
            <w:tcW w:type="dxa" w:w="2835"/>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-1.03조원</w:t>
            </w:r>
          </w:p>
        </w:tc>
      </w:tr>
      <w:tr>
        <w:tc>
          <w:tcPr>
            <w:tcW w:type="dxa" w:w="306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본체에 매겨진 시가총액</w:t>
            </w:r>
          </w:p>
        </w:tc>
        <w:tc>
          <w:tcPr>
            <w:tcW w:type="dxa" w:w="3402"/>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r>
          </w:p>
        </w:tc>
        <w:tc>
          <w:tcPr>
            <w:tcW w:type="dxa" w:w="2835"/>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52.55조원</w:t>
            </w:r>
          </w:p>
        </w:tc>
      </w:tr>
      <w:tr>
        <w:tc>
          <w:tcPr>
            <w:tcW w:type="dxa" w:w="306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더하기 부문 순차입금</w:t>
            </w:r>
          </w:p>
        </w:tc>
        <w:tc>
          <w:tcPr>
            <w:tcW w:type="dxa" w:w="3402"/>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회사 IR 자료</w:t>
            </w:r>
          </w:p>
        </w:tc>
        <w:tc>
          <w:tcPr>
            <w:tcW w:type="dxa" w:w="2835"/>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+4.03조원</w:t>
            </w:r>
          </w:p>
        </w:tc>
      </w:tr>
      <w:tr>
        <w:tc>
          <w:tcPr>
            <w:tcW w:type="dxa" w:w="3061"/>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color w:val="1B365D"/>
                <w:sz w:val="19"/>
              </w:rPr>
              <w:t>본체 기업가치 (EV)</w:t>
            </w:r>
          </w:p>
        </w:tc>
        <w:tc>
          <w:tcPr>
            <w:tcW w:type="dxa" w:w="3402"/>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r>
          </w:p>
        </w:tc>
        <w:tc>
          <w:tcPr>
            <w:tcW w:type="dxa" w:w="2835"/>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color w:val="1B365D"/>
                <w:sz w:val="19"/>
              </w:rPr>
              <w:t>56.59조원</w:t>
            </w:r>
          </w:p>
        </w:tc>
      </w:tr>
    </w:tbl>
    <w:p>
      <w:pPr>
        <w:spacing w:before="60" w:after="200" w:lineRule="auto" w:line="312"/>
      </w:pPr>
      <w:r>
        <w:rPr>
          <w:rFonts w:ascii="맑은 고딕" w:hAnsi="맑은 고딕" w:eastAsia="맑은 고딕"/>
          <w:b w:val="0"/>
          <w:color w:val="666B73"/>
          <w:sz w:val="17"/>
        </w:rPr>
        <w:t>자회사 지분은 지주회사 할인 없이 시가 그대로 반영했다. 회사에 유리한 가정이다.</w:t>
      </w:r>
    </w:p>
    <w:p>
      <w:pPr>
        <w:spacing w:before="260" w:after="80" w:lineRule="auto" w:line="288"/>
        <w:outlineLvl w:val="1"/>
        <w:keepNext/>
      </w:pPr>
      <w:r>
        <w:rPr>
          <w:rFonts w:ascii="맑은 고딕" w:hAnsi="맑은 고딕" w:eastAsia="맑은 고딕"/>
          <w:b/>
          <w:color w:val="1B365D"/>
          <w:sz w:val="23"/>
        </w:rPr>
        <w:t>그 52.6조원이 말이 되려면 무슨 일이 일어나야 하나</w:t>
      </w:r>
    </w:p>
    <w:p>
      <w:pPr>
        <w:spacing w:before="0" w:after="120" w:lineRule="auto" w:line="348"/>
        <w:jc w:val="both"/>
      </w:pPr>
      <w:r>
        <w:rPr>
          <w:rFonts w:ascii="맑은 고딕" w:hAnsi="맑은 고딕" w:eastAsia="맑은 고딕"/>
          <w:b w:val="0"/>
          <w:color w:val="1A1A1A"/>
          <w:sz w:val="21"/>
        </w:rPr>
        <w:t>본체가 지금 버는 순이익은 연 약 1천억원이다. 여기에 배수를 붙여 52.6조원을 만들려면 이익이 얼마나 늘어야 하는지 거꾸로 계산하면 다음과 같다.</w:t>
      </w:r>
    </w:p>
    <w:tbl>
      <w:tblPr>
        <w:tblW w:type="auto" w:w="0"/>
        <w:jc w:val="center"/>
        <w:tblLook w:firstColumn="1" w:firstRow="1" w:lastColumn="0" w:lastRow="0" w:noHBand="0" w:noVBand="1" w:val="04A0"/>
        <w:tblLayout w:type="fixed"/>
      </w:tblPr>
      <w:tblGrid>
        <w:gridCol w:w="2324"/>
        <w:gridCol w:w="2324"/>
        <w:gridCol w:w="2324"/>
        <w:gridCol w:w="2324"/>
      </w:tblGrid>
      <w:tr>
        <w:trPr>
          <w:tblHeader w:val="true"/>
        </w:trPr>
        <w:tc>
          <w:tcPr>
            <w:tcW w:type="dxa" w:w="1928"/>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본체에 줄 PER</w:t>
            </w:r>
          </w:p>
        </w:tc>
        <w:tc>
          <w:tcPr>
            <w:tcW w:type="dxa" w:w="2268"/>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필요한 본체 순이익</w:t>
            </w:r>
          </w:p>
        </w:tc>
        <w:tc>
          <w:tcPr>
            <w:tcW w:type="dxa" w:w="1701"/>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지금의 몇 배</w:t>
            </w:r>
          </w:p>
        </w:tc>
        <w:tc>
          <w:tcPr>
            <w:tcW w:type="dxa" w:w="3402"/>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그 배수의 성격</w:t>
            </w:r>
          </w:p>
        </w:tc>
      </w:tr>
      <w:tr>
        <w:tc>
          <w:tcPr>
            <w:tcW w:type="dxa" w:w="1928"/>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25배</w:t>
            </w:r>
          </w:p>
        </w:tc>
        <w:tc>
          <w:tcPr>
            <w:tcW w:type="dxa" w:w="2268"/>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2.10조원</w:t>
            </w:r>
          </w:p>
        </w:tc>
        <w:tc>
          <w:tcPr>
            <w:tcW w:type="dxa" w:w="1701"/>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21배</w:t>
            </w:r>
          </w:p>
        </w:tc>
        <w:tc>
          <w:tcPr>
            <w:tcW w:type="dxa" w:w="3402"/>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성숙한 성장주</w:t>
            </w:r>
          </w:p>
        </w:tc>
      </w:tr>
      <w:tr>
        <w:tc>
          <w:tcPr>
            <w:tcW w:type="dxa" w:w="1928"/>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40배</w:t>
            </w:r>
          </w:p>
        </w:tc>
        <w:tc>
          <w:tcPr>
            <w:tcW w:type="dxa" w:w="2268"/>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1.32조원</w:t>
            </w:r>
          </w:p>
        </w:tc>
        <w:tc>
          <w:tcPr>
            <w:tcW w:type="dxa" w:w="1701"/>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13배</w:t>
            </w:r>
          </w:p>
        </w:tc>
        <w:tc>
          <w:tcPr>
            <w:tcW w:type="dxa" w:w="3402"/>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고성장 프리미엄</w:t>
            </w:r>
          </w:p>
        </w:tc>
      </w:tr>
      <w:tr>
        <w:tc>
          <w:tcPr>
            <w:tcW w:type="dxa" w:w="1928"/>
            <w:vAlign w:val="center"/>
            <w:tcBorders>
              <w:top w:val="nil"/>
              <w:left w:val="nil"/>
              <w:bottom w:val="single" w:sz="10" w:color="1B365D"/>
              <w:right w:val="nil"/>
            </w:tcBorders>
          </w:tcPr>
          <w:p>
            <w:pPr>
              <w:spacing w:before="70" w:after="70" w:lineRule="auto" w:line="288"/>
              <w:jc w:val="center"/>
            </w:pPr>
            <w:r>
              <w:rPr>
                <w:rFonts w:ascii="맑은 고딕" w:hAnsi="맑은 고딕" w:eastAsia="맑은 고딕"/>
                <w:b w:val="0"/>
                <w:color w:val="1A1A1A"/>
                <w:sz w:val="19"/>
              </w:rPr>
              <w:t>60배</w:t>
            </w:r>
          </w:p>
        </w:tc>
        <w:tc>
          <w:tcPr>
            <w:tcW w:type="dxa" w:w="2268"/>
            <w:vAlign w:val="center"/>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0.88조원</w:t>
            </w:r>
          </w:p>
        </w:tc>
        <w:tc>
          <w:tcPr>
            <w:tcW w:type="dxa" w:w="1701"/>
            <w:vAlign w:val="center"/>
            <w:tcBorders>
              <w:top w:val="nil"/>
              <w:left w:val="nil"/>
              <w:bottom w:val="single" w:sz="10" w:color="1B365D"/>
              <w:right w:val="nil"/>
            </w:tcBorders>
          </w:tcPr>
          <w:p>
            <w:pPr>
              <w:spacing w:before="70" w:after="70" w:lineRule="auto" w:line="288"/>
              <w:jc w:val="center"/>
            </w:pPr>
            <w:r>
              <w:rPr>
                <w:rFonts w:ascii="맑은 고딕" w:hAnsi="맑은 고딕" w:eastAsia="맑은 고딕"/>
                <w:b w:val="0"/>
                <w:color w:val="1A1A1A"/>
                <w:sz w:val="19"/>
              </w:rPr>
              <w:t>9배</w:t>
            </w:r>
          </w:p>
        </w:tc>
        <w:tc>
          <w:tcPr>
            <w:tcW w:type="dxa" w:w="3402"/>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테마 최대치</w:t>
            </w:r>
          </w:p>
        </w:tc>
      </w:tr>
    </w:tbl>
    <w:p>
      <w:pPr>
        <w:spacing w:before="60" w:after="200" w:lineRule="auto" w:line="312"/>
      </w:pPr>
      <w:r>
        <w:rPr>
          <w:rFonts w:ascii="맑은 고딕" w:hAnsi="맑은 고딕" w:eastAsia="맑은 고딕"/>
          <w:b w:val="0"/>
          <w:color w:val="666B73"/>
          <w:sz w:val="17"/>
        </w:rPr>
        <w:t>어떤 배수를 붙이더라도 본체 이익이 9배에서 21배가 되어야 현재 가격이 설명된다.</w:t>
      </w:r>
    </w:p>
    <w:p>
      <w:pPr>
        <w:spacing w:before="260" w:after="80" w:lineRule="auto" w:line="288"/>
        <w:outlineLvl w:val="1"/>
        <w:keepNext/>
      </w:pPr>
      <w:r>
        <w:rPr>
          <w:rFonts w:ascii="맑은 고딕" w:hAnsi="맑은 고딕" w:eastAsia="맑은 고딕"/>
          <w:b/>
          <w:color w:val="1B365D"/>
          <w:sz w:val="23"/>
        </w:rPr>
        <w:t>방법 1 — 기업가치 대비 상각전영업이익 (동종업체 비교)</w:t>
      </w:r>
    </w:p>
    <w:p>
      <w:pPr>
        <w:spacing w:before="0" w:after="120" w:lineRule="auto" w:line="348"/>
        <w:jc w:val="both"/>
      </w:pPr>
      <w:r>
        <w:rPr>
          <w:rFonts w:ascii="맑은 고딕" w:hAnsi="맑은 고딕" w:eastAsia="맑은 고딕"/>
          <w:b w:val="0"/>
          <w:color w:val="1A1A1A"/>
          <w:sz w:val="21"/>
        </w:rPr>
        <w:t xml:space="preserve">부문 상각전영업이익은 2026년 상반기 2,426억원이었다. 연간으로 약 5,400억원, 2027년은 컨센서스 연결 영업이익 증가율(+43.6%)을 준용해 약 7,600억원으로 추정한다. 이를 위에서 구한 본체 기업가치 56.59조원과 대조하면 </w:t>
      </w:r>
      <w:r>
        <w:rPr>
          <w:rFonts w:ascii="맑은 고딕" w:hAnsi="맑은 고딕" w:eastAsia="맑은 고딕"/>
          <w:b/>
          <w:color w:val="1B365D"/>
          <w:sz w:val="21"/>
        </w:rPr>
        <w:t>2026년 기준 105배, 2027년 기준 74.5배</w:t>
      </w:r>
      <w:r>
        <w:rPr>
          <w:rFonts w:ascii="맑은 고딕" w:hAnsi="맑은 고딕" w:eastAsia="맑은 고딕"/>
          <w:b w:val="0"/>
          <w:color w:val="1A1A1A"/>
          <w:sz w:val="21"/>
        </w:rPr>
        <w:t>다. 같은 지표를 글로벌 동종업체와 나란히 놓으면 다음과 같다.</w:t>
      </w:r>
    </w:p>
    <w:tbl>
      <w:tblPr>
        <w:tblW w:type="auto" w:w="0"/>
        <w:jc w:val="center"/>
        <w:tblLook w:firstColumn="1" w:firstRow="1" w:lastColumn="0" w:lastRow="0" w:noHBand="0" w:noVBand="1" w:val="04A0"/>
        <w:tblLayout w:type="fixed"/>
      </w:tblPr>
      <w:tblGrid>
        <w:gridCol w:w="2324"/>
        <w:gridCol w:w="2324"/>
        <w:gridCol w:w="2324"/>
        <w:gridCol w:w="2324"/>
      </w:tblGrid>
      <w:tr>
        <w:trPr>
          <w:tblHeader w:val="true"/>
        </w:trPr>
        <w:tc>
          <w:tcPr>
            <w:tcW w:type="dxa" w:w="2494"/>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회사</w:t>
            </w:r>
          </w:p>
        </w:tc>
        <w:tc>
          <w:tcPr>
            <w:tcW w:type="dxa" w:w="249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기업가치/상각전영업이익</w:t>
            </w:r>
          </w:p>
        </w:tc>
        <w:tc>
          <w:tcPr>
            <w:tcW w:type="dxa" w:w="181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12개월 선행 PER</w:t>
            </w:r>
          </w:p>
        </w:tc>
        <w:tc>
          <w:tcPr>
            <w:tcW w:type="dxa" w:w="2494"/>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성격</w:t>
            </w:r>
          </w:p>
        </w:tc>
      </w:tr>
      <w:tr>
        <w:tc>
          <w:tcPr>
            <w:tcW w:type="dxa" w:w="249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두산에너빌리티 본체</w:t>
            </w:r>
          </w:p>
        </w:tc>
        <w:tc>
          <w:tcPr>
            <w:tcW w:type="dxa" w:w="249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74.5배 (2027년 추정)</w:t>
            </w:r>
          </w:p>
        </w:tc>
        <w:tc>
          <w:tcPr>
            <w:tcW w:type="dxa" w:w="181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177배 (연결)</w:t>
            </w:r>
          </w:p>
        </w:tc>
        <w:tc>
          <w:tcPr>
            <w:tcW w:type="dxa" w:w="249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비교 대상</w:t>
            </w:r>
          </w:p>
        </w:tc>
      </w:tr>
      <w:tr>
        <w:tc>
          <w:tcPr>
            <w:tcW w:type="dxa" w:w="249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GE Vernova</w:t>
            </w:r>
          </w:p>
        </w:tc>
        <w:tc>
          <w:tcPr>
            <w:tcW w:type="dxa" w:w="249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62.7배</w:t>
            </w:r>
          </w:p>
        </w:tc>
        <w:tc>
          <w:tcPr>
            <w:tcW w:type="dxa" w:w="181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37.9배</w:t>
            </w:r>
          </w:p>
        </w:tc>
        <w:tc>
          <w:tcPr>
            <w:tcW w:type="dxa" w:w="249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글로벌 발전설비 최고가</w:t>
            </w:r>
          </w:p>
        </w:tc>
      </w:tr>
      <w:tr>
        <w:tc>
          <w:tcPr>
            <w:tcW w:type="dxa" w:w="249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BWX Technologies</w:t>
            </w:r>
          </w:p>
        </w:tc>
        <w:tc>
          <w:tcPr>
            <w:tcW w:type="dxa" w:w="249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32.9배</w:t>
            </w:r>
          </w:p>
        </w:tc>
        <w:tc>
          <w:tcPr>
            <w:tcW w:type="dxa" w:w="181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29.7배</w:t>
            </w:r>
          </w:p>
        </w:tc>
        <w:tc>
          <w:tcPr>
            <w:tcW w:type="dxa" w:w="249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미국 원전 기자재. 가장 가까운 비교군</w:t>
            </w:r>
          </w:p>
        </w:tc>
      </w:tr>
      <w:tr>
        <w:tc>
          <w:tcPr>
            <w:tcW w:type="dxa" w:w="249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Siemens Energy</w:t>
            </w:r>
          </w:p>
        </w:tc>
        <w:tc>
          <w:tcPr>
            <w:tcW w:type="dxa" w:w="249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24.3배</w:t>
            </w:r>
          </w:p>
        </w:tc>
        <w:tc>
          <w:tcPr>
            <w:tcW w:type="dxa" w:w="181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22.6배</w:t>
            </w:r>
          </w:p>
        </w:tc>
        <w:tc>
          <w:tcPr>
            <w:tcW w:type="dxa" w:w="249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유럽 발전설비</w:t>
            </w:r>
          </w:p>
        </w:tc>
      </w:tr>
      <w:tr>
        <w:tc>
          <w:tcPr>
            <w:tcW w:type="dxa" w:w="249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Constellation Energy</w:t>
            </w:r>
          </w:p>
        </w:tc>
        <w:tc>
          <w:tcPr>
            <w:tcW w:type="dxa" w:w="249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15.6배</w:t>
            </w:r>
          </w:p>
        </w:tc>
        <w:tc>
          <w:tcPr>
            <w:tcW w:type="dxa" w:w="181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21.2배</w:t>
            </w:r>
          </w:p>
        </w:tc>
        <w:tc>
          <w:tcPr>
            <w:tcW w:type="dxa" w:w="249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미국 원전 운영</w:t>
            </w:r>
          </w:p>
        </w:tc>
      </w:tr>
      <w:tr>
        <w:tc>
          <w:tcPr>
            <w:tcW w:type="dxa" w:w="2494"/>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두산밥캣</w:t>
            </w:r>
          </w:p>
        </w:tc>
        <w:tc>
          <w:tcPr>
            <w:tcW w:type="dxa" w:w="2494"/>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4.4배</w:t>
            </w:r>
          </w:p>
        </w:tc>
        <w:tc>
          <w:tcPr>
            <w:tcW w:type="dxa" w:w="1814"/>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11배</w:t>
            </w:r>
          </w:p>
        </w:tc>
        <w:tc>
          <w:tcPr>
            <w:tcW w:type="dxa" w:w="2494"/>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자회사</w:t>
            </w:r>
          </w:p>
        </w:tc>
      </w:tr>
    </w:tbl>
    <w:p>
      <w:pPr>
        <w:spacing w:before="60" w:after="200" w:lineRule="auto" w:line="312"/>
      </w:pPr>
      <w:r>
        <w:rPr>
          <w:rFonts w:ascii="맑은 고딕" w:hAnsi="맑은 고딕" w:eastAsia="맑은 고딕"/>
          <w:b w:val="0"/>
          <w:color w:val="666B73"/>
          <w:sz w:val="17"/>
        </w:rPr>
        <w:t>자료: 두산에너빌리티 본체는 본 보고서 산출, 나머지는 시장 데이터. 본체는 글로벌에서 가장 비싼 GE Vernova보다도 19% 비싸다.</w:t>
      </w:r>
    </w:p>
    <w:p>
      <w:pPr>
        <w:spacing w:before="260" w:after="80" w:lineRule="auto" w:line="288"/>
        <w:outlineLvl w:val="1"/>
        <w:keepNext/>
      </w:pPr>
      <w:r>
        <w:rPr>
          <w:rFonts w:ascii="맑은 고딕" w:hAnsi="맑은 고딕" w:eastAsia="맑은 고딕"/>
          <w:b/>
          <w:color w:val="1B365D"/>
          <w:sz w:val="23"/>
        </w:rPr>
        <w:t>방법 2 — 배수별 목표주가 환산</w:t>
      </w:r>
    </w:p>
    <w:tbl>
      <w:tblPr>
        <w:tblW w:type="auto" w:w="0"/>
        <w:jc w:val="center"/>
        <w:tblLook w:firstColumn="1" w:firstRow="1" w:lastColumn="0" w:lastRow="0" w:noHBand="0" w:noVBand="1" w:val="04A0"/>
        <w:tblLayout w:type="fixed"/>
      </w:tblPr>
      <w:tblGrid>
        <w:gridCol w:w="1550"/>
        <w:gridCol w:w="1550"/>
        <w:gridCol w:w="1550"/>
        <w:gridCol w:w="1550"/>
        <w:gridCol w:w="1550"/>
        <w:gridCol w:w="1550"/>
      </w:tblGrid>
      <w:tr>
        <w:trPr>
          <w:tblHeader w:val="true"/>
        </w:trPr>
        <w:tc>
          <w:tcPr>
            <w:tcW w:type="dxa" w:w="1474"/>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본체 적용 배수</w:t>
            </w:r>
          </w:p>
        </w:tc>
        <w:tc>
          <w:tcPr>
            <w:tcW w:type="dxa" w:w="2041"/>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근거</w:t>
            </w:r>
          </w:p>
        </w:tc>
        <w:tc>
          <w:tcPr>
            <w:tcW w:type="dxa" w:w="164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본체 기업가치</w:t>
            </w:r>
          </w:p>
        </w:tc>
        <w:tc>
          <w:tcPr>
            <w:tcW w:type="dxa" w:w="164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환산 시가총액</w:t>
            </w:r>
          </w:p>
        </w:tc>
        <w:tc>
          <w:tcPr>
            <w:tcW w:type="dxa" w:w="147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주당 가치</w:t>
            </w:r>
          </w:p>
        </w:tc>
        <w:tc>
          <w:tcPr>
            <w:tcW w:type="dxa" w:w="1361"/>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현재가 대비</w:t>
            </w:r>
          </w:p>
        </w:tc>
      </w:tr>
      <w:tr>
        <w:tc>
          <w:tcPr>
            <w:tcW w:type="dxa" w:w="1474"/>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25배</w:t>
            </w:r>
          </w:p>
        </w:tc>
        <w:tc>
          <w:tcPr>
            <w:tcW w:type="dxa" w:w="204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Siemens Energy 수준</w:t>
            </w:r>
          </w:p>
        </w:tc>
        <w:tc>
          <w:tcPr>
            <w:tcW w:type="dxa" w:w="164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19.0조원</w:t>
            </w:r>
          </w:p>
        </w:tc>
        <w:tc>
          <w:tcPr>
            <w:tcW w:type="dxa" w:w="164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18.9조원</w:t>
            </w:r>
          </w:p>
        </w:tc>
        <w:tc>
          <w:tcPr>
            <w:tcW w:type="dxa" w:w="147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29,500원</w:t>
            </w:r>
          </w:p>
        </w:tc>
        <w:tc>
          <w:tcPr>
            <w:tcW w:type="dxa" w:w="136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-66.5%</w:t>
            </w:r>
          </w:p>
        </w:tc>
      </w:tr>
      <w:tr>
        <w:tc>
          <w:tcPr>
            <w:tcW w:type="dxa" w:w="1474"/>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33배</w:t>
            </w:r>
          </w:p>
        </w:tc>
        <w:tc>
          <w:tcPr>
            <w:tcW w:type="dxa" w:w="204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BWXT 수준</w:t>
            </w:r>
          </w:p>
        </w:tc>
        <w:tc>
          <w:tcPr>
            <w:tcW w:type="dxa" w:w="164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25.1조원</w:t>
            </w:r>
          </w:p>
        </w:tc>
        <w:tc>
          <w:tcPr>
            <w:tcW w:type="dxa" w:w="164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25.0조원</w:t>
            </w:r>
          </w:p>
        </w:tc>
        <w:tc>
          <w:tcPr>
            <w:tcW w:type="dxa" w:w="147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39,000원</w:t>
            </w:r>
          </w:p>
        </w:tc>
        <w:tc>
          <w:tcPr>
            <w:tcW w:type="dxa" w:w="136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-55.8%</w:t>
            </w:r>
          </w:p>
        </w:tc>
      </w:tr>
      <w:tr>
        <w:tc>
          <w:tcPr>
            <w:tcW w:type="dxa" w:w="1474"/>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40배</w:t>
            </w:r>
          </w:p>
        </w:tc>
        <w:tc>
          <w:tcPr>
            <w:tcW w:type="dxa" w:w="204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BWXT에 성장 프리미엄</w:t>
            </w:r>
          </w:p>
        </w:tc>
        <w:tc>
          <w:tcPr>
            <w:tcW w:type="dxa" w:w="164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30.4조원</w:t>
            </w:r>
          </w:p>
        </w:tc>
        <w:tc>
          <w:tcPr>
            <w:tcW w:type="dxa" w:w="164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30.3조원</w:t>
            </w:r>
          </w:p>
        </w:tc>
        <w:tc>
          <w:tcPr>
            <w:tcW w:type="dxa" w:w="147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47,300원</w:t>
            </w:r>
          </w:p>
        </w:tc>
        <w:tc>
          <w:tcPr>
            <w:tcW w:type="dxa" w:w="136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-46.4%</w:t>
            </w:r>
          </w:p>
        </w:tc>
      </w:tr>
      <w:tr>
        <w:tc>
          <w:tcPr>
            <w:tcW w:type="dxa" w:w="1474"/>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46.5배</w:t>
            </w:r>
          </w:p>
        </w:tc>
        <w:tc>
          <w:tcPr>
            <w:tcW w:type="dxa" w:w="204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본 보고서 채택</w:t>
            </w:r>
          </w:p>
        </w:tc>
        <w:tc>
          <w:tcPr>
            <w:tcW w:type="dxa" w:w="164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35.3조원</w:t>
            </w:r>
          </w:p>
        </w:tc>
        <w:tc>
          <w:tcPr>
            <w:tcW w:type="dxa" w:w="164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35.3조원</w:t>
            </w:r>
          </w:p>
        </w:tc>
        <w:tc>
          <w:tcPr>
            <w:tcW w:type="dxa" w:w="147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55,000원</w:t>
            </w:r>
          </w:p>
        </w:tc>
        <w:tc>
          <w:tcPr>
            <w:tcW w:type="dxa" w:w="136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-37.6%</w:t>
            </w:r>
          </w:p>
        </w:tc>
      </w:tr>
      <w:tr>
        <w:tc>
          <w:tcPr>
            <w:tcW w:type="dxa" w:w="1474"/>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63배</w:t>
            </w:r>
          </w:p>
        </w:tc>
        <w:tc>
          <w:tcPr>
            <w:tcW w:type="dxa" w:w="204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GE Vernova 수준</w:t>
            </w:r>
          </w:p>
        </w:tc>
        <w:tc>
          <w:tcPr>
            <w:tcW w:type="dxa" w:w="164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47.9조원</w:t>
            </w:r>
          </w:p>
        </w:tc>
        <w:tc>
          <w:tcPr>
            <w:tcW w:type="dxa" w:w="164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47.8조원</w:t>
            </w:r>
          </w:p>
        </w:tc>
        <w:tc>
          <w:tcPr>
            <w:tcW w:type="dxa" w:w="147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74,600원</w:t>
            </w:r>
          </w:p>
        </w:tc>
        <w:tc>
          <w:tcPr>
            <w:tcW w:type="dxa" w:w="136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-15.4%</w:t>
            </w:r>
          </w:p>
        </w:tc>
      </w:tr>
      <w:tr>
        <w:tc>
          <w:tcPr>
            <w:tcW w:type="dxa" w:w="1474"/>
            <w:vAlign w:val="center"/>
            <w:shd w:val="clear" w:fill="F4F6F8"/>
            <w:tcBorders>
              <w:top w:val="nil"/>
              <w:left w:val="nil"/>
              <w:bottom w:val="single" w:sz="10" w:color="1B365D"/>
              <w:right w:val="nil"/>
            </w:tcBorders>
          </w:tcPr>
          <w:p>
            <w:pPr>
              <w:spacing w:before="70" w:after="70" w:lineRule="auto" w:line="288"/>
              <w:jc w:val="center"/>
            </w:pPr>
            <w:r>
              <w:rPr>
                <w:rFonts w:ascii="맑은 고딕" w:hAnsi="맑은 고딕" w:eastAsia="맑은 고딕"/>
                <w:b/>
                <w:color w:val="1B365D"/>
                <w:sz w:val="19"/>
              </w:rPr>
              <w:t>74.5배</w:t>
            </w:r>
          </w:p>
        </w:tc>
        <w:tc>
          <w:tcPr>
            <w:tcW w:type="dxa" w:w="2041"/>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color w:val="1B365D"/>
                <w:sz w:val="19"/>
              </w:rPr>
              <w:t>현재 시장 가격</w:t>
            </w:r>
          </w:p>
        </w:tc>
        <w:tc>
          <w:tcPr>
            <w:tcW w:type="dxa" w:w="1644"/>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color w:val="1B365D"/>
                <w:sz w:val="19"/>
              </w:rPr>
              <w:t>56.6조원</w:t>
            </w:r>
          </w:p>
        </w:tc>
        <w:tc>
          <w:tcPr>
            <w:tcW w:type="dxa" w:w="1644"/>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color w:val="1B365D"/>
                <w:sz w:val="19"/>
              </w:rPr>
              <w:t>56.5조원</w:t>
            </w:r>
          </w:p>
        </w:tc>
        <w:tc>
          <w:tcPr>
            <w:tcW w:type="dxa" w:w="1474"/>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color w:val="1B365D"/>
                <w:sz w:val="19"/>
              </w:rPr>
              <w:t>88,200원</w:t>
            </w:r>
          </w:p>
        </w:tc>
        <w:tc>
          <w:tcPr>
            <w:tcW w:type="dxa" w:w="1361"/>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color w:val="1B365D"/>
                <w:sz w:val="19"/>
              </w:rPr>
              <w:t>0%</w:t>
            </w:r>
          </w:p>
        </w:tc>
      </w:tr>
    </w:tbl>
    <w:p>
      <w:pPr>
        <w:spacing w:before="60" w:after="200" w:lineRule="auto" w:line="312"/>
      </w:pPr>
      <w:r>
        <w:rPr>
          <w:rFonts w:ascii="맑은 고딕" w:hAnsi="맑은 고딕" w:eastAsia="맑은 고딕"/>
          <w:b w:val="0"/>
          <w:color w:val="666B73"/>
          <w:sz w:val="17"/>
        </w:rPr>
        <w:t>2027년 부문 상각전영업이익 7,600억원 추정 기준. 환산 시가총액은 본체 기업가치에서 순차입금 4.03조원을 빼고 자회사 지분 시가 3.95조원을 더한 값이다.</w:t>
      </w:r>
    </w:p>
    <w:p>
      <w:pPr>
        <w:spacing w:before="260" w:after="80" w:lineRule="auto" w:line="288"/>
        <w:outlineLvl w:val="1"/>
        <w:keepNext/>
      </w:pPr>
      <w:r>
        <w:rPr>
          <w:rFonts w:ascii="맑은 고딕" w:hAnsi="맑은 고딕" w:eastAsia="맑은 고딕"/>
          <w:b/>
          <w:color w:val="1B365D"/>
          <w:sz w:val="23"/>
        </w:rPr>
        <w:t>방법 3 — 주가수익비율 동종 비교로 교차 검증</w:t>
      </w:r>
    </w:p>
    <w:tbl>
      <w:tblPr>
        <w:tblW w:type="auto" w:w="0"/>
        <w:jc w:val="center"/>
        <w:tblLook w:firstColumn="1" w:firstRow="1" w:lastColumn="0" w:lastRow="0" w:noHBand="0" w:noVBand="1" w:val="04A0"/>
        <w:tblLayout w:type="fixed"/>
      </w:tblPr>
      <w:tblGrid>
        <w:gridCol w:w="2324"/>
        <w:gridCol w:w="2324"/>
        <w:gridCol w:w="2324"/>
        <w:gridCol w:w="2324"/>
      </w:tblGrid>
      <w:tr>
        <w:trPr>
          <w:tblHeader w:val="true"/>
        </w:trPr>
        <w:tc>
          <w:tcPr>
            <w:tcW w:type="dxa" w:w="2608"/>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종목</w:t>
            </w:r>
          </w:p>
        </w:tc>
        <w:tc>
          <w:tcPr>
            <w:tcW w:type="dxa" w:w="2041"/>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12개월 선행 PER</w:t>
            </w:r>
          </w:p>
        </w:tc>
        <w:tc>
          <w:tcPr>
            <w:tcW w:type="dxa" w:w="2041"/>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주가순자산비율</w:t>
            </w:r>
          </w:p>
        </w:tc>
        <w:tc>
          <w:tcPr>
            <w:tcW w:type="dxa" w:w="2608"/>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비고</w:t>
            </w:r>
          </w:p>
        </w:tc>
      </w:tr>
      <w:tr>
        <w:tc>
          <w:tcPr>
            <w:tcW w:type="dxa" w:w="260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두산에너빌리티</w:t>
            </w:r>
          </w:p>
        </w:tc>
        <w:tc>
          <w:tcPr>
            <w:tcW w:type="dxa" w:w="204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177배</w:t>
            </w:r>
          </w:p>
        </w:tc>
        <w:tc>
          <w:tcPr>
            <w:tcW w:type="dxa" w:w="204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6.91배</w:t>
            </w:r>
          </w:p>
        </w:tc>
        <w:tc>
          <w:tcPr>
            <w:tcW w:type="dxa" w:w="260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비교 대상</w:t>
            </w:r>
          </w:p>
        </w:tc>
      </w:tr>
      <w:tr>
        <w:tc>
          <w:tcPr>
            <w:tcW w:type="dxa" w:w="260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한국전력기술</w:t>
            </w:r>
          </w:p>
        </w:tc>
        <w:tc>
          <w:tcPr>
            <w:tcW w:type="dxa" w:w="204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81배</w:t>
            </w:r>
          </w:p>
        </w:tc>
        <w:tc>
          <w:tcPr>
            <w:tcW w:type="dxa" w:w="204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7.86배</w:t>
            </w:r>
          </w:p>
        </w:tc>
        <w:tc>
          <w:tcPr>
            <w:tcW w:type="dxa" w:w="260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원전 설계</w:t>
            </w:r>
          </w:p>
        </w:tc>
      </w:tr>
      <w:tr>
        <w:tc>
          <w:tcPr>
            <w:tcW w:type="dxa" w:w="260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LS ELECTRIC</w:t>
            </w:r>
          </w:p>
        </w:tc>
        <w:tc>
          <w:tcPr>
            <w:tcW w:type="dxa" w:w="204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60배</w:t>
            </w:r>
          </w:p>
        </w:tc>
        <w:tc>
          <w:tcPr>
            <w:tcW w:type="dxa" w:w="204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14.98배</w:t>
            </w:r>
          </w:p>
        </w:tc>
        <w:tc>
          <w:tcPr>
            <w:tcW w:type="dxa" w:w="260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전력기기</w:t>
            </w:r>
          </w:p>
        </w:tc>
      </w:tr>
      <w:tr>
        <w:tc>
          <w:tcPr>
            <w:tcW w:type="dxa" w:w="260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효성중공업</w:t>
            </w:r>
          </w:p>
        </w:tc>
        <w:tc>
          <w:tcPr>
            <w:tcW w:type="dxa" w:w="204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38배</w:t>
            </w:r>
          </w:p>
        </w:tc>
        <w:tc>
          <w:tcPr>
            <w:tcW w:type="dxa" w:w="204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11.35배</w:t>
            </w:r>
          </w:p>
        </w:tc>
        <w:tc>
          <w:tcPr>
            <w:tcW w:type="dxa" w:w="260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변압기·중공업</w:t>
            </w:r>
          </w:p>
        </w:tc>
      </w:tr>
      <w:tr>
        <w:tc>
          <w:tcPr>
            <w:tcW w:type="dxa" w:w="260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HD현대일렉트릭</w:t>
            </w:r>
          </w:p>
        </w:tc>
        <w:tc>
          <w:tcPr>
            <w:tcW w:type="dxa" w:w="204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31배</w:t>
            </w:r>
          </w:p>
        </w:tc>
        <w:tc>
          <w:tcPr>
            <w:tcW w:type="dxa" w:w="204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12.99배</w:t>
            </w:r>
          </w:p>
        </w:tc>
        <w:tc>
          <w:tcPr>
            <w:tcW w:type="dxa" w:w="260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변압기</w:t>
            </w:r>
          </w:p>
        </w:tc>
      </w:tr>
      <w:tr>
        <w:tc>
          <w:tcPr>
            <w:tcW w:type="dxa" w:w="260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두산밥캣</w:t>
            </w:r>
          </w:p>
        </w:tc>
        <w:tc>
          <w:tcPr>
            <w:tcW w:type="dxa" w:w="204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11배</w:t>
            </w:r>
          </w:p>
        </w:tc>
        <w:tc>
          <w:tcPr>
            <w:tcW w:type="dxa" w:w="204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0.77배</w:t>
            </w:r>
          </w:p>
        </w:tc>
        <w:tc>
          <w:tcPr>
            <w:tcW w:type="dxa" w:w="260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자회사</w:t>
            </w:r>
          </w:p>
        </w:tc>
      </w:tr>
      <w:tr>
        <w:tc>
          <w:tcPr>
            <w:tcW w:type="dxa" w:w="2608"/>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동종 중앙값</w:t>
            </w:r>
          </w:p>
        </w:tc>
        <w:tc>
          <w:tcPr>
            <w:tcW w:type="dxa" w:w="2041"/>
            <w:vAlign w:val="center"/>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38배</w:t>
            </w:r>
          </w:p>
        </w:tc>
        <w:tc>
          <w:tcPr>
            <w:tcW w:type="dxa" w:w="2041"/>
            <w:vAlign w:val="center"/>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11.35배</w:t>
            </w:r>
          </w:p>
        </w:tc>
        <w:tc>
          <w:tcPr>
            <w:tcW w:type="dxa" w:w="2608"/>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r>
          </w:p>
        </w:tc>
      </w:tr>
    </w:tbl>
    <w:p>
      <w:pPr>
        <w:spacing w:before="60" w:after="200" w:lineRule="auto" w:line="312"/>
      </w:pPr>
      <w:r>
        <w:rPr>
          <w:rFonts w:ascii="맑은 고딕" w:hAnsi="맑은 고딕" w:eastAsia="맑은 고딕"/>
          <w:b w:val="0"/>
          <w:color w:val="666B73"/>
          <w:sz w:val="17"/>
        </w:rPr>
        <w:t>자료: FnGuide, 2026년 8월 28일. 2027년 컨센서스 지배순이익 5,677억원에 동종 중앙값 38배를 적용하면 시가총액 21.6조원, 주당 33,700원이다. 가장 비싼 국내 동종인 한국전력기술의 81배를 적용해도 주당 71,800원이다.</w:t>
      </w:r>
    </w:p>
    <w:p>
      <w:pPr>
        <w:spacing w:before="260" w:after="80" w:lineRule="auto" w:line="288"/>
        <w:outlineLvl w:val="1"/>
        <w:keepNext/>
      </w:pPr>
      <w:r>
        <w:rPr>
          <w:rFonts w:ascii="맑은 고딕" w:hAnsi="맑은 고딕" w:eastAsia="맑은 고딕"/>
          <w:b/>
          <w:color w:val="1B365D"/>
          <w:sz w:val="23"/>
        </w:rPr>
        <w:t>방법 4 — 시나리오 현재가치 (2030년 목표 기준, 할인율 10%·4년)</w:t>
      </w:r>
    </w:p>
    <w:tbl>
      <w:tblPr>
        <w:tblW w:type="auto" w:w="0"/>
        <w:jc w:val="center"/>
        <w:tblLook w:firstColumn="1" w:firstRow="1" w:lastColumn="0" w:lastRow="0" w:noHBand="0" w:noVBand="1" w:val="04A0"/>
        <w:tblLayout w:type="fixed"/>
      </w:tblPr>
      <w:tblGrid>
        <w:gridCol w:w="1550"/>
        <w:gridCol w:w="1550"/>
        <w:gridCol w:w="1550"/>
        <w:gridCol w:w="1550"/>
        <w:gridCol w:w="1550"/>
        <w:gridCol w:w="1550"/>
      </w:tblGrid>
      <w:tr>
        <w:trPr>
          <w:tblHeader w:val="true"/>
        </w:trPr>
        <w:tc>
          <w:tcPr>
            <w:tcW w:type="dxa" w:w="3061"/>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시나리오</w:t>
            </w:r>
          </w:p>
        </w:tc>
        <w:tc>
          <w:tcPr>
            <w:tcW w:type="dxa" w:w="147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2030년 본체 매출</w:t>
            </w:r>
          </w:p>
        </w:tc>
        <w:tc>
          <w:tcPr>
            <w:tcW w:type="dxa" w:w="1247"/>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영업이익률</w:t>
            </w:r>
          </w:p>
        </w:tc>
        <w:tc>
          <w:tcPr>
            <w:tcW w:type="dxa" w:w="1077"/>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적용 PER</w:t>
            </w:r>
          </w:p>
        </w:tc>
        <w:tc>
          <w:tcPr>
            <w:tcW w:type="dxa" w:w="147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2030년 시가총액</w:t>
            </w:r>
          </w:p>
        </w:tc>
        <w:tc>
          <w:tcPr>
            <w:tcW w:type="dxa" w:w="1417"/>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현재가치 주당</w:t>
            </w:r>
          </w:p>
        </w:tc>
      </w:tr>
      <w:tr>
        <w:tc>
          <w:tcPr>
            <w:tcW w:type="dxa" w:w="306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약세 — 원전 지연, 가스터빈 경쟁 격화</w:t>
            </w:r>
          </w:p>
        </w:tc>
        <w:tc>
          <w:tcPr>
            <w:tcW w:type="dxa" w:w="147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10조원</w:t>
            </w:r>
          </w:p>
        </w:tc>
        <w:tc>
          <w:tcPr>
            <w:tcW w:type="dxa" w:w="1247"/>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6%</w:t>
            </w:r>
          </w:p>
        </w:tc>
        <w:tc>
          <w:tcPr>
            <w:tcW w:type="dxa" w:w="1077"/>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15배</w:t>
            </w:r>
          </w:p>
        </w:tc>
        <w:tc>
          <w:tcPr>
            <w:tcW w:type="dxa" w:w="147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10.3조원</w:t>
            </w:r>
          </w:p>
        </w:tc>
        <w:tc>
          <w:tcPr>
            <w:tcW w:type="dxa" w:w="1417"/>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10,900원</w:t>
            </w:r>
          </w:p>
        </w:tc>
      </w:tr>
      <w:tr>
        <w:tc>
          <w:tcPr>
            <w:tcW w:type="dxa" w:w="306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기본 — 잔고가 계획대로 매출화</w:t>
            </w:r>
          </w:p>
        </w:tc>
        <w:tc>
          <w:tcPr>
            <w:tcW w:type="dxa" w:w="147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13조원</w:t>
            </w:r>
          </w:p>
        </w:tc>
        <w:tc>
          <w:tcPr>
            <w:tcW w:type="dxa" w:w="1247"/>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9%</w:t>
            </w:r>
          </w:p>
        </w:tc>
        <w:tc>
          <w:tcPr>
            <w:tcW w:type="dxa" w:w="1077"/>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20배</w:t>
            </w:r>
          </w:p>
        </w:tc>
        <w:tc>
          <w:tcPr>
            <w:tcW w:type="dxa" w:w="147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21.5조원</w:t>
            </w:r>
          </w:p>
        </w:tc>
        <w:tc>
          <w:tcPr>
            <w:tcW w:type="dxa" w:w="1417"/>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22,900원</w:t>
            </w:r>
          </w:p>
        </w:tc>
      </w:tr>
      <w:tr>
        <w:tc>
          <w:tcPr>
            <w:tcW w:type="dxa" w:w="306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강세 — 소형모듈 20모듈, 가스터빈 연 15기</w:t>
            </w:r>
          </w:p>
        </w:tc>
        <w:tc>
          <w:tcPr>
            <w:tcW w:type="dxa" w:w="147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18조원</w:t>
            </w:r>
          </w:p>
        </w:tc>
        <w:tc>
          <w:tcPr>
            <w:tcW w:type="dxa" w:w="1247"/>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12%</w:t>
            </w:r>
          </w:p>
        </w:tc>
        <w:tc>
          <w:tcPr>
            <w:tcW w:type="dxa" w:w="1077"/>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28배</w:t>
            </w:r>
          </w:p>
        </w:tc>
        <w:tc>
          <w:tcPr>
            <w:tcW w:type="dxa" w:w="147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49.9조원</w:t>
            </w:r>
          </w:p>
        </w:tc>
        <w:tc>
          <w:tcPr>
            <w:tcW w:type="dxa" w:w="1417"/>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53,200원</w:t>
            </w:r>
          </w:p>
        </w:tc>
      </w:tr>
      <w:tr>
        <w:tc>
          <w:tcPr>
            <w:tcW w:type="dxa" w:w="3061"/>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color w:val="1B365D"/>
                <w:sz w:val="19"/>
              </w:rPr>
              <w:t>초강세 — 지금 가격이 가정하는 세계</w:t>
            </w:r>
          </w:p>
        </w:tc>
        <w:tc>
          <w:tcPr>
            <w:tcW w:type="dxa" w:w="1474"/>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color w:val="1B365D"/>
                <w:sz w:val="19"/>
              </w:rPr>
              <w:t>24조원</w:t>
            </w:r>
          </w:p>
        </w:tc>
        <w:tc>
          <w:tcPr>
            <w:tcW w:type="dxa" w:w="1247"/>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color w:val="1B365D"/>
                <w:sz w:val="19"/>
              </w:rPr>
              <w:t>15%</w:t>
            </w:r>
          </w:p>
        </w:tc>
        <w:tc>
          <w:tcPr>
            <w:tcW w:type="dxa" w:w="1077"/>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color w:val="1B365D"/>
                <w:sz w:val="19"/>
              </w:rPr>
              <w:t>30배</w:t>
            </w:r>
          </w:p>
        </w:tc>
        <w:tc>
          <w:tcPr>
            <w:tcW w:type="dxa" w:w="1474"/>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color w:val="1B365D"/>
                <w:sz w:val="19"/>
              </w:rPr>
              <w:t>86.0조원</w:t>
            </w:r>
          </w:p>
        </w:tc>
        <w:tc>
          <w:tcPr>
            <w:tcW w:type="dxa" w:w="1417"/>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color w:val="1B365D"/>
                <w:sz w:val="19"/>
              </w:rPr>
              <w:t>91,700원</w:t>
            </w:r>
          </w:p>
        </w:tc>
      </w:tr>
    </w:tbl>
    <w:p>
      <w:pPr>
        <w:spacing w:before="60" w:after="200" w:lineRule="auto" w:line="312"/>
      </w:pPr>
      <w:r>
        <w:rPr>
          <w:rFonts w:ascii="맑은 고딕" w:hAnsi="맑은 고딕" w:eastAsia="맑은 고딕"/>
          <w:b w:val="0"/>
          <w:color w:val="666B73"/>
          <w:sz w:val="17"/>
        </w:rPr>
        <w:t>확률을 약세 22%, 기본 41%, 강세 26%, 초강세 11%로 두면 가중평균은 약 35,700원이다(2026년 8월 29일 재산정. 그 전에는 25/40/25/10에 34,000원이었다). 이 표의 목적은 정답을 제시하는 것이 아니라, 현재 가격이 어느 칸에 앉아 있는지를 보이는 것이다. 88,200원은 가장 낙관적인 칸 바로 아래에 있다.</w:t>
      </w:r>
    </w:p>
    <w:p>
      <w:pPr>
        <w:spacing w:before="260" w:after="80" w:lineRule="auto" w:line="288"/>
        <w:outlineLvl w:val="1"/>
        <w:keepNext/>
      </w:pPr>
      <w:r>
        <w:rPr>
          <w:rFonts w:ascii="맑은 고딕" w:hAnsi="맑은 고딕" w:eastAsia="맑은 고딕"/>
          <w:b/>
          <w:color w:val="1B365D"/>
          <w:sz w:val="23"/>
        </w:rPr>
        <w:t>시나리오 확률을 다시 매긴 근거 (2026년 8월 29일)</w:t>
      </w:r>
    </w:p>
    <w:p>
      <w:pPr>
        <w:spacing w:before="0" w:after="120" w:lineRule="auto" w:line="348"/>
        <w:jc w:val="both"/>
      </w:pPr>
      <w:r>
        <w:rPr>
          <w:rFonts w:ascii="맑은 고딕" w:hAnsi="맑은 고딕" w:eastAsia="맑은 고딕"/>
          <w:b w:val="0"/>
          <w:color w:val="1A1A1A"/>
          <w:sz w:val="21"/>
        </w:rPr>
        <w:t xml:space="preserve">시나리오별 현재가치는 손대지 않았다. 손댄 것은 </w:t>
      </w:r>
      <w:r>
        <w:rPr>
          <w:rFonts w:ascii="맑은 고딕" w:hAnsi="맑은 고딕" w:eastAsia="맑은 고딕"/>
          <w:b/>
          <w:color w:val="1B365D"/>
          <w:sz w:val="21"/>
        </w:rPr>
        <w:t>확률뿐</w:t>
      </w:r>
      <w:r>
        <w:rPr>
          <w:rFonts w:ascii="맑은 고딕" w:hAnsi="맑은 고딕" w:eastAsia="맑은 고딕"/>
          <w:b w:val="0"/>
          <w:color w:val="1A1A1A"/>
          <w:sz w:val="21"/>
        </w:rPr>
        <w:t>이다. 새로 확인한 정보는 각 세계가 얼마짜리인지를 바꾸는 것이 아니라, 어느 세계가 더 그럴듯해졌는지를 바꾸기 때문이다. 확률을 옮기기 전에 먼저 옮기지 말아야 할 이유부터 찾았다.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이름이 붙은 미국 원전 계약 두 건은 실제로는 예약금이다. 합쳐 509억원으로 상반기 수주의 0.7%, 수주잔고의 0.19%다. 잔고에 잡히지도 않는다.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에너지부 175억달러 프로그램은 의향서 7건, 구속계약 0건이다.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GE버노바가 116기가와트라고 밝힌 수치는 확정 백로그 53기가와트와 슬롯 예약 63기가와트의 합이다. 다만 가스터빈의 슬롯 예약은 원전의 예약금과 성격이 다르다. 아래 정정 상자를 함께 볼 것.</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부족의 크기가 알려진 것보다 작다. 제조능력은 60~70기가와트가 아니라 약 85기가와트로 보이고(지멘스 자본시장의 날 기준 수치가 콜에서 제시됐고 회사가 반박하지 않았다), 리드타임도 5~7년이 아니라 2~4년이다. 지멘스는 2028년까지 예약이 찼고 2029년은 이미 단기 가용으로 본다고 밝혔다. 제조능력을 낮게 잡고 리드타임을 길게 잡으면 부족이 과장된다.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해자가 기존 서술보다 넓게 열려 있다. 일본제강소는 연 12세트로 두산의 2.4배이며 2028년까지 생산능력을 두 배로 늘리겠다고 밝혔다.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9번 항목의 위험 요인 가운데 이번 조사로 해소된 것은 하나도 없다. 부문 영업이익률 3.7%, 반기 영업활동현금흐름 마이너스 8,867억원, 이익의 85%가 밥캣에서 나오는 구조, 부채비율 151.6%가 모두 그대로다.</w:t>
      </w:r>
    </w:p>
    <w:tbl>
      <w:tblPr>
        <w:tblW w:type="auto" w:w="0"/>
        <w:jc w:val="center"/>
        <w:tblLook w:firstColumn="1" w:firstRow="1" w:lastColumn="0" w:lastRow="0" w:noHBand="0" w:noVBand="1" w:val="04A0"/>
      </w:tblPr>
      <w:tblGrid>
        <w:gridCol w:w="9298"/>
      </w:tblGrid>
      <w:tr>
        <w:tc>
          <w:tcPr>
            <w:tcW w:type="dxa" w:w="9298"/>
            <w:shd w:val="clear" w:fill="F7F5EF"/>
            <w:tcBorders>
              <w:top w:val="nil"/>
              <w:left w:val="single" w:sz="24" w:color="1B365D"/>
              <w:bottom w:val="nil"/>
              <w:right w:val="nil"/>
            </w:tcBorders>
          </w:tcPr>
          <w:p>
            <w:pPr>
              <w:spacing w:before="140" w:after="60" w:lineRule="auto" w:line="312"/>
              <w:ind w:left="198"/>
            </w:pPr>
            <w:r>
              <w:rPr>
                <w:rFonts w:ascii="맑은 고딕" w:hAnsi="맑은 고딕" w:eastAsia="맑은 고딕"/>
                <w:b/>
                <w:color w:val="1B365D"/>
                <w:sz w:val="21"/>
              </w:rPr>
              <w:t>정정 — 가스터빈 슬롯 예약과 원전 예약금은 같은 물건이 아니다</w:t>
            </w:r>
          </w:p>
          <w:p>
            <w:pPr>
              <w:spacing w:before="0" w:after="140" w:lineRule="auto" w:line="341"/>
              <w:ind w:left="198"/>
              <w:jc w:val="both"/>
            </w:pPr>
            <w:r>
              <w:rPr>
                <w:rFonts w:ascii="맑은 고딕" w:hAnsi="맑은 고딕" w:eastAsia="맑은 고딕"/>
                <w:b w:val="0"/>
                <w:color w:val="1A1A1A"/>
                <w:sz w:val="20"/>
              </w:rPr>
              <w:t>이 개정을 처음 쓸 때 “GE버노바 116기가와트 가운데 63기가와트가 예약이므로 업계의 공급부족은 상당 부분 예약 장부이고, 두산의 미국 원전 예약금과 같은 종류의 것”이라고 적었다. 1차 출처를 더 확인한 결과 그 묶음이 틀렸다. 지멘스에너지는 2026년 6월 29일 프리클로즈 콜에서 슬롯 예약은 투기적인 것이 아니라 정해진 기간 안에 확정 수주로 전환되는 구조화된 계약이며 목표는 6개월에서 12개월이라고 명시했고, GE버노바는 2026년 2분기에만 10기가와트를 예약에서 확정으로 전환했다. 곧 가스터빈 예약은 수주에 가깝고, 전환율도 부분적으로 공개된다. 반면 두산의 원전 예약은 원자력규제위원회 인허가와 프로젝트 금융이 선행조건이라 전환 시계가 6개월에서 12개월이 아니라 몇 년이며, 실제로 페르미 건은 준비기간이 2026년 3월에 끝난 뒤 후속이 보이지 않는다. 이 정정은 3장의 가스터빈 대 원전 구분을 흐리지 않는다. 오히려 더 선명하게 만든다. 다만 두 정정의 방향이 서로 반대여서 확률 재배분은 그대로 두었다.</w:t>
            </w:r>
          </w:p>
        </w:tc>
      </w:tr>
    </w:tbl>
    <w:p>
      <w:pPr>
        <w:spacing w:before="0" w:after="200" w:lineRule="auto" w:line="348"/>
      </w:pPr>
    </w:p>
    <w:tbl>
      <w:tblPr>
        <w:tblW w:type="auto" w:w="0"/>
        <w:jc w:val="center"/>
        <w:tblLook w:firstColumn="1" w:firstRow="1" w:lastColumn="0" w:lastRow="0" w:noHBand="0" w:noVBand="1" w:val="04A0"/>
      </w:tblPr>
      <w:tblGrid>
        <w:gridCol w:w="9298"/>
      </w:tblGrid>
      <w:tr>
        <w:tc>
          <w:tcPr>
            <w:tcW w:type="dxa" w:w="9298"/>
            <w:shd w:val="clear" w:fill="F7F5EF"/>
            <w:tcBorders>
              <w:top w:val="nil"/>
              <w:left w:val="single" w:sz="24" w:color="1B365D"/>
              <w:bottom w:val="nil"/>
              <w:right w:val="nil"/>
            </w:tcBorders>
          </w:tcPr>
          <w:p>
            <w:pPr>
              <w:spacing w:before="140" w:after="60" w:lineRule="auto" w:line="312"/>
              <w:ind w:left="198"/>
            </w:pPr>
            <w:r>
              <w:rPr>
                <w:rFonts w:ascii="맑은 고딕" w:hAnsi="맑은 고딕" w:eastAsia="맑은 고딕"/>
                <w:b/>
                <w:color w:val="1B365D"/>
                <w:sz w:val="21"/>
              </w:rPr>
              <w:t>숫자 함정 둘 — 섞으면 없는 사실이 만들어진다</w:t>
            </w:r>
          </w:p>
          <w:p>
            <w:pPr>
              <w:spacing w:before="0" w:after="140" w:lineRule="auto" w:line="341"/>
              <w:ind w:left="198"/>
              <w:jc w:val="both"/>
            </w:pPr>
            <w:r>
              <w:rPr>
                <w:rFonts w:ascii="맑은 고딕" w:hAnsi="맑은 고딕" w:eastAsia="맑은 고딕"/>
                <w:b w:val="0"/>
                <w:color w:val="1A1A1A"/>
                <w:sz w:val="20"/>
              </w:rPr>
              <w:t>첫째, 63기가와트가 두 개다. GE버노바의 슬롯 예약 63기가와트(56에서 63으로 증가)와 우드매켄지가 말한 미국 신규 가스발전 63기가와트(2026~2030년)는 아무 관계가 없다. 둘째, 110이 세 개다. 우드매켄지의 110기가와트는 2025년 글로벌 발주이고, 지멘스의 110~120기가와트는 연간 시장규모 전망이며, 두산의 110기는 2034년 누적 대수다. 단위도 대상도 전부 다르다.</w:t>
            </w:r>
          </w:p>
        </w:tc>
      </w:tr>
    </w:tbl>
    <w:p>
      <w:pPr>
        <w:spacing w:before="0" w:after="200" w:lineRule="auto" w:line="348"/>
      </w:pPr>
    </w:p>
    <w:tbl>
      <w:tblPr>
        <w:tblW w:type="auto" w:w="0"/>
        <w:jc w:val="center"/>
        <w:tblLook w:firstColumn="1" w:firstRow="1" w:lastColumn="0" w:lastRow="0" w:noHBand="0" w:noVBand="1" w:val="04A0"/>
      </w:tblPr>
      <w:tblGrid>
        <w:gridCol w:w="9298"/>
      </w:tblGrid>
      <w:tr>
        <w:tc>
          <w:tcPr>
            <w:tcW w:type="dxa" w:w="9298"/>
            <w:shd w:val="clear" w:fill="F7F5EF"/>
            <w:tcBorders>
              <w:top w:val="nil"/>
              <w:left w:val="single" w:sz="24" w:color="1B365D"/>
              <w:bottom w:val="nil"/>
              <w:right w:val="nil"/>
            </w:tcBorders>
          </w:tcPr>
          <w:p>
            <w:pPr>
              <w:spacing w:before="140" w:after="60" w:lineRule="auto" w:line="312"/>
              <w:ind w:left="198"/>
            </w:pPr>
            <w:r>
              <w:rPr>
                <w:rFonts w:ascii="맑은 고딕" w:hAnsi="맑은 고딕" w:eastAsia="맑은 고딕"/>
                <w:b/>
                <w:color w:val="1B365D"/>
                <w:sz w:val="21"/>
              </w:rPr>
              <w:t>진짜 상한은 캐파가 아니라 수주다</w:t>
            </w:r>
          </w:p>
          <w:p>
            <w:pPr>
              <w:spacing w:before="0" w:after="140" w:lineRule="auto" w:line="341"/>
              <w:ind w:left="198"/>
              <w:jc w:val="both"/>
            </w:pPr>
            <w:r>
              <w:rPr>
                <w:rFonts w:ascii="맑은 고딕" w:hAnsi="맑은 고딕" w:eastAsia="맑은 고딕"/>
                <w:b w:val="0"/>
                <w:color w:val="1A1A1A"/>
                <w:sz w:val="20"/>
              </w:rPr>
              <w:t>전해 들은 논거 가운데 “1만 7천 톤 프레스 한 대의 연간 능력이 4기뿐이라 초강세를 올릴 수 없다”는 주장이 있었다. 두산 자신의 공시가 이를 반박한다. 반기보고서의 생산능력 항목은 원자로·증기발생기를 연 7,000메가와트, 산출근거를 1,400메가와트 곱하기 5호기로 적었다. 연 5세트이지 4세트가 아니다. 더 중요한 것은 가동률이다. 2026년 상반기 주조·단조 부문 가동률은 66.2%로, 지금 3분의 1이 놀고 있다. 캐파는 현재 상한이 아니다. 그래서 초강세를 막는 것은 쇳덩이가 아니라 수주다. 다만 이는 양날이어서, 증설 없이도 성장할 여지가 있다는 뜻이므로 강세 쪽에는 유리하다.</w:t>
            </w:r>
          </w:p>
        </w:tc>
      </w:tr>
    </w:tbl>
    <w:p>
      <w:pPr>
        <w:spacing w:before="0" w:after="200" w:lineRule="auto" w:line="348"/>
      </w:pPr>
    </w:p>
    <w:p>
      <w:pPr>
        <w:spacing w:before="0" w:after="120" w:lineRule="auto" w:line="348"/>
        <w:jc w:val="both"/>
      </w:pPr>
      <w:r>
        <w:rPr>
          <w:rFonts w:ascii="맑은 고딕" w:hAnsi="맑은 고딕" w:eastAsia="맑은 고딕"/>
          <w:b w:val="0"/>
          <w:color w:val="1A1A1A"/>
          <w:sz w:val="21"/>
        </w:rPr>
        <w:t xml:space="preserve">그렇다면 진짜 상한을 재는 방법은 수주잔고다. 수주산업에서 잔고는 미래 매출이고, 현재 잔고 26.35조원은 부문 매출 8.3조원의 3.17년치다. 각 시나리오의 2030년 매출을 떠받치려면 </w:t>
      </w:r>
      <w:r>
        <w:rPr>
          <w:rFonts w:ascii="맑은 고딕" w:hAnsi="맑은 고딕" w:eastAsia="맑은 고딕"/>
          <w:b/>
          <w:color w:val="1B365D"/>
          <w:sz w:val="21"/>
        </w:rPr>
        <w:t>연간 수주가 얼마여야 하는지</w:t>
      </w:r>
      <w:r>
        <w:rPr>
          <w:rFonts w:ascii="맑은 고딕" w:hAnsi="맑은 고딕" w:eastAsia="맑은 고딕"/>
          <w:b w:val="0"/>
          <w:color w:val="1A1A1A"/>
          <w:sz w:val="21"/>
        </w:rPr>
        <w:t>를 역산하면 다음과 같다.</w:t>
      </w:r>
    </w:p>
    <w:tbl>
      <w:tblPr>
        <w:tblW w:type="auto" w:w="0"/>
        <w:jc w:val="center"/>
        <w:tblLook w:firstColumn="1" w:firstRow="1" w:lastColumn="0" w:lastRow="0" w:noHBand="0" w:noVBand="1" w:val="04A0"/>
        <w:tblLayout w:type="fixed"/>
      </w:tblPr>
      <w:tblGrid>
        <w:gridCol w:w="1860"/>
        <w:gridCol w:w="1860"/>
        <w:gridCol w:w="1860"/>
        <w:gridCol w:w="1860"/>
        <w:gridCol w:w="1860"/>
      </w:tblGrid>
      <w:tr>
        <w:trPr>
          <w:tblHeader w:val="true"/>
        </w:trPr>
        <w:tc>
          <w:tcPr>
            <w:tcW w:type="dxa" w:w="1701"/>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시나리오</w:t>
            </w:r>
          </w:p>
        </w:tc>
        <w:tc>
          <w:tcPr>
            <w:tcW w:type="dxa" w:w="1587"/>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2030년 매출</w:t>
            </w:r>
          </w:p>
        </w:tc>
        <w:tc>
          <w:tcPr>
            <w:tcW w:type="dxa" w:w="1587"/>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필요 잔고</w:t>
            </w:r>
          </w:p>
        </w:tc>
        <w:tc>
          <w:tcPr>
            <w:tcW w:type="dxa" w:w="181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필요 연간 수주</w:t>
            </w:r>
          </w:p>
        </w:tc>
        <w:tc>
          <w:tcPr>
            <w:tcW w:type="dxa" w:w="2608"/>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2025년 실적 대비</w:t>
            </w:r>
          </w:p>
        </w:tc>
      </w:tr>
      <w:tr>
        <w:tc>
          <w:tcPr>
            <w:tcW w:type="dxa" w:w="170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약세</w:t>
            </w:r>
          </w:p>
        </w:tc>
        <w:tc>
          <w:tcPr>
            <w:tcW w:type="dxa" w:w="1587"/>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10조원</w:t>
            </w:r>
          </w:p>
        </w:tc>
        <w:tc>
          <w:tcPr>
            <w:tcW w:type="dxa" w:w="1587"/>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31.7조원</w:t>
            </w:r>
          </w:p>
        </w:tc>
        <w:tc>
          <w:tcPr>
            <w:tcW w:type="dxa" w:w="181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10.7조원</w:t>
            </w:r>
          </w:p>
        </w:tc>
        <w:tc>
          <w:tcPr>
            <w:tcW w:type="dxa" w:w="2608"/>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0.76배</w:t>
            </w:r>
          </w:p>
        </w:tc>
      </w:tr>
      <w:tr>
        <w:tc>
          <w:tcPr>
            <w:tcW w:type="dxa" w:w="170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기본</w:t>
            </w:r>
          </w:p>
        </w:tc>
        <w:tc>
          <w:tcPr>
            <w:tcW w:type="dxa" w:w="1587"/>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13조원</w:t>
            </w:r>
          </w:p>
        </w:tc>
        <w:tc>
          <w:tcPr>
            <w:tcW w:type="dxa" w:w="1587"/>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41.3조원</w:t>
            </w:r>
          </w:p>
        </w:tc>
        <w:tc>
          <w:tcPr>
            <w:tcW w:type="dxa" w:w="181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14.9조원</w:t>
            </w:r>
          </w:p>
        </w:tc>
        <w:tc>
          <w:tcPr>
            <w:tcW w:type="dxa" w:w="2608"/>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1.06배</w:t>
            </w:r>
          </w:p>
        </w:tc>
      </w:tr>
      <w:tr>
        <w:tc>
          <w:tcPr>
            <w:tcW w:type="dxa" w:w="170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강세</w:t>
            </w:r>
          </w:p>
        </w:tc>
        <w:tc>
          <w:tcPr>
            <w:tcW w:type="dxa" w:w="1587"/>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18조원</w:t>
            </w:r>
          </w:p>
        </w:tc>
        <w:tc>
          <w:tcPr>
            <w:tcW w:type="dxa" w:w="1587"/>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57.1조원</w:t>
            </w:r>
          </w:p>
        </w:tc>
        <w:tc>
          <w:tcPr>
            <w:tcW w:type="dxa" w:w="181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21.9조원</w:t>
            </w:r>
          </w:p>
        </w:tc>
        <w:tc>
          <w:tcPr>
            <w:tcW w:type="dxa" w:w="2608"/>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1.56배</w:t>
            </w:r>
          </w:p>
        </w:tc>
      </w:tr>
      <w:tr>
        <w:tc>
          <w:tcPr>
            <w:tcW w:type="dxa" w:w="1701"/>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color w:val="1B365D"/>
                <w:sz w:val="19"/>
              </w:rPr>
              <w:t>초강세</w:t>
            </w:r>
          </w:p>
        </w:tc>
        <w:tc>
          <w:tcPr>
            <w:tcW w:type="dxa" w:w="1587"/>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color w:val="1B365D"/>
                <w:sz w:val="19"/>
              </w:rPr>
              <w:t>24조원</w:t>
            </w:r>
          </w:p>
        </w:tc>
        <w:tc>
          <w:tcPr>
            <w:tcW w:type="dxa" w:w="1587"/>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color w:val="1B365D"/>
                <w:sz w:val="19"/>
              </w:rPr>
              <w:t>76.2조원</w:t>
            </w:r>
          </w:p>
        </w:tc>
        <w:tc>
          <w:tcPr>
            <w:tcW w:type="dxa" w:w="1814"/>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color w:val="1B365D"/>
                <w:sz w:val="19"/>
              </w:rPr>
              <w:t>30.4조원</w:t>
            </w:r>
          </w:p>
        </w:tc>
        <w:tc>
          <w:tcPr>
            <w:tcW w:type="dxa" w:w="2608"/>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color w:val="1B365D"/>
                <w:sz w:val="19"/>
              </w:rPr>
              <w:t>2.16배</w:t>
            </w:r>
          </w:p>
        </w:tc>
      </w:tr>
    </w:tbl>
    <w:p>
      <w:pPr>
        <w:spacing w:before="60" w:after="200" w:lineRule="auto" w:line="312"/>
      </w:pPr>
      <w:r>
        <w:rPr>
          <w:rFonts w:ascii="맑은 고딕" w:hAnsi="맑은 고딕" w:eastAsia="맑은 고딕"/>
          <w:b w:val="0"/>
          <w:color w:val="666B73"/>
          <w:sz w:val="17"/>
        </w:rPr>
        <w:t>참고 수주 실적은 2023년 8.9조원, 2024년 7.1조원, 2025년 14.1조원(역대 최대), 2026년 계획 13.3조원이다. 곧 기본 시나리오는 역대 최대였던 2025년을 그대로 4년 더 이어가는 그림이고, 초강세는 역대 최대의 2.16배를 4년 연속 해내야 하는 그림이다. 회사 자신의 2026년 계획조차 그 절반이 되지 않는다.</w:t>
      </w:r>
    </w:p>
    <w:tbl>
      <w:tblPr>
        <w:tblW w:type="auto" w:w="0"/>
        <w:jc w:val="center"/>
        <w:tblLook w:firstColumn="1" w:firstRow="1" w:lastColumn="0" w:lastRow="0" w:noHBand="0" w:noVBand="1" w:val="04A0"/>
        <w:tblLayout w:type="fixed"/>
      </w:tblPr>
      <w:tblGrid>
        <w:gridCol w:w="1860"/>
        <w:gridCol w:w="1860"/>
        <w:gridCol w:w="1860"/>
        <w:gridCol w:w="1860"/>
        <w:gridCol w:w="1860"/>
      </w:tblGrid>
      <w:tr>
        <w:trPr>
          <w:tblHeader w:val="true"/>
        </w:trPr>
        <w:tc>
          <w:tcPr>
            <w:tcW w:type="dxa" w:w="1134"/>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시나리오</w:t>
            </w:r>
          </w:p>
        </w:tc>
        <w:tc>
          <w:tcPr>
            <w:tcW w:type="dxa" w:w="1361"/>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현재가치 주당</w:t>
            </w:r>
          </w:p>
        </w:tc>
        <w:tc>
          <w:tcPr>
            <w:tcW w:type="dxa" w:w="1077"/>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종전 확률</w:t>
            </w:r>
          </w:p>
        </w:tc>
        <w:tc>
          <w:tcPr>
            <w:tcW w:type="dxa" w:w="1191"/>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재산정 확률</w:t>
            </w:r>
          </w:p>
        </w:tc>
        <w:tc>
          <w:tcPr>
            <w:tcW w:type="dxa" w:w="4535"/>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바꾼 이유</w:t>
            </w:r>
          </w:p>
        </w:tc>
      </w:tr>
      <w:tr>
        <w:tc>
          <w:tcPr>
            <w:tcW w:type="dxa" w:w="113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약세</w:t>
            </w:r>
          </w:p>
        </w:tc>
        <w:tc>
          <w:tcPr>
            <w:tcW w:type="dxa" w:w="136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10,900원</w:t>
            </w:r>
          </w:p>
        </w:tc>
        <w:tc>
          <w:tcPr>
            <w:tcW w:type="dxa" w:w="1077"/>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25%</w:t>
            </w:r>
          </w:p>
        </w:tc>
        <w:tc>
          <w:tcPr>
            <w:tcW w:type="dxa" w:w="119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22%</w:t>
            </w:r>
          </w:p>
        </w:tc>
        <w:tc>
          <w:tcPr>
            <w:tcW w:type="dxa" w:w="453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가스터빈 다리가 약해졌다. 미국 계약 두 건이 최소 8,116억원으로 잠겼고 납기가 2029년 11월까지 확정됐다. 미쓰비시 증설도 알려진 것보다 느리다(2028년 30% 증가이지 두 배가 아니다). 다만 일본제강소의 2028년 두 배 계획이 새 위협이라 더 내리지는 못한다</w:t>
            </w:r>
          </w:p>
        </w:tc>
      </w:tr>
      <w:tr>
        <w:tc>
          <w:tcPr>
            <w:tcW w:type="dxa" w:w="113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기본</w:t>
            </w:r>
          </w:p>
        </w:tc>
        <w:tc>
          <w:tcPr>
            <w:tcW w:type="dxa" w:w="136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22,900원</w:t>
            </w:r>
          </w:p>
        </w:tc>
        <w:tc>
          <w:tcPr>
            <w:tcW w:type="dxa" w:w="1077"/>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40%</w:t>
            </w:r>
          </w:p>
        </w:tc>
        <w:tc>
          <w:tcPr>
            <w:tcW w:type="dxa" w:w="119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41%</w:t>
            </w:r>
          </w:p>
        </w:tc>
        <w:tc>
          <w:tcPr>
            <w:tcW w:type="dxa" w:w="453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필요 연간 수주 14.9조원이 2025년 실적과 사실상 같다. 가장 잘 지지되는 칸이다</w:t>
            </w:r>
          </w:p>
        </w:tc>
      </w:tr>
      <w:tr>
        <w:tc>
          <w:tcPr>
            <w:tcW w:type="dxa" w:w="113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강세</w:t>
            </w:r>
          </w:p>
        </w:tc>
        <w:tc>
          <w:tcPr>
            <w:tcW w:type="dxa" w:w="136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53,200원</w:t>
            </w:r>
          </w:p>
        </w:tc>
        <w:tc>
          <w:tcPr>
            <w:tcW w:type="dxa" w:w="1077"/>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25%</w:t>
            </w:r>
          </w:p>
        </w:tc>
        <w:tc>
          <w:tcPr>
            <w:tcW w:type="dxa" w:w="119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26%</w:t>
            </w:r>
          </w:p>
        </w:tc>
        <w:tc>
          <w:tcPr>
            <w:tcW w:type="dxa" w:w="453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엑스에너지가 협의에서 16세트 예약계약으로 격상됐고, 테라파워는 허가·착공·계약 세 가지가 모두 갖춰졌다. 단조 가동률 66.2%는 증설 없이 성장할 여지를 뜻한다</w:t>
            </w:r>
          </w:p>
        </w:tc>
      </w:tr>
      <w:tr>
        <w:tc>
          <w:tcPr>
            <w:tcW w:type="dxa" w:w="1134"/>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초강세</w:t>
            </w:r>
          </w:p>
        </w:tc>
        <w:tc>
          <w:tcPr>
            <w:tcW w:type="dxa" w:w="1361"/>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91,700원</w:t>
            </w:r>
          </w:p>
        </w:tc>
        <w:tc>
          <w:tcPr>
            <w:tcW w:type="dxa" w:w="1077"/>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10%</w:t>
            </w:r>
          </w:p>
        </w:tc>
        <w:tc>
          <w:tcPr>
            <w:tcW w:type="dxa" w:w="1191"/>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color w:val="1B365D"/>
                <w:sz w:val="19"/>
              </w:rPr>
              <w:t>11%</w:t>
            </w:r>
          </w:p>
        </w:tc>
        <w:tc>
          <w:tcPr>
            <w:tcW w:type="dxa" w:w="4535"/>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공급부족 자체는 진짜다. GE버노바가 2031년 슬롯을 지금 판다. 그러나 예약은 수주가 아니고, 연간 수주 2.16배는 벅차다</w:t>
            </w:r>
          </w:p>
        </w:tc>
      </w:tr>
    </w:tbl>
    <w:p>
      <w:pPr>
        <w:spacing w:before="60" w:after="200" w:lineRule="auto" w:line="312"/>
      </w:pPr>
      <w:r>
        <w:rPr>
          <w:rFonts w:ascii="맑은 고딕" w:hAnsi="맑은 고딕" w:eastAsia="맑은 고딕"/>
          <w:b w:val="0"/>
          <w:color w:val="666B73"/>
          <w:sz w:val="17"/>
        </w:rPr>
        <w:t>가중평균 35,700원. 종전 34,000원 대비 5% 상향이다.</w:t>
      </w:r>
    </w:p>
    <w:tbl>
      <w:tblPr>
        <w:tblW w:type="auto" w:w="0"/>
        <w:jc w:val="center"/>
        <w:tblLook w:firstColumn="1" w:firstRow="1" w:lastColumn="0" w:lastRow="0" w:noHBand="0" w:noVBand="1" w:val="04A0"/>
        <w:tblLayout w:type="fixed"/>
      </w:tblPr>
      <w:tblGrid>
        <w:gridCol w:w="3099"/>
        <w:gridCol w:w="3099"/>
        <w:gridCol w:w="3099"/>
      </w:tblGrid>
      <w:tr>
        <w:trPr>
          <w:tblHeader w:val="true"/>
        </w:trPr>
        <w:tc>
          <w:tcPr>
            <w:tcW w:type="dxa" w:w="4309"/>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가중치</w:t>
            </w:r>
          </w:p>
        </w:tc>
        <w:tc>
          <w:tcPr>
            <w:tcW w:type="dxa" w:w="249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가중평균 현재가치</w:t>
            </w:r>
          </w:p>
        </w:tc>
        <w:tc>
          <w:tcPr>
            <w:tcW w:type="dxa" w:w="249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현재가 88,200원 대비</w:t>
            </w:r>
          </w:p>
        </w:tc>
      </w:tr>
      <w:tr>
        <w:tc>
          <w:tcPr>
            <w:tcW w:type="dxa" w:w="4309"/>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종전 (25/40/25/10)</w:t>
            </w:r>
          </w:p>
        </w:tc>
        <w:tc>
          <w:tcPr>
            <w:tcW w:type="dxa" w:w="249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34,355원</w:t>
            </w:r>
          </w:p>
        </w:tc>
        <w:tc>
          <w:tcPr>
            <w:tcW w:type="dxa" w:w="249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-61.0%</w:t>
            </w:r>
          </w:p>
        </w:tc>
      </w:tr>
      <w:tr>
        <w:tc>
          <w:tcPr>
            <w:tcW w:type="dxa" w:w="4309"/>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본 개정 (22/41/26/11)</w:t>
            </w:r>
          </w:p>
        </w:tc>
        <w:tc>
          <w:tcPr>
            <w:tcW w:type="dxa" w:w="249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35,706원</w:t>
            </w:r>
          </w:p>
        </w:tc>
        <w:tc>
          <w:tcPr>
            <w:tcW w:type="dxa" w:w="249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-59.5%</w:t>
            </w:r>
          </w:p>
        </w:tc>
      </w:tr>
      <w:tr>
        <w:tc>
          <w:tcPr>
            <w:tcW w:type="dxa" w:w="4309"/>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참고 · 더 낙관적으로 (17.5/40/29/13.5)</w:t>
            </w:r>
          </w:p>
        </w:tc>
        <w:tc>
          <w:tcPr>
            <w:tcW w:type="dxa" w:w="249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38,875원</w:t>
            </w:r>
          </w:p>
        </w:tc>
        <w:tc>
          <w:tcPr>
            <w:tcW w:type="dxa" w:w="249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-55.9%</w:t>
            </w:r>
          </w:p>
        </w:tc>
      </w:tr>
      <w:tr>
        <w:tc>
          <w:tcPr>
            <w:tcW w:type="dxa" w:w="4309"/>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참고 · 가장 낙관적으로 (15/40/30/15)</w:t>
            </w:r>
          </w:p>
        </w:tc>
        <w:tc>
          <w:tcPr>
            <w:tcW w:type="dxa" w:w="2494"/>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40,510원</w:t>
            </w:r>
          </w:p>
        </w:tc>
        <w:tc>
          <w:tcPr>
            <w:tcW w:type="dxa" w:w="2494"/>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-54.1%</w:t>
            </w:r>
          </w:p>
        </w:tc>
      </w:tr>
    </w:tbl>
    <w:p>
      <w:pPr>
        <w:spacing w:before="60" w:after="200" w:lineRule="auto" w:line="312"/>
      </w:pPr>
      <w:r>
        <w:rPr>
          <w:rFonts w:ascii="맑은 고딕" w:hAnsi="맑은 고딕" w:eastAsia="맑은 고딕"/>
          <w:b w:val="0"/>
          <w:color w:val="666B73"/>
          <w:sz w:val="17"/>
        </w:rPr>
        <w:t>가장 낙관적인 가중치를 써도 현재가의 절반에 미치지 못한다. 확률을 어떻게 흔들어도 88,200원은 네 칸 가운데 어디에도 앉지 못한다. 이번 개정이 가격을 5% 위로 옮겼을 뿐 투자의견을 옮기지 않은 이유다.</w:t>
      </w:r>
    </w:p>
    <w:p>
      <w:pPr>
        <w:spacing w:before="260" w:after="80" w:lineRule="auto" w:line="288"/>
        <w:outlineLvl w:val="1"/>
        <w:keepNext/>
      </w:pPr>
      <w:r>
        <w:rPr>
          <w:rFonts w:ascii="맑은 고딕" w:hAnsi="맑은 고딕" w:eastAsia="맑은 고딕"/>
          <w:b/>
          <w:color w:val="1B365D"/>
          <w:sz w:val="23"/>
        </w:rPr>
        <w:t>목표주가 결론</w:t>
      </w:r>
    </w:p>
    <w:tbl>
      <w:tblPr>
        <w:tblW w:type="auto" w:w="0"/>
        <w:jc w:val="center"/>
        <w:tblLook w:firstColumn="1" w:firstRow="1" w:lastColumn="0" w:lastRow="0" w:noHBand="0" w:noVBand="1" w:val="04A0"/>
        <w:tblLayout w:type="fixed"/>
      </w:tblPr>
      <w:tblGrid>
        <w:gridCol w:w="3099"/>
        <w:gridCol w:w="3099"/>
        <w:gridCol w:w="3099"/>
      </w:tblGrid>
      <w:tr>
        <w:trPr>
          <w:tblHeader w:val="true"/>
        </w:trPr>
        <w:tc>
          <w:tcPr>
            <w:tcW w:type="dxa" w:w="4309"/>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산정 방법</w:t>
            </w:r>
          </w:p>
        </w:tc>
        <w:tc>
          <w:tcPr>
            <w:tcW w:type="dxa" w:w="249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산출값</w:t>
            </w:r>
          </w:p>
        </w:tc>
        <w:tc>
          <w:tcPr>
            <w:tcW w:type="dxa" w:w="249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현재가 대비</w:t>
            </w:r>
          </w:p>
        </w:tc>
      </w:tr>
      <w:tr>
        <w:tc>
          <w:tcPr>
            <w:tcW w:type="dxa" w:w="4309"/>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기업가치/상각전영업이익 46.5배 (본 보고서 채택)</w:t>
            </w:r>
          </w:p>
        </w:tc>
        <w:tc>
          <w:tcPr>
            <w:tcW w:type="dxa" w:w="249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55,000원</w:t>
            </w:r>
          </w:p>
        </w:tc>
        <w:tc>
          <w:tcPr>
            <w:tcW w:type="dxa" w:w="249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-37.6%</w:t>
            </w:r>
          </w:p>
        </w:tc>
      </w:tr>
      <w:tr>
        <w:tc>
          <w:tcPr>
            <w:tcW w:type="dxa" w:w="4309"/>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주가수익비율 동종 중앙값 38배</w:t>
            </w:r>
          </w:p>
        </w:tc>
        <w:tc>
          <w:tcPr>
            <w:tcW w:type="dxa" w:w="249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33,700원</w:t>
            </w:r>
          </w:p>
        </w:tc>
        <w:tc>
          <w:tcPr>
            <w:tcW w:type="dxa" w:w="249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-61.8%</w:t>
            </w:r>
          </w:p>
        </w:tc>
      </w:tr>
      <w:tr>
        <w:tc>
          <w:tcPr>
            <w:tcW w:type="dxa" w:w="4309"/>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주가수익비율 국내 최고 81배 (한국전력기술)</w:t>
            </w:r>
          </w:p>
        </w:tc>
        <w:tc>
          <w:tcPr>
            <w:tcW w:type="dxa" w:w="249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71,800원</w:t>
            </w:r>
          </w:p>
        </w:tc>
        <w:tc>
          <w:tcPr>
            <w:tcW w:type="dxa" w:w="249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-18.6%</w:t>
            </w:r>
          </w:p>
        </w:tc>
      </w:tr>
      <w:tr>
        <w:tc>
          <w:tcPr>
            <w:tcW w:type="dxa" w:w="4309"/>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시나리오 확률가중 현재가치 (2026.8.29 재산정)</w:t>
            </w:r>
          </w:p>
        </w:tc>
        <w:tc>
          <w:tcPr>
            <w:tcW w:type="dxa" w:w="249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35,700원</w:t>
            </w:r>
          </w:p>
        </w:tc>
        <w:tc>
          <w:tcPr>
            <w:tcW w:type="dxa" w:w="249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-59.5%</w:t>
            </w:r>
          </w:p>
        </w:tc>
      </w:tr>
      <w:tr>
        <w:tc>
          <w:tcPr>
            <w:tcW w:type="dxa" w:w="4309"/>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채택 목표주가 (12개월)</w:t>
            </w:r>
          </w:p>
        </w:tc>
        <w:tc>
          <w:tcPr>
            <w:tcW w:type="dxa" w:w="249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55,000원</w:t>
            </w:r>
          </w:p>
        </w:tc>
        <w:tc>
          <w:tcPr>
            <w:tcW w:type="dxa" w:w="249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-37.6%</w:t>
            </w:r>
          </w:p>
        </w:tc>
      </w:tr>
      <w:tr>
        <w:tc>
          <w:tcPr>
            <w:tcW w:type="dxa" w:w="4309"/>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참고 · 증권사 컨센서스 목표주가</w:t>
            </w:r>
          </w:p>
        </w:tc>
        <w:tc>
          <w:tcPr>
            <w:tcW w:type="dxa" w:w="2494"/>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129,000원</w:t>
            </w:r>
          </w:p>
        </w:tc>
        <w:tc>
          <w:tcPr>
            <w:tcW w:type="dxa" w:w="2494"/>
            <w:vAlign w:val="center"/>
            <w:shd w:val="clear" w:fill="F4F6F8"/>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t>+46.3%</w:t>
            </w:r>
          </w:p>
        </w:tc>
      </w:tr>
    </w:tbl>
    <w:p>
      <w:pPr>
        <w:spacing w:before="60" w:after="200" w:lineRule="auto" w:line="312"/>
      </w:pPr>
      <w:r>
        <w:rPr>
          <w:rFonts w:ascii="맑은 고딕" w:hAnsi="맑은 고딕" w:eastAsia="맑은 고딕"/>
          <w:b w:val="0"/>
          <w:color w:val="666B73"/>
          <w:sz w:val="17"/>
        </w:rPr>
        <w:t>네 방법 가운데 가장 관대한 축에 서서 55,000원을 채택했다. 기업가치 배수 46.5배는 BWXT의 1.4배, Siemens Energy의 1.9배이며 GE Vernova의 73% 수준이다.</w:t>
      </w:r>
    </w:p>
    <w:tbl>
      <w:tblPr>
        <w:tblW w:type="auto" w:w="0"/>
        <w:jc w:val="center"/>
        <w:tblLook w:firstColumn="1" w:firstRow="1" w:lastColumn="0" w:lastRow="0" w:noHBand="0" w:noVBand="1" w:val="04A0"/>
      </w:tblPr>
      <w:tblGrid>
        <w:gridCol w:w="9298"/>
      </w:tblGrid>
      <w:tr>
        <w:tc>
          <w:tcPr>
            <w:tcW w:type="dxa" w:w="9298"/>
            <w:shd w:val="clear" w:fill="F7F5EF"/>
            <w:tcBorders>
              <w:top w:val="nil"/>
              <w:left w:val="single" w:sz="24" w:color="1B365D"/>
              <w:bottom w:val="nil"/>
              <w:right w:val="nil"/>
            </w:tcBorders>
          </w:tcPr>
          <w:p>
            <w:pPr>
              <w:spacing w:before="140" w:after="60" w:lineRule="auto" w:line="312"/>
              <w:ind w:left="198"/>
            </w:pPr>
            <w:r>
              <w:rPr>
                <w:rFonts w:ascii="맑은 고딕" w:hAnsi="맑은 고딕" w:eastAsia="맑은 고딕"/>
                <w:b/>
                <w:color w:val="1B365D"/>
                <w:sz w:val="21"/>
              </w:rPr>
              <w:t>증권사 목표주가를 그대로 쓰면 안 되는 이유</w:t>
            </w:r>
          </w:p>
          <w:p>
            <w:pPr>
              <w:spacing w:before="0" w:after="140" w:lineRule="auto" w:line="341"/>
              <w:ind w:left="198"/>
              <w:jc w:val="both"/>
            </w:pPr>
            <w:r>
              <w:rPr>
                <w:rFonts w:ascii="맑은 고딕" w:hAnsi="맑은 고딕" w:eastAsia="맑은 고딕"/>
                <w:b w:val="0"/>
                <w:color w:val="1A1A1A"/>
                <w:sz w:val="20"/>
              </w:rPr>
              <w:t>컨센서스 목표주가 129,000원은 2028년 예상 주당순이익 1,250원 기준으로 주가수익비율 103배에 해당한다. 밸류에이션 산출값이 아니라 모멘텀 목표에 가깝다. 게다가 같은 증권사들이 2024년에는 연초 추정 대비 실제 영업이익이 19.7~23.7% 미달했고, 2025년에는 20.4~31.1% 미달했다. 2027년 1.62조원, 2028년 2.06조원 추정도 같은 비율로 깎일 가능성을 기본값으로 두는 편이 안전하다.</w:t>
            </w:r>
          </w:p>
        </w:tc>
      </w:tr>
    </w:tbl>
    <w:p>
      <w:pPr>
        <w:spacing w:before="0" w:after="200" w:lineRule="auto" w:line="348"/>
      </w:pPr>
    </w:p>
    <w:p>
      <w:pPr>
        <w:spacing w:before="260" w:after="80" w:lineRule="auto" w:line="288"/>
        <w:outlineLvl w:val="1"/>
        <w:keepNext/>
      </w:pPr>
      <w:r>
        <w:rPr>
          <w:rFonts w:ascii="맑은 고딕" w:hAnsi="맑은 고딕" w:eastAsia="맑은 고딕"/>
          <w:b/>
          <w:color w:val="1B365D"/>
          <w:sz w:val="23"/>
        </w:rPr>
        <w:t>추정치는 깎이는데 주가만 올랐다</w:t>
      </w:r>
    </w:p>
    <w:tbl>
      <w:tblPr>
        <w:tblW w:type="auto" w:w="0"/>
        <w:jc w:val="center"/>
        <w:tblLook w:firstColumn="1" w:firstRow="1" w:lastColumn="0" w:lastRow="0" w:noHBand="0" w:noVBand="1" w:val="04A0"/>
        <w:tblLayout w:type="fixed"/>
      </w:tblPr>
      <w:tblGrid>
        <w:gridCol w:w="1860"/>
        <w:gridCol w:w="1860"/>
        <w:gridCol w:w="1860"/>
        <w:gridCol w:w="1860"/>
        <w:gridCol w:w="1860"/>
      </w:tblGrid>
      <w:tr>
        <w:trPr>
          <w:tblHeader w:val="true"/>
        </w:trPr>
        <w:tc>
          <w:tcPr>
            <w:tcW w:type="dxa" w:w="2494"/>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2026년 컨센서스</w:t>
            </w:r>
          </w:p>
        </w:tc>
        <w:tc>
          <w:tcPr>
            <w:tcW w:type="dxa" w:w="181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1년 전</w:t>
            </w:r>
          </w:p>
        </w:tc>
        <w:tc>
          <w:tcPr>
            <w:tcW w:type="dxa" w:w="181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3개월 전</w:t>
            </w:r>
          </w:p>
        </w:tc>
        <w:tc>
          <w:tcPr>
            <w:tcW w:type="dxa" w:w="1814"/>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현재</w:t>
            </w:r>
          </w:p>
        </w:tc>
        <w:tc>
          <w:tcPr>
            <w:tcW w:type="dxa" w:w="1361"/>
            <w:vAlign w:val="center"/>
            <w:shd w:val="clear" w:fill="1B365D"/>
            <w:tcBorders>
              <w:top w:val="nil"/>
              <w:left w:val="nil"/>
              <w:bottom w:val="nil"/>
              <w:right w:val="nil"/>
            </w:tcBorders>
          </w:tcPr>
          <w:p>
            <w:pPr>
              <w:spacing w:before="80" w:after="80" w:lineRule="auto" w:line="276"/>
              <w:jc w:val="right"/>
            </w:pPr>
            <w:r>
              <w:rPr>
                <w:rFonts w:ascii="맑은 고딕" w:hAnsi="맑은 고딕" w:eastAsia="맑은 고딕"/>
                <w:b/>
                <w:color w:val="FFFFFF"/>
                <w:sz w:val="19"/>
              </w:rPr>
              <w:t>변화</w:t>
            </w:r>
          </w:p>
        </w:tc>
      </w:tr>
      <w:tr>
        <w:tc>
          <w:tcPr>
            <w:tcW w:type="dxa" w:w="249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영업이익</w:t>
            </w:r>
          </w:p>
        </w:tc>
        <w:tc>
          <w:tcPr>
            <w:tcW w:type="dxa" w:w="181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1조 4,348억원</w:t>
            </w:r>
          </w:p>
        </w:tc>
        <w:tc>
          <w:tcPr>
            <w:tcW w:type="dxa" w:w="181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1조 1,242억원</w:t>
            </w:r>
          </w:p>
        </w:tc>
        <w:tc>
          <w:tcPr>
            <w:tcW w:type="dxa" w:w="1814"/>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1조 1,308억원</w:t>
            </w:r>
          </w:p>
        </w:tc>
        <w:tc>
          <w:tcPr>
            <w:tcW w:type="dxa" w:w="1361"/>
            <w:vAlign w:val="center"/>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-21%</w:t>
            </w:r>
          </w:p>
        </w:tc>
      </w:tr>
      <w:tr>
        <w:tc>
          <w:tcPr>
            <w:tcW w:type="dxa" w:w="249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주당순이익</w:t>
            </w:r>
          </w:p>
        </w:tc>
        <w:tc>
          <w:tcPr>
            <w:tcW w:type="dxa" w:w="181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808원</w:t>
            </w:r>
          </w:p>
        </w:tc>
        <w:tc>
          <w:tcPr>
            <w:tcW w:type="dxa" w:w="181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458원</w:t>
            </w:r>
          </w:p>
        </w:tc>
        <w:tc>
          <w:tcPr>
            <w:tcW w:type="dxa" w:w="1814"/>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val="0"/>
                <w:color w:val="1A1A1A"/>
                <w:sz w:val="19"/>
              </w:rPr>
              <w:t>499원</w:t>
            </w:r>
          </w:p>
        </w:tc>
        <w:tc>
          <w:tcPr>
            <w:tcW w:type="dxa" w:w="1361"/>
            <w:vAlign w:val="center"/>
            <w:shd w:val="clear" w:fill="F4F6F8"/>
            <w:tcBorders>
              <w:top w:val="nil"/>
              <w:left w:val="nil"/>
              <w:bottom w:val="single" w:sz="4" w:color="C9CED6"/>
              <w:right w:val="nil"/>
            </w:tcBorders>
          </w:tcPr>
          <w:p>
            <w:pPr>
              <w:spacing w:before="70" w:after="70" w:lineRule="auto" w:line="288"/>
              <w:jc w:val="right"/>
            </w:pPr>
            <w:r>
              <w:rPr>
                <w:rFonts w:ascii="맑은 고딕" w:hAnsi="맑은 고딕" w:eastAsia="맑은 고딕"/>
                <w:b/>
                <w:color w:val="1B365D"/>
                <w:sz w:val="19"/>
              </w:rPr>
              <w:t>-38%</w:t>
            </w:r>
          </w:p>
        </w:tc>
      </w:tr>
      <w:tr>
        <w:tc>
          <w:tcPr>
            <w:tcW w:type="dxa" w:w="2494"/>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color w:val="1B365D"/>
                <w:sz w:val="19"/>
              </w:rPr>
              <w:t>주가 (1년 수익률)</w:t>
            </w:r>
          </w:p>
        </w:tc>
        <w:tc>
          <w:tcPr>
            <w:tcW w:type="dxa" w:w="1814"/>
            <w:vAlign w:val="center"/>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r>
          </w:p>
        </w:tc>
        <w:tc>
          <w:tcPr>
            <w:tcW w:type="dxa" w:w="1814"/>
            <w:vAlign w:val="center"/>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r>
          </w:p>
        </w:tc>
        <w:tc>
          <w:tcPr>
            <w:tcW w:type="dxa" w:w="1814"/>
            <w:vAlign w:val="center"/>
            <w:tcBorders>
              <w:top w:val="nil"/>
              <w:left w:val="nil"/>
              <w:bottom w:val="single" w:sz="10" w:color="1B365D"/>
              <w:right w:val="nil"/>
            </w:tcBorders>
          </w:tcPr>
          <w:p>
            <w:pPr>
              <w:spacing w:before="70" w:after="70" w:lineRule="auto" w:line="288"/>
              <w:jc w:val="right"/>
            </w:pPr>
            <w:r>
              <w:rPr>
                <w:rFonts w:ascii="맑은 고딕" w:hAnsi="맑은 고딕" w:eastAsia="맑은 고딕"/>
                <w:b w:val="0"/>
                <w:color w:val="1A1A1A"/>
                <w:sz w:val="19"/>
              </w:rPr>
            </w:r>
          </w:p>
        </w:tc>
        <w:tc>
          <w:tcPr>
            <w:tcW w:type="dxa" w:w="1361"/>
            <w:vAlign w:val="center"/>
            <w:tcBorders>
              <w:top w:val="nil"/>
              <w:left w:val="nil"/>
              <w:bottom w:val="single" w:sz="10" w:color="1B365D"/>
              <w:right w:val="nil"/>
            </w:tcBorders>
          </w:tcPr>
          <w:p>
            <w:pPr>
              <w:spacing w:before="70" w:after="70" w:lineRule="auto" w:line="288"/>
              <w:jc w:val="right"/>
            </w:pPr>
            <w:r>
              <w:rPr>
                <w:rFonts w:ascii="맑은 고딕" w:hAnsi="맑은 고딕" w:eastAsia="맑은 고딕"/>
                <w:b/>
                <w:color w:val="1B365D"/>
                <w:sz w:val="19"/>
              </w:rPr>
              <w:t>+36.1%</w:t>
            </w:r>
          </w:p>
        </w:tc>
      </w:tr>
    </w:tbl>
    <w:p>
      <w:pPr>
        <w:spacing w:before="60" w:after="200" w:lineRule="auto" w:line="312"/>
      </w:pPr>
      <w:r>
        <w:rPr>
          <w:rFonts w:ascii="맑은 고딕" w:hAnsi="맑은 고딕" w:eastAsia="맑은 고딕"/>
          <w:b w:val="0"/>
          <w:color w:val="666B73"/>
          <w:sz w:val="17"/>
        </w:rPr>
        <w:t>자료: FnGuide 컨센서스 추이, 2026년 8월 27일 기준. 이 상승은 이익이 아니라 배수가 만든 것이다.</w:t>
      </w:r>
    </w:p>
    <w:p>
      <w:pPr>
        <w:spacing w:before="400" w:after="40" w:lineRule="auto" w:line="288"/>
        <w:outlineLvl w:val="0"/>
        <w:keepNext/>
      </w:pPr>
      <w:r>
        <w:rPr>
          <w:rFonts w:ascii="맑은 고딕" w:hAnsi="맑은 고딕" w:eastAsia="맑은 고딕"/>
          <w:b/>
          <w:color w:val="1B365D"/>
          <w:sz w:val="28"/>
        </w:rPr>
        <w:t xml:space="preserve">8.  </w:t>
      </w:r>
      <w:r>
        <w:rPr>
          <w:rFonts w:ascii="맑은 고딕" w:hAnsi="맑은 고딕" w:eastAsia="맑은 고딕"/>
          <w:b/>
          <w:color w:val="1B365D"/>
          <w:sz w:val="28"/>
        </w:rPr>
        <w:t>매수·매도 판단</w:t>
      </w:r>
    </w:p>
    <w:p>
      <w:pPr>
        <w:spacing w:before="0" w:after="200" w:lineRule="auto" w:line="240"/>
        <w:pBdr>
          <w:bottom w:val="single" w:sz="10" w:space="1" w:color="1B365D"/>
        </w:pBdr>
      </w:pPr>
    </w:p>
    <w:p>
      <w:pPr>
        <w:spacing w:before="260" w:after="80" w:lineRule="auto" w:line="288"/>
        <w:outlineLvl w:val="1"/>
        <w:keepNext/>
      </w:pPr>
      <w:r>
        <w:rPr>
          <w:rFonts w:ascii="맑은 고딕" w:hAnsi="맑은 고딕" w:eastAsia="맑은 고딕"/>
          <w:b/>
          <w:color w:val="1B365D"/>
          <w:sz w:val="23"/>
        </w:rPr>
        <w:t>관문 점검</w:t>
      </w:r>
    </w:p>
    <w:tbl>
      <w:tblPr>
        <w:tblW w:type="auto" w:w="0"/>
        <w:jc w:val="center"/>
        <w:tblLook w:firstColumn="1" w:firstRow="1" w:lastColumn="0" w:lastRow="0" w:noHBand="0" w:noVBand="1" w:val="04A0"/>
        <w:tblLayout w:type="fixed"/>
      </w:tblPr>
      <w:tblGrid>
        <w:gridCol w:w="2324"/>
        <w:gridCol w:w="2324"/>
        <w:gridCol w:w="2324"/>
        <w:gridCol w:w="2324"/>
      </w:tblGrid>
      <w:tr>
        <w:trPr>
          <w:tblHeader w:val="true"/>
        </w:trPr>
        <w:tc>
          <w:tcPr>
            <w:tcW w:type="dxa" w:w="1474"/>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관문</w:t>
            </w:r>
          </w:p>
        </w:tc>
        <w:tc>
          <w:tcPr>
            <w:tcW w:type="dxa" w:w="2494"/>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기준</w:t>
            </w:r>
          </w:p>
        </w:tc>
        <w:tc>
          <w:tcPr>
            <w:tcW w:type="dxa" w:w="3402"/>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측정값</w:t>
            </w:r>
          </w:p>
        </w:tc>
        <w:tc>
          <w:tcPr>
            <w:tcW w:type="dxa" w:w="1134"/>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판정</w:t>
            </w:r>
          </w:p>
        </w:tc>
      </w:tr>
      <w:tr>
        <w:tc>
          <w:tcPr>
            <w:tcW w:type="dxa" w:w="147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추세</w:t>
            </w:r>
          </w:p>
        </w:tc>
        <w:tc>
          <w:tcPr>
            <w:tcW w:type="dxa" w:w="249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200일선 위인가</w:t>
            </w:r>
          </w:p>
        </w:tc>
        <w:tc>
          <w:tcPr>
            <w:tcW w:type="dxa" w:w="3402"/>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88,200원 대 91,044원</w:t>
            </w:r>
          </w:p>
        </w:tc>
        <w:tc>
          <w:tcPr>
            <w:tcW w:type="dxa" w:w="1134"/>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실패</w:t>
            </w:r>
          </w:p>
        </w:tc>
      </w:tr>
      <w:tr>
        <w:tc>
          <w:tcPr>
            <w:tcW w:type="dxa" w:w="147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수급 확인</w:t>
            </w:r>
          </w:p>
        </w:tc>
        <w:tc>
          <w:tcPr>
            <w:tcW w:type="dxa" w:w="249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기관 실측 순매수와 외국인이 함께 오는가</w:t>
            </w:r>
          </w:p>
        </w:tc>
        <w:tc>
          <w:tcPr>
            <w:tcW w:type="dxa" w:w="3402"/>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기관 4일 +404만주, 외국인 30일 -76.7만주</w:t>
            </w:r>
          </w:p>
        </w:tc>
        <w:tc>
          <w:tcPr>
            <w:tcW w:type="dxa" w:w="1134"/>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절반</w:t>
            </w:r>
          </w:p>
        </w:tc>
      </w:tr>
      <w:tr>
        <w:tc>
          <w:tcPr>
            <w:tcW w:type="dxa" w:w="147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촉매</w:t>
            </w:r>
          </w:p>
        </w:tc>
        <w:tc>
          <w:tcPr>
            <w:tcW w:type="dxa" w:w="249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날짜가 박힌 촉매가 있는가</w:t>
            </w:r>
          </w:p>
        </w:tc>
        <w:tc>
          <w:tcPr>
            <w:tcW w:type="dxa" w:w="3402"/>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서남권 해상풍력 재공시 2026년 11월 6일</w:t>
            </w:r>
          </w:p>
        </w:tc>
        <w:tc>
          <w:tcPr>
            <w:tcW w:type="dxa" w:w="1134"/>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통과</w:t>
            </w:r>
          </w:p>
        </w:tc>
      </w:tr>
      <w:tr>
        <w:tc>
          <w:tcPr>
            <w:tcW w:type="dxa" w:w="147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손익비</w:t>
            </w:r>
          </w:p>
        </w:tc>
        <w:tc>
          <w:tcPr>
            <w:tcW w:type="dxa" w:w="249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상승폭 나누기 하락폭이 1.5 이상인가</w:t>
            </w:r>
          </w:p>
        </w:tc>
        <w:tc>
          <w:tcPr>
            <w:tcW w:type="dxa" w:w="3402"/>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목표 55,000원 기준 -37.6% 대 손절 -24.0% = 음수</w:t>
            </w:r>
          </w:p>
        </w:tc>
        <w:tc>
          <w:tcPr>
            <w:tcW w:type="dxa" w:w="1134"/>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실패</w:t>
            </w:r>
          </w:p>
        </w:tc>
      </w:tr>
      <w:tr>
        <w:tc>
          <w:tcPr>
            <w:tcW w:type="dxa" w:w="147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상승의 귀속</w:t>
            </w:r>
          </w:p>
        </w:tc>
        <w:tc>
          <w:tcPr>
            <w:tcW w:type="dxa" w:w="249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최근 상승이 이 회사에서 나온 것인가</w:t>
            </w:r>
          </w:p>
        </w:tc>
        <w:tc>
          <w:tcPr>
            <w:tcW w:type="dxa" w:w="3402"/>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동종 상관 0.71~0.75, 테마 내 중위권</w:t>
            </w:r>
          </w:p>
        </w:tc>
        <w:tc>
          <w:tcPr>
            <w:tcW w:type="dxa" w:w="1134"/>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실패</w:t>
            </w:r>
          </w:p>
        </w:tc>
      </w:tr>
      <w:tr>
        <w:tc>
          <w:tcPr>
            <w:tcW w:type="dxa" w:w="147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배수의 해석</w:t>
            </w:r>
          </w:p>
        </w:tc>
        <w:tc>
          <w:tcPr>
            <w:tcW w:type="dxa" w:w="249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낮은 선행 PER을 싸다고 쓰지 않았는가</w:t>
            </w:r>
          </w:p>
        </w:tc>
        <w:tc>
          <w:tcPr>
            <w:tcW w:type="dxa" w:w="3402"/>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177배·97배·69배를 그대로 기재</w:t>
            </w:r>
          </w:p>
        </w:tc>
        <w:tc>
          <w:tcPr>
            <w:tcW w:type="dxa" w:w="1134"/>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통과</w:t>
            </w:r>
          </w:p>
        </w:tc>
      </w:tr>
      <w:tr>
        <w:tc>
          <w:tcPr>
            <w:tcW w:type="dxa" w:w="1474"/>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장부와 원장의 충돌</w:t>
            </w:r>
          </w:p>
        </w:tc>
        <w:tc>
          <w:tcPr>
            <w:tcW w:type="dxa" w:w="2494"/>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보유 포지션과 과거 판단이 모순되지 않는가</w:t>
            </w:r>
          </w:p>
        </w:tc>
        <w:tc>
          <w:tcPr>
            <w:tcW w:type="dxa" w:w="3402"/>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해당 없음(신규 분석)</w:t>
            </w:r>
          </w:p>
        </w:tc>
        <w:tc>
          <w:tcPr>
            <w:tcW w:type="dxa" w:w="1134"/>
            <w:vAlign w:val="center"/>
            <w:tcBorders>
              <w:top w:val="nil"/>
              <w:left w:val="nil"/>
              <w:bottom w:val="single" w:sz="10" w:color="1B365D"/>
              <w:right w:val="nil"/>
            </w:tcBorders>
          </w:tcPr>
          <w:p>
            <w:pPr>
              <w:spacing w:before="70" w:after="70" w:lineRule="auto" w:line="288"/>
              <w:jc w:val="center"/>
            </w:pPr>
            <w:r>
              <w:rPr>
                <w:rFonts w:ascii="맑은 고딕" w:hAnsi="맑은 고딕" w:eastAsia="맑은 고딕"/>
                <w:b w:val="0"/>
                <w:color w:val="1A1A1A"/>
                <w:sz w:val="19"/>
              </w:rPr>
              <w:t>해당 없음</w:t>
            </w:r>
          </w:p>
        </w:tc>
      </w:tr>
    </w:tbl>
    <w:p>
      <w:pPr>
        <w:spacing w:before="60" w:after="200" w:lineRule="auto" w:line="312"/>
      </w:pPr>
      <w:r>
        <w:rPr>
          <w:rFonts w:ascii="맑은 고딕" w:hAnsi="맑은 고딕" w:eastAsia="맑은 고딕"/>
          <w:b w:val="0"/>
          <w:color w:val="666B73"/>
          <w:sz w:val="17"/>
        </w:rPr>
        <w:t>일곱 관문 가운데 셋이 실패, 하나가 절반이다. 신규 진입 조건이 서지 않는다.</w:t>
      </w:r>
    </w:p>
    <w:p>
      <w:pPr>
        <w:spacing w:before="260" w:after="80" w:lineRule="auto" w:line="288"/>
        <w:outlineLvl w:val="1"/>
        <w:keepNext/>
      </w:pPr>
      <w:r>
        <w:rPr>
          <w:rFonts w:ascii="맑은 고딕" w:hAnsi="맑은 고딕" w:eastAsia="맑은 고딕"/>
          <w:b/>
          <w:color w:val="1B365D"/>
          <w:sz w:val="23"/>
        </w:rPr>
        <w:t>매수·매도 실행 계획</w:t>
      </w:r>
    </w:p>
    <w:tbl>
      <w:tblPr>
        <w:tblW w:type="auto" w:w="0"/>
        <w:jc w:val="center"/>
        <w:tblLook w:firstColumn="1" w:firstRow="1" w:lastColumn="0" w:lastRow="0" w:noHBand="0" w:noVBand="1" w:val="04A0"/>
        <w:tblLayout w:type="fixed"/>
      </w:tblPr>
      <w:tblGrid>
        <w:gridCol w:w="3099"/>
        <w:gridCol w:w="3099"/>
        <w:gridCol w:w="3099"/>
      </w:tblGrid>
      <w:tr>
        <w:trPr>
          <w:tblHeader w:val="true"/>
        </w:trPr>
        <w:tc>
          <w:tcPr>
            <w:tcW w:type="dxa" w:w="1701"/>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구분</w:t>
            </w:r>
          </w:p>
        </w:tc>
        <w:tc>
          <w:tcPr>
            <w:tcW w:type="dxa" w:w="1701"/>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행동</w:t>
            </w:r>
          </w:p>
        </w:tc>
        <w:tc>
          <w:tcPr>
            <w:tcW w:type="dxa" w:w="5896"/>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가격·조건</w:t>
            </w:r>
          </w:p>
        </w:tc>
      </w:tr>
      <w:tr>
        <w:tc>
          <w:tcPr>
            <w:tcW w:type="dxa" w:w="170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신규 매수</w:t>
            </w:r>
          </w:p>
        </w:tc>
        <w:tc>
          <w:tcPr>
            <w:tcW w:type="dxa" w:w="170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하지 않는다</w:t>
            </w:r>
          </w:p>
        </w:tc>
        <w:tc>
          <w:tcPr>
            <w:tcW w:type="dxa" w:w="5896"/>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200일선 91,044원 회복 그리고 아래 전환 신호 1개 이상 확인 전까지</w:t>
            </w:r>
          </w:p>
        </w:tc>
      </w:tr>
      <w:tr>
        <w:tc>
          <w:tcPr>
            <w:tcW w:type="dxa" w:w="170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보유분 1차 축소</w:t>
            </w:r>
          </w:p>
        </w:tc>
        <w:tc>
          <w:tcPr>
            <w:tcW w:type="dxa" w:w="170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3분의 1 매도</w:t>
            </w:r>
          </w:p>
        </w:tc>
        <w:tc>
          <w:tcPr>
            <w:tcW w:type="dxa" w:w="5896"/>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현재가 88,000원대</w:t>
            </w:r>
          </w:p>
        </w:tc>
      </w:tr>
      <w:tr>
        <w:tc>
          <w:tcPr>
            <w:tcW w:type="dxa" w:w="170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보유분 2차 축소</w:t>
            </w:r>
          </w:p>
        </w:tc>
        <w:tc>
          <w:tcPr>
            <w:tcW w:type="dxa" w:w="170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3분의 1 매도</w:t>
            </w:r>
          </w:p>
        </w:tc>
        <w:tc>
          <w:tcPr>
            <w:tcW w:type="dxa" w:w="5896"/>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120일선 95,075원 회복 실패 확인 시 또는 목표주가 접근 시</w:t>
            </w:r>
          </w:p>
        </w:tc>
      </w:tr>
      <w:tr>
        <w:tc>
          <w:tcPr>
            <w:tcW w:type="dxa" w:w="170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잔여분 유지</w:t>
            </w:r>
          </w:p>
        </w:tc>
        <w:tc>
          <w:tcPr>
            <w:tcW w:type="dxa" w:w="170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3분의 1 보유</w:t>
            </w:r>
          </w:p>
        </w:tc>
        <w:tc>
          <w:tcPr>
            <w:tcW w:type="dxa" w:w="5896"/>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전환 신호를 기다린다. 아래 손절선은 동일 적용</w:t>
            </w:r>
          </w:p>
        </w:tc>
      </w:tr>
      <w:tr>
        <w:tc>
          <w:tcPr>
            <w:tcW w:type="dxa" w:w="170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손절</w:t>
            </w:r>
          </w:p>
        </w:tc>
        <w:tc>
          <w:tcPr>
            <w:tcW w:type="dxa" w:w="170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전량 매도</w:t>
            </w:r>
          </w:p>
        </w:tc>
        <w:tc>
          <w:tcPr>
            <w:tcW w:type="dxa" w:w="5896"/>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종가 67,100원 이탈</w:t>
            </w:r>
          </w:p>
        </w:tc>
      </w:tr>
      <w:tr>
        <w:tc>
          <w:tcPr>
            <w:tcW w:type="dxa" w:w="170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재매수 1차</w:t>
            </w:r>
          </w:p>
        </w:tc>
        <w:tc>
          <w:tcPr>
            <w:tcW w:type="dxa" w:w="170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3분의 1 매수</w:t>
            </w:r>
          </w:p>
        </w:tc>
        <w:tc>
          <w:tcPr>
            <w:tcW w:type="dxa" w:w="5896"/>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60,000원 이하 또는 전환 신호 2개 확인</w:t>
            </w:r>
          </w:p>
        </w:tc>
      </w:tr>
      <w:tr>
        <w:tc>
          <w:tcPr>
            <w:tcW w:type="dxa" w:w="1701"/>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재매수 2차</w:t>
            </w:r>
          </w:p>
        </w:tc>
        <w:tc>
          <w:tcPr>
            <w:tcW w:type="dxa" w:w="1701"/>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3분의 1 추가</w:t>
            </w:r>
          </w:p>
        </w:tc>
        <w:tc>
          <w:tcPr>
            <w:tcW w:type="dxa" w:w="5896"/>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부문 영업이익률 7% 확인 후</w:t>
            </w:r>
          </w:p>
        </w:tc>
      </w:tr>
    </w:tbl>
    <w:p>
      <w:pPr>
        <w:spacing w:before="60" w:after="200" w:lineRule="auto" w:line="312"/>
      </w:pPr>
      <w:r>
        <w:rPr>
          <w:rFonts w:ascii="맑은 고딕" w:hAnsi="맑은 고딕" w:eastAsia="맑은 고딕"/>
          <w:b w:val="0"/>
          <w:color w:val="666B73"/>
          <w:sz w:val="17"/>
        </w:rPr>
        <w:t>포지션 크기는 이 보고서가 정하지 않는다. 위험 한도와 집행은 별도로 결정한다.</w:t>
      </w:r>
    </w:p>
    <w:p>
      <w:pPr>
        <w:spacing w:before="260" w:after="80" w:lineRule="auto" w:line="288"/>
        <w:outlineLvl w:val="1"/>
        <w:keepNext/>
      </w:pPr>
      <w:r>
        <w:rPr>
          <w:rFonts w:ascii="맑은 고딕" w:hAnsi="맑은 고딕" w:eastAsia="맑은 고딕"/>
          <w:b/>
          <w:color w:val="1B365D"/>
          <w:sz w:val="23"/>
        </w:rPr>
        <w:t>전환 신호 — 이것이 확인되면 목표주가를 올린다</w:t>
      </w:r>
    </w:p>
    <w:tbl>
      <w:tblPr>
        <w:tblW w:type="auto" w:w="0"/>
        <w:jc w:val="center"/>
        <w:tblLook w:firstColumn="1" w:firstRow="1" w:lastColumn="0" w:lastRow="0" w:noHBand="0" w:noVBand="1" w:val="04A0"/>
        <w:tblLayout w:type="fixed"/>
      </w:tblPr>
      <w:tblGrid>
        <w:gridCol w:w="2324"/>
        <w:gridCol w:w="2324"/>
        <w:gridCol w:w="2324"/>
        <w:gridCol w:w="2324"/>
      </w:tblGrid>
      <w:tr>
        <w:trPr>
          <w:tblHeader w:val="true"/>
        </w:trPr>
        <w:tc>
          <w:tcPr>
            <w:tcW w:type="dxa" w:w="794"/>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번호</w:t>
            </w:r>
          </w:p>
        </w:tc>
        <w:tc>
          <w:tcPr>
            <w:tcW w:type="dxa" w:w="3061"/>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신호</w:t>
            </w:r>
          </w:p>
        </w:tc>
        <w:tc>
          <w:tcPr>
            <w:tcW w:type="dxa" w:w="2494"/>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현재값</w:t>
            </w:r>
          </w:p>
        </w:tc>
        <w:tc>
          <w:tcPr>
            <w:tcW w:type="dxa" w:w="2948"/>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확인 시점</w:t>
            </w:r>
          </w:p>
        </w:tc>
      </w:tr>
      <w:tr>
        <w:tc>
          <w:tcPr>
            <w:tcW w:type="dxa" w:w="794"/>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1</w:t>
            </w:r>
          </w:p>
        </w:tc>
        <w:tc>
          <w:tcPr>
            <w:tcW w:type="dxa" w:w="306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부문 영업이익률 7% 돌파</w:t>
            </w:r>
          </w:p>
        </w:tc>
        <w:tc>
          <w:tcPr>
            <w:tcW w:type="dxa" w:w="249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3.7%</w:t>
            </w:r>
          </w:p>
        </w:tc>
        <w:tc>
          <w:tcPr>
            <w:tcW w:type="dxa" w:w="294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2026년 3분기 실적 (11월)</w:t>
            </w:r>
          </w:p>
        </w:tc>
      </w:tr>
      <w:tr>
        <w:tc>
          <w:tcPr>
            <w:tcW w:type="dxa" w:w="794"/>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w:t>
            </w:r>
          </w:p>
        </w:tc>
        <w:tc>
          <w:tcPr>
            <w:tcW w:type="dxa" w:w="306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하반기 원전 수주 2.5조원 이상 체결</w:t>
            </w:r>
          </w:p>
        </w:tc>
        <w:tc>
          <w:tcPr>
            <w:tcW w:type="dxa" w:w="249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상반기 1.1조원</w:t>
            </w:r>
          </w:p>
        </w:tc>
        <w:tc>
          <w:tcPr>
            <w:tcW w:type="dxa" w:w="294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2026년 4분기~2027년 2월</w:t>
            </w:r>
          </w:p>
        </w:tc>
      </w:tr>
      <w:tr>
        <w:tc>
          <w:tcPr>
            <w:tcW w:type="dxa" w:w="794"/>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3</w:t>
            </w:r>
          </w:p>
        </w:tc>
        <w:tc>
          <w:tcPr>
            <w:tcW w:type="dxa" w:w="306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분기 영업활동현금흐름 흑자 전환</w:t>
            </w:r>
          </w:p>
        </w:tc>
        <w:tc>
          <w:tcPr>
            <w:tcW w:type="dxa" w:w="249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반기 -8,867억원</w:t>
            </w:r>
          </w:p>
        </w:tc>
        <w:tc>
          <w:tcPr>
            <w:tcW w:type="dxa" w:w="294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2026년 3분기 실적 (11월)</w:t>
            </w:r>
          </w:p>
        </w:tc>
      </w:tr>
      <w:tr>
        <w:tc>
          <w:tcPr>
            <w:tcW w:type="dxa" w:w="794"/>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4</w:t>
            </w:r>
          </w:p>
        </w:tc>
        <w:tc>
          <w:tcPr>
            <w:tcW w:type="dxa" w:w="306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ENTRA1·TVA의 구속력 있는 전력구매계약 체결, 이어 주기기 제작계약</w:t>
            </w:r>
          </w:p>
        </w:tc>
        <w:tc>
          <w:tcPr>
            <w:tcW w:type="dxa" w:w="249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비구속 단계 (2026.6.30 기준)</w:t>
            </w:r>
          </w:p>
        </w:tc>
        <w:tc>
          <w:tcPr>
            <w:tcW w:type="dxa" w:w="294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2026년 하반기</w:t>
            </w:r>
          </w:p>
        </w:tc>
      </w:tr>
      <w:tr>
        <w:tc>
          <w:tcPr>
            <w:tcW w:type="dxa" w:w="794"/>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5</w:t>
            </w:r>
          </w:p>
        </w:tc>
        <w:tc>
          <w:tcPr>
            <w:tcW w:type="dxa" w:w="306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서남권 해상풍력 금액 확정</w:t>
            </w:r>
          </w:p>
        </w:tc>
        <w:tc>
          <w:tcPr>
            <w:tcW w:type="dxa" w:w="249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미확정</w:t>
            </w:r>
          </w:p>
        </w:tc>
        <w:tc>
          <w:tcPr>
            <w:tcW w:type="dxa" w:w="294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2026년 11월 6일 재공시</w:t>
            </w:r>
          </w:p>
        </w:tc>
      </w:tr>
      <w:tr>
        <w:tc>
          <w:tcPr>
            <w:tcW w:type="dxa" w:w="794"/>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6</w:t>
            </w:r>
          </w:p>
        </w:tc>
        <w:tc>
          <w:tcPr>
            <w:tcW w:type="dxa" w:w="306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밥캣 3분기 이익이 관세 환급 없이도 성장</w:t>
            </w:r>
          </w:p>
        </w:tc>
        <w:tc>
          <w:tcPr>
            <w:tcW w:type="dxa" w:w="249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일회성 포함</w:t>
            </w:r>
          </w:p>
        </w:tc>
        <w:tc>
          <w:tcPr>
            <w:tcW w:type="dxa" w:w="294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2026년 10월</w:t>
            </w:r>
          </w:p>
        </w:tc>
      </w:tr>
      <w:tr>
        <w:tc>
          <w:tcPr>
            <w:tcW w:type="dxa" w:w="794"/>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7</w:t>
            </w:r>
          </w:p>
        </w:tc>
        <w:tc>
          <w:tcPr>
            <w:tcW w:type="dxa" w:w="306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페르미 3분기 분기보고서에 두산이 다시 등장하는가</w:t>
            </w:r>
          </w:p>
        </w:tc>
        <w:tc>
          <w:tcPr>
            <w:tcW w:type="dxa" w:w="249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2분기 언급 0회</w:t>
            </w:r>
          </w:p>
        </w:tc>
        <w:tc>
          <w:tcPr>
            <w:tcW w:type="dxa" w:w="294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2026년 11월경</w:t>
            </w:r>
          </w:p>
        </w:tc>
      </w:tr>
      <w:tr>
        <w:tc>
          <w:tcPr>
            <w:tcW w:type="dxa" w:w="794"/>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8</w:t>
            </w:r>
          </w:p>
        </w:tc>
        <w:tc>
          <w:tcPr>
            <w:tcW w:type="dxa" w:w="306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엑스에너지 16세트 예약이 실제 발주로 전환</w:t>
            </w:r>
          </w:p>
        </w:tc>
        <w:tc>
          <w:tcPr>
            <w:tcW w:type="dxa" w:w="249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예약 단계</w:t>
            </w:r>
          </w:p>
        </w:tc>
        <w:tc>
          <w:tcPr>
            <w:tcW w:type="dxa" w:w="294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미정</w:t>
            </w:r>
          </w:p>
        </w:tc>
      </w:tr>
      <w:tr>
        <w:tc>
          <w:tcPr>
            <w:tcW w:type="dxa" w:w="794"/>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9</w:t>
            </w:r>
          </w:p>
        </w:tc>
        <w:tc>
          <w:tcPr>
            <w:tcW w:type="dxa" w:w="306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에너지부 AP1000 의향서 7건 가운데 첫 구속계약</w:t>
            </w:r>
          </w:p>
        </w:tc>
        <w:tc>
          <w:tcPr>
            <w:tcW w:type="dxa" w:w="249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0건</w:t>
            </w:r>
          </w:p>
        </w:tc>
        <w:tc>
          <w:tcPr>
            <w:tcW w:type="dxa" w:w="294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상시</w:t>
            </w:r>
          </w:p>
        </w:tc>
      </w:tr>
      <w:tr>
        <w:tc>
          <w:tcPr>
            <w:tcW w:type="dxa" w:w="794"/>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10</w:t>
            </w:r>
          </w:p>
        </w:tc>
        <w:tc>
          <w:tcPr>
            <w:tcW w:type="dxa" w:w="306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일본제강소의 2028년 생산능력 두 배 계획 진척</w:t>
            </w:r>
          </w:p>
        </w:tc>
        <w:tc>
          <w:tcPr>
            <w:tcW w:type="dxa" w:w="249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발표 단계 (2026.7)</w:t>
            </w:r>
          </w:p>
        </w:tc>
        <w:tc>
          <w:tcPr>
            <w:tcW w:type="dxa" w:w="294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상시 · 역방향 신호</w:t>
            </w:r>
          </w:p>
        </w:tc>
      </w:tr>
      <w:tr>
        <w:tc>
          <w:tcPr>
            <w:tcW w:type="dxa" w:w="794"/>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11</w:t>
            </w:r>
          </w:p>
        </w:tc>
        <w:tc>
          <w:tcPr>
            <w:tcW w:type="dxa" w:w="306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미국 고객 발전소가 에너지부 발전기 원장에 등재</w:t>
            </w:r>
          </w:p>
        </w:tc>
        <w:tc>
          <w:tcPr>
            <w:tcW w:type="dxa" w:w="249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텍사스 380MW급 0건 (2026.7판)</w:t>
            </w:r>
          </w:p>
        </w:tc>
        <w:tc>
          <w:tcPr>
            <w:tcW w:type="dxa" w:w="294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매월 갱신</w:t>
            </w:r>
          </w:p>
        </w:tc>
      </w:tr>
      <w:tr>
        <w:tc>
          <w:tcPr>
            <w:tcW w:type="dxa" w:w="794"/>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12</w:t>
            </w:r>
          </w:p>
        </w:tc>
        <w:tc>
          <w:tcPr>
            <w:tcW w:type="dxa" w:w="306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가스터빈 조립 생산능력 증설 발표 (연 8기에서 10기 이상)</w:t>
            </w:r>
          </w:p>
        </w:tc>
        <w:tc>
          <w:tcPr>
            <w:tcW w:type="dxa" w:w="249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계획만 있고 수치 없음</w:t>
            </w:r>
          </w:p>
        </w:tc>
        <w:tc>
          <w:tcPr>
            <w:tcW w:type="dxa" w:w="294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2026년 3분기 IR</w:t>
            </w:r>
          </w:p>
        </w:tc>
      </w:tr>
      <w:tr>
        <w:tc>
          <w:tcPr>
            <w:tcW w:type="dxa" w:w="794"/>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13</w:t>
            </w:r>
          </w:p>
        </w:tc>
        <w:tc>
          <w:tcPr>
            <w:tcW w:type="dxa" w:w="306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미국 가스터빈 첫 1기 인도</w:t>
            </w:r>
          </w:p>
        </w:tc>
        <w:tc>
          <w:tcPr>
            <w:tcW w:type="dxa" w:w="249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2025.12.17 계약분</w:t>
            </w:r>
          </w:p>
        </w:tc>
        <w:tc>
          <w:tcPr>
            <w:tcW w:type="dxa" w:w="2948"/>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2027년 중</w:t>
            </w:r>
          </w:p>
        </w:tc>
      </w:tr>
      <w:tr>
        <w:tc>
          <w:tcPr>
            <w:tcW w:type="dxa" w:w="794"/>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14</w:t>
            </w:r>
          </w:p>
        </w:tc>
        <w:tc>
          <w:tcPr>
            <w:tcW w:type="dxa" w:w="306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90메가와트 중형 가스터빈 출고 후 수주</w:t>
            </w:r>
          </w:p>
        </w:tc>
        <w:tc>
          <w:tcPr>
            <w:tcW w:type="dxa" w:w="249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언론 보도 단계, 미확인</w:t>
            </w:r>
          </w:p>
        </w:tc>
        <w:tc>
          <w:tcPr>
            <w:tcW w:type="dxa" w:w="2948"/>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2027년 6월 이후</w:t>
            </w:r>
          </w:p>
        </w:tc>
      </w:tr>
      <w:tr>
        <w:tc>
          <w:tcPr>
            <w:tcW w:type="dxa" w:w="794"/>
            <w:vAlign w:val="center"/>
            <w:tcBorders>
              <w:top w:val="nil"/>
              <w:left w:val="nil"/>
              <w:bottom w:val="single" w:sz="10" w:color="1B365D"/>
              <w:right w:val="nil"/>
            </w:tcBorders>
          </w:tcPr>
          <w:p>
            <w:pPr>
              <w:spacing w:before="70" w:after="70" w:lineRule="auto" w:line="288"/>
              <w:jc w:val="center"/>
            </w:pPr>
            <w:r>
              <w:rPr>
                <w:rFonts w:ascii="맑은 고딕" w:hAnsi="맑은 고딕" w:eastAsia="맑은 고딕"/>
                <w:b w:val="0"/>
                <w:color w:val="1A1A1A"/>
                <w:sz w:val="19"/>
              </w:rPr>
              <w:t>15</w:t>
            </w:r>
          </w:p>
        </w:tc>
        <w:tc>
          <w:tcPr>
            <w:tcW w:type="dxa" w:w="3061"/>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관세 부담 주체 확인 또는 미국 현지 조립·자유무역지역 활용 발표</w:t>
            </w:r>
          </w:p>
        </w:tc>
        <w:tc>
          <w:tcPr>
            <w:tcW w:type="dxa" w:w="2494"/>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미공개</w:t>
            </w:r>
          </w:p>
        </w:tc>
        <w:tc>
          <w:tcPr>
            <w:tcW w:type="dxa" w:w="2948"/>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인도 개시(2027) 이후 분기 마진</w:t>
            </w:r>
          </w:p>
        </w:tc>
      </w:tr>
    </w:tbl>
    <w:p>
      <w:pPr>
        <w:spacing w:before="60" w:after="200" w:lineRule="auto" w:line="312"/>
      </w:pPr>
      <w:r>
        <w:rPr>
          <w:rFonts w:ascii="맑은 고딕" w:hAnsi="맑은 고딕" w:eastAsia="맑은 고딕"/>
          <w:b w:val="0"/>
          <w:color w:val="666B73"/>
          <w:sz w:val="17"/>
        </w:rPr>
        <w:t>1·2·3 가운데 둘 이상이 충족되면 본체 배수를 63배(GE Vernova 수준)까지 상향할 근거가 생기며, 그 경우 목표주가는 약 74,600원이 된다. 7~10번은 2026년 8월 29일 개정에서 추가했다. 공통 질문은 하나다. 예약이 수주로 바뀌는가. 10번만 방향이 반대여서, 실현되면 두산의 희소성 프리미엄이 깎인다.</w:t>
      </w:r>
    </w:p>
    <w:p>
      <w:pPr>
        <w:spacing w:before="260" w:after="80" w:lineRule="auto" w:line="288"/>
        <w:outlineLvl w:val="1"/>
        <w:keepNext/>
      </w:pPr>
      <w:r>
        <w:rPr>
          <w:rFonts w:ascii="맑은 고딕" w:hAnsi="맑은 고딕" w:eastAsia="맑은 고딕"/>
          <w:b/>
          <w:color w:val="1B365D"/>
          <w:sz w:val="23"/>
        </w:rPr>
        <w:t>이 판단이 틀릴 수 있는 경로</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테마가 계속 간다. 가치 판단이 옳아도 시점이 이를 수 있다. 2026년 4월에도 이 종목은 127,100원까지 갔다. 밸류에이션은 상단을 막지 못한다.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하반기 원전 수주 3.8조원과 소형모듈원전 계약이 한꺼번에 나온다. 그 경우 2027년 이후 추정치가 위로 재계산되고, 본 보고서의 상각전영업이익 추정 7,600억원이 과소평가가 된다.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부문 영업이익률이 예상보다 빨리 오른다. 이미 1년 만에 2.4%에서 3.7%로 올랐다. 고마진 장기유지보수 비중이 커지면 개선 속도가 빨라질 수 있다.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본 보고서의 2027년 부문 상각전영업이익 추정 7,600억원은 회사가 공시하지 않는 숫자를 연결 컨센서스 증가율로 준용한 값이다. 목표주가는 이 가정에 직접 연동된다.</w:t>
      </w:r>
    </w:p>
    <w:p>
      <w:pPr>
        <w:spacing w:before="400" w:after="40" w:lineRule="auto" w:line="288"/>
        <w:outlineLvl w:val="0"/>
        <w:keepNext/>
      </w:pPr>
      <w:r>
        <w:rPr>
          <w:rFonts w:ascii="맑은 고딕" w:hAnsi="맑은 고딕" w:eastAsia="맑은 고딕"/>
          <w:b/>
          <w:color w:val="1B365D"/>
          <w:sz w:val="28"/>
        </w:rPr>
        <w:t xml:space="preserve">9.  </w:t>
      </w:r>
      <w:r>
        <w:rPr>
          <w:rFonts w:ascii="맑은 고딕" w:hAnsi="맑은 고딕" w:eastAsia="맑은 고딕"/>
          <w:b/>
          <w:color w:val="1B365D"/>
          <w:sz w:val="28"/>
        </w:rPr>
        <w:t>위험 요인</w:t>
      </w:r>
    </w:p>
    <w:p>
      <w:pPr>
        <w:spacing w:before="0" w:after="200" w:lineRule="auto" w:line="240"/>
        <w:pBdr>
          <w:bottom w:val="single" w:sz="10" w:space="1" w:color="1B365D"/>
        </w:pBdr>
      </w:pPr>
    </w:p>
    <w:tbl>
      <w:tblPr>
        <w:tblW w:type="auto" w:w="0"/>
        <w:jc w:val="center"/>
        <w:tblLook w:firstColumn="1" w:firstRow="1" w:lastColumn="0" w:lastRow="0" w:noHBand="0" w:noVBand="1" w:val="04A0"/>
        <w:tblLayout w:type="fixed"/>
      </w:tblPr>
      <w:tblGrid>
        <w:gridCol w:w="2324"/>
        <w:gridCol w:w="2324"/>
        <w:gridCol w:w="2324"/>
        <w:gridCol w:w="2324"/>
      </w:tblGrid>
      <w:tr>
        <w:trPr>
          <w:tblHeader w:val="true"/>
        </w:trPr>
        <w:tc>
          <w:tcPr>
            <w:tcW w:type="dxa" w:w="680"/>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번호</w:t>
            </w:r>
          </w:p>
        </w:tc>
        <w:tc>
          <w:tcPr>
            <w:tcW w:type="dxa" w:w="2041"/>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위험</w:t>
            </w:r>
          </w:p>
        </w:tc>
        <w:tc>
          <w:tcPr>
            <w:tcW w:type="dxa" w:w="4195"/>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현재 상태</w:t>
            </w:r>
          </w:p>
        </w:tc>
        <w:tc>
          <w:tcPr>
            <w:tcW w:type="dxa" w:w="2154"/>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언제 드러나나</w:t>
            </w:r>
          </w:p>
        </w:tc>
      </w:tr>
      <w:tr>
        <w:tc>
          <w:tcPr>
            <w:tcW w:type="dxa" w:w="680"/>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1</w:t>
            </w:r>
          </w:p>
        </w:tc>
        <w:tc>
          <w:tcPr>
            <w:tcW w:type="dxa" w:w="204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이익이 수주를 따라오지 않는다</w:t>
            </w:r>
          </w:p>
        </w:tc>
        <w:tc>
          <w:tcPr>
            <w:tcW w:type="dxa" w:w="419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부문 영업이익률 3.7%. 매출 +7.4%인데 영업이익 절대금액은 1,544억원</w:t>
            </w:r>
          </w:p>
        </w:tc>
        <w:tc>
          <w:tcPr>
            <w:tcW w:type="dxa" w:w="215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매 분기</w:t>
            </w:r>
          </w:p>
        </w:tc>
      </w:tr>
      <w:tr>
        <w:tc>
          <w:tcPr>
            <w:tcW w:type="dxa" w:w="680"/>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w:t>
            </w:r>
          </w:p>
        </w:tc>
        <w:tc>
          <w:tcPr>
            <w:tcW w:type="dxa" w:w="204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현금이 돌지 않는다</w:t>
            </w:r>
          </w:p>
        </w:tc>
        <w:tc>
          <w:tcPr>
            <w:tcW w:type="dxa" w:w="419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반기 영업활동현금흐름 -8,867억원, 미청구공사 +43.3%, 매출채권 +24.6%</w:t>
            </w:r>
          </w:p>
        </w:tc>
        <w:tc>
          <w:tcPr>
            <w:tcW w:type="dxa" w:w="215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2026년 3분기 실적</w:t>
            </w:r>
          </w:p>
        </w:tc>
      </w:tr>
      <w:tr>
        <w:tc>
          <w:tcPr>
            <w:tcW w:type="dxa" w:w="680"/>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3</w:t>
            </w:r>
          </w:p>
        </w:tc>
        <w:tc>
          <w:tcPr>
            <w:tcW w:type="dxa" w:w="204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차입이 늘어난다</w:t>
            </w:r>
          </w:p>
        </w:tc>
        <w:tc>
          <w:tcPr>
            <w:tcW w:type="dxa" w:w="419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부문 순차입금 4.03조원, 부채비율 151.6%, 단기차입금 1.88조에서 2.92조로</w:t>
            </w:r>
          </w:p>
        </w:tc>
        <w:tc>
          <w:tcPr>
            <w:tcW w:type="dxa" w:w="215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매 분기</w:t>
            </w:r>
          </w:p>
        </w:tc>
      </w:tr>
      <w:tr>
        <w:tc>
          <w:tcPr>
            <w:tcW w:type="dxa" w:w="680"/>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4</w:t>
            </w:r>
          </w:p>
        </w:tc>
        <w:tc>
          <w:tcPr>
            <w:tcW w:type="dxa" w:w="204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밥캣이 꺾인다</w:t>
            </w:r>
          </w:p>
        </w:tc>
        <w:tc>
          <w:tcPr>
            <w:tcW w:type="dxa" w:w="419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지배순이익의 85% 원천. 상반기 이익에 관세 환급 일회성 포함</w:t>
            </w:r>
          </w:p>
        </w:tc>
        <w:tc>
          <w:tcPr>
            <w:tcW w:type="dxa" w:w="215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2026년 10월</w:t>
            </w:r>
          </w:p>
        </w:tc>
      </w:tr>
      <w:tr>
        <w:tc>
          <w:tcPr>
            <w:tcW w:type="dxa" w:w="680"/>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5</w:t>
            </w:r>
          </w:p>
        </w:tc>
        <w:tc>
          <w:tcPr>
            <w:tcW w:type="dxa" w:w="204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퓨얼셀이 새는 구멍</w:t>
            </w:r>
          </w:p>
        </w:tc>
        <w:tc>
          <w:tcPr>
            <w:tcW w:type="dxa" w:w="419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상반기 매출총이익 -302억원(전년 +89억원), 2분기 영업적자 509억원</w:t>
            </w:r>
          </w:p>
        </w:tc>
        <w:tc>
          <w:tcPr>
            <w:tcW w:type="dxa" w:w="215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매 분기</w:t>
            </w:r>
          </w:p>
        </w:tc>
      </w:tr>
      <w:tr>
        <w:tc>
          <w:tcPr>
            <w:tcW w:type="dxa" w:w="680"/>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6</w:t>
            </w:r>
          </w:p>
        </w:tc>
        <w:tc>
          <w:tcPr>
            <w:tcW w:type="dxa" w:w="204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하반기 원전 수주 미달</w:t>
            </w:r>
          </w:p>
        </w:tc>
        <w:tc>
          <w:tcPr>
            <w:tcW w:type="dxa" w:w="419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연간 계획 13.3조원 가운데 47%가 하반기에 몰려 있다</w:t>
            </w:r>
          </w:p>
        </w:tc>
        <w:tc>
          <w:tcPr>
            <w:tcW w:type="dxa" w:w="215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2026년 4분기</w:t>
            </w:r>
          </w:p>
        </w:tc>
      </w:tr>
      <w:tr>
        <w:tc>
          <w:tcPr>
            <w:tcW w:type="dxa" w:w="680"/>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7</w:t>
            </w:r>
          </w:p>
        </w:tc>
        <w:tc>
          <w:tcPr>
            <w:tcW w:type="dxa" w:w="204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정책 반전</w:t>
            </w:r>
          </w:p>
        </w:tc>
        <w:tc>
          <w:tcPr>
            <w:tcW w:type="dxa" w:w="419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국내 신규 원전은 검토 공식화 단계. 공론화 결과 미정</w:t>
            </w:r>
          </w:p>
        </w:tc>
        <w:tc>
          <w:tcPr>
            <w:tcW w:type="dxa" w:w="215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12차 전기본 확정 시</w:t>
            </w:r>
          </w:p>
        </w:tc>
      </w:tr>
      <w:tr>
        <w:tc>
          <w:tcPr>
            <w:tcW w:type="dxa" w:w="680"/>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8</w:t>
            </w:r>
          </w:p>
        </w:tc>
        <w:tc>
          <w:tcPr>
            <w:tcW w:type="dxa" w:w="204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밸류에이션 자체</w:t>
            </w:r>
          </w:p>
        </w:tc>
        <w:tc>
          <w:tcPr>
            <w:tcW w:type="dxa" w:w="419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본체 기업가치 대비 수주잔고 2.15배. 업종 통상 범위는 0.3~0.8배</w:t>
            </w:r>
          </w:p>
        </w:tc>
        <w:tc>
          <w:tcPr>
            <w:tcW w:type="dxa" w:w="215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시장 심리 전환 시</w:t>
            </w:r>
          </w:p>
        </w:tc>
      </w:tr>
      <w:tr>
        <w:tc>
          <w:tcPr>
            <w:tcW w:type="dxa" w:w="680"/>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9</w:t>
            </w:r>
          </w:p>
        </w:tc>
        <w:tc>
          <w:tcPr>
            <w:tcW w:type="dxa" w:w="204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네팔 홍수 사고</w:t>
            </w:r>
          </w:p>
        </w:tc>
        <w:tc>
          <w:tcPr>
            <w:tcW w:type="dxa" w:w="419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2026년 8월 26일부터 현지 발전소 건설 직원 5명 연락두절. 그룹 500만달러 긴급지원, 대표 현지 급파</w:t>
            </w:r>
          </w:p>
        </w:tc>
        <w:tc>
          <w:tcPr>
            <w:tcW w:type="dxa" w:w="215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진행 중</w:t>
            </w:r>
          </w:p>
        </w:tc>
      </w:tr>
      <w:tr>
        <w:tc>
          <w:tcPr>
            <w:tcW w:type="dxa" w:w="680"/>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10</w:t>
            </w:r>
          </w:p>
        </w:tc>
        <w:tc>
          <w:tcPr>
            <w:tcW w:type="dxa" w:w="2041"/>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미국 고객 집중</w:t>
            </w:r>
          </w:p>
        </w:tc>
        <w:tc>
          <w:tcPr>
            <w:tcW w:type="dxa" w:w="419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누적 가스터빈 23기 가운데 12기(52%)가 미국이고 최소 5기가 한 고객. 스팀터빈 6기도 같은 캠퍼스로 추정</w:t>
            </w:r>
          </w:p>
        </w:tc>
        <w:tc>
          <w:tcPr>
            <w:tcW w:type="dxa" w:w="215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그 고객이 계획을 늦추는 순간</w:t>
            </w:r>
          </w:p>
        </w:tc>
      </w:tr>
      <w:tr>
        <w:tc>
          <w:tcPr>
            <w:tcW w:type="dxa" w:w="680"/>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11</w:t>
            </w:r>
          </w:p>
        </w:tc>
        <w:tc>
          <w:tcPr>
            <w:tcW w:type="dxa" w:w="2041"/>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관세 15%</w:t>
            </w:r>
          </w:p>
        </w:tc>
        <w:tc>
          <w:tcPr>
            <w:tcW w:type="dxa" w:w="419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한국산 발전용 가스터빈은 민간항공기 면제 대상이 아니다. 12기면 1,800억~2,700억원 규모. 부담 주체 미공개</w:t>
            </w:r>
          </w:p>
        </w:tc>
        <w:tc>
          <w:tcPr>
            <w:tcW w:type="dxa" w:w="215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인도 개시(2027) 이후 분기 마진</w:t>
            </w:r>
          </w:p>
        </w:tc>
      </w:tr>
      <w:tr>
        <w:tc>
          <w:tcPr>
            <w:tcW w:type="dxa" w:w="680"/>
            <w:vAlign w:val="center"/>
            <w:shd w:val="clear" w:fill="F4F6F8"/>
            <w:tcBorders>
              <w:top w:val="nil"/>
              <w:left w:val="nil"/>
              <w:bottom w:val="single" w:sz="10" w:color="1B365D"/>
              <w:right w:val="nil"/>
            </w:tcBorders>
          </w:tcPr>
          <w:p>
            <w:pPr>
              <w:spacing w:before="70" w:after="70" w:lineRule="auto" w:line="288"/>
              <w:jc w:val="center"/>
            </w:pPr>
            <w:r>
              <w:rPr>
                <w:rFonts w:ascii="맑은 고딕" w:hAnsi="맑은 고딕" w:eastAsia="맑은 고딕"/>
                <w:b/>
                <w:color w:val="1B365D"/>
                <w:sz w:val="19"/>
              </w:rPr>
              <w:t>12</w:t>
            </w:r>
          </w:p>
        </w:tc>
        <w:tc>
          <w:tcPr>
            <w:tcW w:type="dxa" w:w="2041"/>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color w:val="1B365D"/>
                <w:sz w:val="19"/>
              </w:rPr>
              <w:t>생산능력 상한</w:t>
            </w:r>
          </w:p>
        </w:tc>
        <w:tc>
          <w:tcPr>
            <w:tcW w:type="dxa" w:w="4195"/>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가스터빈 조립 연 8기(3,040MW). 2030년 목표 71기는 연 10.2기를 요구</w:t>
            </w:r>
          </w:p>
        </w:tc>
        <w:tc>
          <w:tcPr>
            <w:tcW w:type="dxa" w:w="2154"/>
            <w:vAlign w:val="center"/>
            <w:shd w:val="clear" w:fill="F4F6F8"/>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증설 발표 없이 분기가 지날 때마다</w:t>
            </w:r>
          </w:p>
        </w:tc>
      </w:tr>
    </w:tbl>
    <w:p>
      <w:pPr>
        <w:spacing w:before="60" w:after="200" w:lineRule="auto" w:line="312"/>
      </w:pPr>
      <w:r>
        <w:rPr>
          <w:rFonts w:ascii="맑은 고딕" w:hAnsi="맑은 고딕" w:eastAsia="맑은 고딕"/>
          <w:b w:val="0"/>
          <w:color w:val="666B73"/>
          <w:sz w:val="17"/>
        </w:rPr>
        <w:t>9번은 숫자로 재는 사안이 아니다. 인명 사고이며 현재 진행 중이다. 프로젝트 지연과 비용 요인이 될 수 있으나 금액은 확인되지 않았다. 2026년 8월 29일 보강. 해당 현장은 네팔 라수와의 어퍼트리술리-1 수력발전 사업이고 발주처는 NWEDC, 계약금액은 4,037억원(3억 5,750만달러)이다. 사고 6개월 전인 2026년 2월 27일 정정공시에서 이미 발주처와 변경계약 협의 중이며 계약기간 종료일 미정으로 바뀌어 있었다. 홍수 이전부터 지연되던 현장이라는 뜻이다. 손실 상한이 계약금액을 크게 넘기기는 어렵지만, 실제 재무영향은 여전히 확인되지 않았다. 2026년 8월 29일 2차 개정에서 10·11·12번을 더했다. 1번부터 9번까지가 이익이 나오지 않는다는 실적 위험인 반면, 10번부터 12번까지는 가장 단단하다던 가스터빈 축 안에 있는 위험이라는 점이 다르다. 대신 2029년까지의 수요 위험은 이 표에서 빠진다. 슬롯이 이미 찼기 때문이다.</w:t>
      </w:r>
    </w:p>
    <w:p>
      <w:pPr>
        <w:spacing w:before="260" w:after="80" w:lineRule="auto" w:line="288"/>
        <w:outlineLvl w:val="1"/>
        <w:keepNext/>
      </w:pPr>
      <w:r>
        <w:rPr>
          <w:rFonts w:ascii="맑은 고딕" w:hAnsi="맑은 고딕" w:eastAsia="맑은 고딕"/>
          <w:b/>
          <w:color w:val="1B365D"/>
          <w:sz w:val="23"/>
        </w:rPr>
        <w:t>반대편에서 때려보기</w:t>
      </w:r>
    </w:p>
    <w:p>
      <w:pPr>
        <w:spacing w:before="0" w:after="120" w:lineRule="auto" w:line="348"/>
        <w:jc w:val="both"/>
      </w:pPr>
      <w:r>
        <w:rPr>
          <w:rFonts w:ascii="맑은 고딕" w:hAnsi="맑은 고딕" w:eastAsia="맑은 고딕"/>
          <w:b w:val="0"/>
          <w:color w:val="1A1A1A"/>
          <w:sz w:val="21"/>
        </w:rPr>
        <w:t>강세론을 무너뜨리려는 쪽의 주장을 가장 세게 세우면 이렇다. 원전 슈퍼사이클은 2년째 이야기만 있고 손익계산서에 없다. 실제로 버는 돈의 85%는 미국 굴착기 자회사에서 오고, 그마저 이번 반기에는 관세 환급이라는 일회성이 섞였다. 본체 영업이익률은 3.7%로 제조업 평균 이하이고, 현금은 반기에 8,867억원이 빠져나갔으며 순차입금은 4조원을 넘겼다. 그 사이 애널리스트들은 이익 추정을 21~38% 깎았는데 주가는 36% 올랐다. 최근 한 달 상승조차 이 회사의 것이 아니라 코스피와 원전 테마의 되돌림이다.</w:t>
      </w:r>
    </w:p>
    <w:tbl>
      <w:tblPr>
        <w:tblW w:type="auto" w:w="0"/>
        <w:jc w:val="center"/>
        <w:tblLook w:firstColumn="1" w:firstRow="1" w:lastColumn="0" w:lastRow="0" w:noHBand="0" w:noVBand="1" w:val="04A0"/>
        <w:tblLayout w:type="fixed"/>
      </w:tblPr>
      <w:tblGrid>
        <w:gridCol w:w="3099"/>
        <w:gridCol w:w="3099"/>
        <w:gridCol w:w="3099"/>
      </w:tblGrid>
      <w:tr>
        <w:trPr>
          <w:tblHeader w:val="true"/>
        </w:trPr>
        <w:tc>
          <w:tcPr>
            <w:tcW w:type="dxa" w:w="2494"/>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주장</w:t>
            </w:r>
          </w:p>
        </w:tc>
        <w:tc>
          <w:tcPr>
            <w:tcW w:type="dxa" w:w="1020"/>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판정</w:t>
            </w:r>
          </w:p>
        </w:tc>
        <w:tc>
          <w:tcPr>
            <w:tcW w:type="dxa" w:w="5556"/>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근거</w:t>
            </w:r>
          </w:p>
        </w:tc>
      </w:tr>
      <w:tr>
        <w:tc>
          <w:tcPr>
            <w:tcW w:type="dxa" w:w="249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수주가 이야기뿐이다</w:t>
            </w:r>
          </w:p>
        </w:tc>
        <w:tc>
          <w:tcPr>
            <w:tcW w:type="dxa" w:w="1020"/>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기각</w:t>
            </w:r>
          </w:p>
        </w:tc>
        <w:tc>
          <w:tcPr>
            <w:tcW w:type="dxa" w:w="5556"/>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상반기 수주 7.1조원(+89.6%), 잔고 26.4조원(+60.4%), 3년 연속 계획 초과, 미국 대형 가스터빈 18기 중 7기. 모두 실측</w:t>
            </w:r>
          </w:p>
        </w:tc>
      </w:tr>
      <w:tr>
        <w:tc>
          <w:tcPr>
            <w:tcW w:type="dxa" w:w="249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이익의 85%가 밥캣이다</w:t>
            </w:r>
          </w:p>
        </w:tc>
        <w:tc>
          <w:tcPr>
            <w:tcW w:type="dxa" w:w="1020"/>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유지</w:t>
            </w:r>
          </w:p>
        </w:tc>
        <w:tc>
          <w:tcPr>
            <w:tcW w:type="dxa" w:w="5556"/>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컨센서스 분해로 확인. 반박할 근거가 없다</w:t>
            </w:r>
          </w:p>
        </w:tc>
      </w:tr>
      <w:tr>
        <w:tc>
          <w:tcPr>
            <w:tcW w:type="dxa" w:w="249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본체 마진이 낮다</w:t>
            </w:r>
          </w:p>
        </w:tc>
        <w:tc>
          <w:tcPr>
            <w:tcW w:type="dxa" w:w="1020"/>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유지</w:t>
            </w:r>
          </w:p>
        </w:tc>
        <w:tc>
          <w:tcPr>
            <w:tcW w:type="dxa" w:w="5556"/>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3.7%. 다만 1년 전 2.4%에서 개선 중이라는 반대 사실도 있다</w:t>
            </w:r>
          </w:p>
        </w:tc>
      </w:tr>
      <w:tr>
        <w:tc>
          <w:tcPr>
            <w:tcW w:type="dxa" w:w="249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현금이 돌지 않는다</w:t>
            </w:r>
          </w:p>
        </w:tc>
        <w:tc>
          <w:tcPr>
            <w:tcW w:type="dxa" w:w="1020"/>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유지</w:t>
            </w:r>
          </w:p>
        </w:tc>
        <w:tc>
          <w:tcPr>
            <w:tcW w:type="dxa" w:w="5556"/>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영업활동현금흐름 -8,867억원. 성장통 여부는 확인되지 않았다</w:t>
            </w:r>
          </w:p>
        </w:tc>
      </w:tr>
      <w:tr>
        <w:tc>
          <w:tcPr>
            <w:tcW w:type="dxa" w:w="2494"/>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최근 상승은 베타다</w:t>
            </w:r>
          </w:p>
        </w:tc>
        <w:tc>
          <w:tcPr>
            <w:tcW w:type="dxa" w:w="1020"/>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유지</w:t>
            </w:r>
          </w:p>
        </w:tc>
        <w:tc>
          <w:tcPr>
            <w:tcW w:type="dxa" w:w="5556"/>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동종 상관 0.71~0.75, 테마 내 중위권</w:t>
            </w:r>
          </w:p>
        </w:tc>
      </w:tr>
      <w:tr>
        <w:tc>
          <w:tcPr>
            <w:tcW w:type="dxa" w:w="2494"/>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추정이 깎이는데 주가만 올랐다</w:t>
            </w:r>
          </w:p>
        </w:tc>
        <w:tc>
          <w:tcPr>
            <w:tcW w:type="dxa" w:w="1020"/>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유지</w:t>
            </w:r>
          </w:p>
        </w:tc>
        <w:tc>
          <w:tcPr>
            <w:tcW w:type="dxa" w:w="5556"/>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컨센서스 주당순이익 808원에서 499원, 주가 +36.1%</w:t>
            </w:r>
          </w:p>
        </w:tc>
      </w:tr>
      <w:tr>
        <w:tc>
          <w:tcPr>
            <w:tcW w:type="dxa" w:w="2494"/>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밸류에이션이 비현실적이다</w:t>
            </w:r>
          </w:p>
        </w:tc>
        <w:tc>
          <w:tcPr>
            <w:tcW w:type="dxa" w:w="1020"/>
            <w:vAlign w:val="center"/>
            <w:tcBorders>
              <w:top w:val="nil"/>
              <w:left w:val="nil"/>
              <w:bottom w:val="single" w:sz="10" w:color="1B365D"/>
              <w:right w:val="nil"/>
            </w:tcBorders>
          </w:tcPr>
          <w:p>
            <w:pPr>
              <w:spacing w:before="70" w:after="70" w:lineRule="auto" w:line="288"/>
              <w:jc w:val="center"/>
            </w:pPr>
            <w:r>
              <w:rPr>
                <w:rFonts w:ascii="맑은 고딕" w:hAnsi="맑은 고딕" w:eastAsia="맑은 고딕"/>
                <w:b/>
                <w:color w:val="1B365D"/>
                <w:sz w:val="19"/>
              </w:rPr>
              <w:t>유지</w:t>
            </w:r>
          </w:p>
        </w:tc>
        <w:tc>
          <w:tcPr>
            <w:tcW w:type="dxa" w:w="5556"/>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val="0"/>
                <w:color w:val="1A1A1A"/>
                <w:sz w:val="19"/>
              </w:rPr>
              <w:t>본체 기업가치 대비 수주잔고 2.15배, 본체 이익 9~21배 필요</w:t>
            </w:r>
          </w:p>
        </w:tc>
      </w:tr>
    </w:tbl>
    <w:p>
      <w:pPr>
        <w:spacing w:before="60" w:after="200" w:lineRule="auto" w:line="312"/>
      </w:pPr>
      <w:r>
        <w:rPr>
          <w:rFonts w:ascii="맑은 고딕" w:hAnsi="맑은 고딕" w:eastAsia="맑은 고딕"/>
          <w:b w:val="0"/>
          <w:color w:val="666B73"/>
          <w:sz w:val="17"/>
        </w:rPr>
        <w:t>일곱 가지 가운데 여섯이 유지됐다. 다만 기각된 그 하나(수주)가 이 회사의 미래 전체다. 따라서 결론은 사업 실체는 진짜이고 현재 가격이 이미 반영했다는 것이다.</w:t>
      </w:r>
    </w:p>
    <w:p>
      <w:pPr>
        <w:spacing w:before="400" w:after="40" w:lineRule="auto" w:line="288"/>
        <w:outlineLvl w:val="0"/>
        <w:keepNext/>
      </w:pPr>
      <w:r>
        <w:rPr>
          <w:rFonts w:ascii="맑은 고딕" w:hAnsi="맑은 고딕" w:eastAsia="맑은 고딕"/>
          <w:b/>
          <w:color w:val="1B365D"/>
          <w:sz w:val="28"/>
        </w:rPr>
        <w:t xml:space="preserve">10.  </w:t>
      </w:r>
      <w:r>
        <w:rPr>
          <w:rFonts w:ascii="맑은 고딕" w:hAnsi="맑은 고딕" w:eastAsia="맑은 고딕"/>
          <w:b/>
          <w:color w:val="1B365D"/>
          <w:sz w:val="28"/>
        </w:rPr>
        <w:t>부록</w:t>
      </w:r>
    </w:p>
    <w:p>
      <w:pPr>
        <w:spacing w:before="0" w:after="200" w:lineRule="auto" w:line="240"/>
        <w:pBdr>
          <w:bottom w:val="single" w:sz="10" w:space="1" w:color="1B365D"/>
        </w:pBdr>
      </w:pPr>
    </w:p>
    <w:p>
      <w:pPr>
        <w:spacing w:before="260" w:after="80" w:lineRule="auto" w:line="288"/>
        <w:outlineLvl w:val="1"/>
        <w:keepNext/>
      </w:pPr>
      <w:r>
        <w:rPr>
          <w:rFonts w:ascii="맑은 고딕" w:hAnsi="맑은 고딕" w:eastAsia="맑은 고딕"/>
          <w:b/>
          <w:color w:val="1B365D"/>
          <w:sz w:val="23"/>
        </w:rPr>
        <w:t>숫자의 출처</w:t>
      </w:r>
    </w:p>
    <w:tbl>
      <w:tblPr>
        <w:tblW w:type="auto" w:w="0"/>
        <w:jc w:val="center"/>
        <w:tblLook w:firstColumn="1" w:firstRow="1" w:lastColumn="0" w:lastRow="0" w:noHBand="0" w:noVBand="1" w:val="04A0"/>
        <w:tblLayout w:type="fixed"/>
      </w:tblPr>
      <w:tblGrid>
        <w:gridCol w:w="3099"/>
        <w:gridCol w:w="3099"/>
        <w:gridCol w:w="3099"/>
      </w:tblGrid>
      <w:tr>
        <w:trPr>
          <w:tblHeader w:val="true"/>
        </w:trPr>
        <w:tc>
          <w:tcPr>
            <w:tcW w:type="dxa" w:w="3175"/>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데이터</w:t>
            </w:r>
          </w:p>
        </w:tc>
        <w:tc>
          <w:tcPr>
            <w:tcW w:type="dxa" w:w="4195"/>
            <w:vAlign w:val="center"/>
            <w:shd w:val="clear" w:fill="1B365D"/>
            <w:tcBorders>
              <w:top w:val="nil"/>
              <w:left w:val="nil"/>
              <w:bottom w:val="nil"/>
              <w:right w:val="nil"/>
            </w:tcBorders>
          </w:tcPr>
          <w:p>
            <w:pPr>
              <w:spacing w:before="80" w:after="80" w:lineRule="auto" w:line="276"/>
              <w:jc w:val="left"/>
            </w:pPr>
            <w:r>
              <w:rPr>
                <w:rFonts w:ascii="맑은 고딕" w:hAnsi="맑은 고딕" w:eastAsia="맑은 고딕"/>
                <w:b/>
                <w:color w:val="FFFFFF"/>
                <w:sz w:val="19"/>
              </w:rPr>
              <w:t>출처</w:t>
            </w:r>
          </w:p>
        </w:tc>
        <w:tc>
          <w:tcPr>
            <w:tcW w:type="dxa" w:w="1701"/>
            <w:vAlign w:val="center"/>
            <w:shd w:val="clear" w:fill="1B365D"/>
            <w:tcBorders>
              <w:top w:val="nil"/>
              <w:left w:val="nil"/>
              <w:bottom w:val="nil"/>
              <w:right w:val="nil"/>
            </w:tcBorders>
          </w:tcPr>
          <w:p>
            <w:pPr>
              <w:spacing w:before="80" w:after="80" w:lineRule="auto" w:line="276"/>
              <w:jc w:val="center"/>
            </w:pPr>
            <w:r>
              <w:rPr>
                <w:rFonts w:ascii="맑은 고딕" w:hAnsi="맑은 고딕" w:eastAsia="맑은 고딕"/>
                <w:b/>
                <w:color w:val="FFFFFF"/>
                <w:sz w:val="19"/>
              </w:rPr>
              <w:t>기준일</w:t>
            </w:r>
          </w:p>
        </w:tc>
      </w:tr>
      <w:tr>
        <w:tc>
          <w:tcPr>
            <w:tcW w:type="dxa" w:w="317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반기 손익·재무상태·현금흐름</w:t>
            </w:r>
          </w:p>
        </w:tc>
        <w:tc>
          <w:tcPr>
            <w:tcW w:type="dxa" w:w="419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DART Open API 전체재무제표(연결·별도) 원문</w:t>
            </w:r>
          </w:p>
        </w:tc>
        <w:tc>
          <w:tcPr>
            <w:tcW w:type="dxa" w:w="1701"/>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2026. 6. 30</w:t>
            </w:r>
          </w:p>
        </w:tc>
      </w:tr>
      <w:tr>
        <w:tc>
          <w:tcPr>
            <w:tcW w:type="dxa" w:w="317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부문 수주·수주잔고·순차입금·가이던스</w:t>
            </w:r>
          </w:p>
        </w:tc>
        <w:tc>
          <w:tcPr>
            <w:tcW w:type="dxa" w:w="419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회사 2026년 2분기 기업설명회 자료(17쪽)</w:t>
            </w:r>
          </w:p>
        </w:tc>
        <w:tc>
          <w:tcPr>
            <w:tcW w:type="dxa" w:w="1701"/>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2026. 8</w:t>
            </w:r>
          </w:p>
        </w:tc>
      </w:tr>
      <w:tr>
        <w:tc>
          <w:tcPr>
            <w:tcW w:type="dxa" w:w="317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자회사 지분율·주식수</w:t>
            </w:r>
          </w:p>
        </w:tc>
        <w:tc>
          <w:tcPr>
            <w:tcW w:type="dxa" w:w="419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DART 타법인 출자현황</w:t>
            </w:r>
          </w:p>
        </w:tc>
        <w:tc>
          <w:tcPr>
            <w:tcW w:type="dxa" w:w="1701"/>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2026. 6. 30</w:t>
            </w:r>
          </w:p>
        </w:tc>
      </w:tr>
      <w:tr>
        <w:tc>
          <w:tcPr>
            <w:tcW w:type="dxa" w:w="317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사업구조·제품·매출분해·수주잔고</w:t>
            </w:r>
          </w:p>
        </w:tc>
        <w:tc>
          <w:tcPr>
            <w:tcW w:type="dxa" w:w="419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DART 2025년 사업보고서 II. 사업의 내용</w:t>
            </w:r>
          </w:p>
        </w:tc>
        <w:tc>
          <w:tcPr>
            <w:tcW w:type="dxa" w:w="1701"/>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2026. 3. 20</w:t>
            </w:r>
          </w:p>
        </w:tc>
      </w:tr>
      <w:tr>
        <w:tc>
          <w:tcPr>
            <w:tcW w:type="dxa" w:w="317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컨센서스·목표주가·추정치 추이</w:t>
            </w:r>
          </w:p>
        </w:tc>
        <w:tc>
          <w:tcPr>
            <w:tcW w:type="dxa" w:w="419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FnGuide 기업정보 — 브라우저로 직접 접속해 본문 확인</w:t>
            </w:r>
          </w:p>
        </w:tc>
        <w:tc>
          <w:tcPr>
            <w:tcW w:type="dxa" w:w="1701"/>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2026. 8. 27</w:t>
            </w:r>
          </w:p>
        </w:tc>
      </w:tr>
      <w:tr>
        <w:tc>
          <w:tcPr>
            <w:tcW w:type="dxa" w:w="317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시세·투자자별 수급</w:t>
            </w:r>
          </w:p>
        </w:tc>
        <w:tc>
          <w:tcPr>
            <w:tcW w:type="dxa" w:w="419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한국투자증권 Open API</w:t>
            </w:r>
          </w:p>
        </w:tc>
        <w:tc>
          <w:tcPr>
            <w:tcW w:type="dxa" w:w="1701"/>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2026. 8. 28</w:t>
            </w:r>
          </w:p>
        </w:tc>
      </w:tr>
      <w:tr>
        <w:tc>
          <w:tcPr>
            <w:tcW w:type="dxa" w:w="317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공매도 잔고</w:t>
            </w:r>
          </w:p>
        </w:tc>
        <w:tc>
          <w:tcPr>
            <w:tcW w:type="dxa" w:w="419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한국거래소</w:t>
            </w:r>
          </w:p>
        </w:tc>
        <w:tc>
          <w:tcPr>
            <w:tcW w:type="dxa" w:w="1701"/>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2026. 8. 28</w:t>
            </w:r>
          </w:p>
        </w:tc>
      </w:tr>
      <w:tr>
        <w:tc>
          <w:tcPr>
            <w:tcW w:type="dxa" w:w="317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차트 구조 판정</w:t>
            </w:r>
          </w:p>
        </w:tc>
        <w:tc>
          <w:tcPr>
            <w:tcW w:type="dxa" w:w="419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module_chart 결정론 산출</w:t>
            </w:r>
          </w:p>
        </w:tc>
        <w:tc>
          <w:tcPr>
            <w:tcW w:type="dxa" w:w="1701"/>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2026. 8. 28</w:t>
            </w:r>
          </w:p>
        </w:tc>
      </w:tr>
      <w:tr>
        <w:tc>
          <w:tcPr>
            <w:tcW w:type="dxa" w:w="317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뉴스</w:t>
            </w:r>
          </w:p>
        </w:tc>
        <w:tc>
          <w:tcPr>
            <w:tcW w:type="dxa" w:w="419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사내 뉴스 데이터베이스 전문검색 30일 220건</w:t>
            </w:r>
          </w:p>
        </w:tc>
        <w:tc>
          <w:tcPr>
            <w:tcW w:type="dxa" w:w="1701"/>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2026. 8. 28</w:t>
            </w:r>
          </w:p>
        </w:tc>
      </w:tr>
      <w:tr>
        <w:tc>
          <w:tcPr>
            <w:tcW w:type="dxa" w:w="317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풍문 해명 공시</w:t>
            </w:r>
          </w:p>
        </w:tc>
        <w:tc>
          <w:tcPr>
            <w:tcW w:type="dxa" w:w="419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DART 원문 뷰어 — 브라우저로 직접 접속해 본문 확인</w:t>
            </w:r>
          </w:p>
        </w:tc>
        <w:tc>
          <w:tcPr>
            <w:tcW w:type="dxa" w:w="1701"/>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2026. 8. 7</w:t>
            </w:r>
          </w:p>
        </w:tc>
      </w:tr>
      <w:tr>
        <w:tc>
          <w:tcPr>
            <w:tcW w:type="dxa" w:w="317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동종·지수 수익률, 글로벌 배수</w:t>
            </w:r>
          </w:p>
        </w:tc>
        <w:tc>
          <w:tcPr>
            <w:tcW w:type="dxa" w:w="419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val="0"/>
                <w:color w:val="1A1A1A"/>
                <w:sz w:val="19"/>
              </w:rPr>
              <w:t>시장 데이터</w:t>
            </w:r>
          </w:p>
        </w:tc>
        <w:tc>
          <w:tcPr>
            <w:tcW w:type="dxa" w:w="1701"/>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val="0"/>
                <w:color w:val="1A1A1A"/>
                <w:sz w:val="19"/>
              </w:rPr>
              <w:t>2026. 8. 28</w:t>
            </w:r>
          </w:p>
        </w:tc>
      </w:tr>
      <w:tr>
        <w:tc>
          <w:tcPr>
            <w:tcW w:type="dxa" w:w="317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미국 고객사가 두산을 어떻게 적었나</w:t>
            </w:r>
          </w:p>
        </w:tc>
        <w:tc>
          <w:tcPr>
            <w:tcW w:type="dxa" w:w="419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미 증권거래위원회 EDGAR 원문 — 페르미(Fermi Inc.) 분기·연차보고서, 엑스에너지(X-Energy, Inc.) 증권신고서</w:t>
            </w:r>
          </w:p>
        </w:tc>
        <w:tc>
          <w:tcPr>
            <w:tcW w:type="dxa" w:w="1701"/>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2026. 8. 29</w:t>
            </w:r>
          </w:p>
        </w:tc>
      </w:tr>
      <w:tr>
        <w:tc>
          <w:tcPr>
            <w:tcW w:type="dxa" w:w="317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미국 가스터빈 계약 하한금액</w:t>
            </w:r>
          </w:p>
        </w:tc>
        <w:tc>
          <w:tcPr>
            <w:tcW w:type="dxa" w:w="419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DART 단일판매·공급계약체결 원문 2025. 12. 17 및 2026. 3. 6</w:t>
            </w:r>
          </w:p>
        </w:tc>
        <w:tc>
          <w:tcPr>
            <w:tcW w:type="dxa" w:w="1701"/>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2026. 8. 29</w:t>
            </w:r>
          </w:p>
        </w:tc>
      </w:tr>
      <w:tr>
        <w:tc>
          <w:tcPr>
            <w:tcW w:type="dxa" w:w="317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고객사 지분 보유</w:t>
            </w:r>
          </w:p>
        </w:tc>
        <w:tc>
          <w:tcPr>
            <w:tcW w:type="dxa" w:w="419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DART 반기보고서 타법인 출자현황 원문</w:t>
            </w:r>
          </w:p>
        </w:tc>
        <w:tc>
          <w:tcPr>
            <w:tcW w:type="dxa" w:w="1701"/>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2026. 6. 30</w:t>
            </w:r>
          </w:p>
        </w:tc>
      </w:tr>
      <w:tr>
        <w:tc>
          <w:tcPr>
            <w:tcW w:type="dxa" w:w="317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가스터빈 납기·누적 대수, 테라파워 주기기</w:t>
            </w:r>
          </w:p>
        </w:tc>
        <w:tc>
          <w:tcPr>
            <w:tcW w:type="dxa" w:w="419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회사 보도자료 2026. 3. 6 및 2026. 8. 14</w:t>
            </w:r>
          </w:p>
        </w:tc>
        <w:tc>
          <w:tcPr>
            <w:tcW w:type="dxa" w:w="1701"/>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2026. 8. 29</w:t>
            </w:r>
          </w:p>
        </w:tc>
      </w:tr>
      <w:tr>
        <w:tc>
          <w:tcPr>
            <w:tcW w:type="dxa" w:w="317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경쟁사·정책 교차확인</w:t>
            </w:r>
          </w:p>
        </w:tc>
        <w:tc>
          <w:tcPr>
            <w:tcW w:type="dxa" w:w="419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GE버노바 2분기 실적자료, 미쓰비시중공업 IR, 지멘스에너지 보도자료, 미 에너지부·원자력규제위원회 발표</w:t>
            </w:r>
          </w:p>
        </w:tc>
        <w:tc>
          <w:tcPr>
            <w:tcW w:type="dxa" w:w="1701"/>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2026. 8. 29</w:t>
            </w:r>
          </w:p>
        </w:tc>
      </w:tr>
      <w:tr>
        <w:tc>
          <w:tcPr>
            <w:tcW w:type="dxa" w:w="317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미국 가스·스팀터빈 계약의 대수·납기·고객 표현</w:t>
            </w:r>
          </w:p>
        </w:tc>
        <w:tc>
          <w:tcPr>
            <w:tcW w:type="dxa" w:w="419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회사 뉴스룸 보도자료 원문 전수 조회 — 2025.12.17, 2026.3.6, 2026.3.18, 2026.5.27</w:t>
            </w:r>
          </w:p>
        </w:tc>
        <w:tc>
          <w:tcPr>
            <w:tcW w:type="dxa" w:w="1701"/>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2026. 8. 29</w:t>
            </w:r>
          </w:p>
        </w:tc>
      </w:tr>
      <w:tr>
        <w:tc>
          <w:tcPr>
            <w:tcW w:type="dxa" w:w="317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두산을 언급한 미국 기업 전수</w:t>
            </w:r>
          </w:p>
        </w:tc>
        <w:tc>
          <w:tcPr>
            <w:tcW w:type="dxa" w:w="419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미 증권거래위원회 EDGAR 전문검색 (2025.1.1~2026.8.29, 서식별)</w:t>
            </w:r>
          </w:p>
        </w:tc>
        <w:tc>
          <w:tcPr>
            <w:tcW w:type="dxa" w:w="1701"/>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2026. 8. 29</w:t>
            </w:r>
          </w:p>
        </w:tc>
      </w:tr>
      <w:tr>
        <w:tc>
          <w:tcPr>
            <w:tcW w:type="dxa" w:w="317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페르미의 가스터빈 협력사가 지멘스라는 사실</w:t>
            </w:r>
          </w:p>
        </w:tc>
        <w:tc>
          <w:tcPr>
            <w:tcW w:type="dxa" w:w="419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페르미 2026년 3월 30일 수시보고서 주주서한 원문</w:t>
            </w:r>
          </w:p>
        </w:tc>
        <w:tc>
          <w:tcPr>
            <w:tcW w:type="dxa" w:w="1701"/>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2026. 8. 29</w:t>
            </w:r>
          </w:p>
        </w:tc>
      </w:tr>
      <w:tr>
        <w:tc>
          <w:tcPr>
            <w:tcW w:type="dxa" w:w="317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미국 계획 발전기 원장</w:t>
            </w:r>
          </w:p>
        </w:tc>
        <w:tc>
          <w:tcPr>
            <w:tcW w:type="dxa" w:w="419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미 에너지부 EIA-860M 2026년 7월판 계획 시트 2,343행 전수</w:t>
            </w:r>
          </w:p>
        </w:tc>
        <w:tc>
          <w:tcPr>
            <w:tcW w:type="dxa" w:w="1701"/>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2026. 7</w:t>
            </w:r>
          </w:p>
        </w:tc>
      </w:tr>
      <w:tr>
        <w:tc>
          <w:tcPr>
            <w:tcW w:type="dxa" w:w="317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고객사 분기 설비투자·영업현금흐름·차입</w:t>
            </w:r>
          </w:p>
        </w:tc>
        <w:tc>
          <w:tcPr>
            <w:tcW w:type="dxa" w:w="419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미 증권거래위원회 XBRL 재무데이터 — 마이크로소프트·알파벳·아마존·메타·오라클</w:t>
            </w:r>
          </w:p>
        </w:tc>
        <w:tc>
          <w:tcPr>
            <w:tcW w:type="dxa" w:w="1701"/>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2026년 2분기까지</w:t>
            </w:r>
          </w:p>
        </w:tc>
      </w:tr>
      <w:tr>
        <w:tc>
          <w:tcPr>
            <w:tcW w:type="dxa" w:w="317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미국 재정·금리</w:t>
            </w:r>
          </w:p>
        </w:tc>
        <w:tc>
          <w:tcPr>
            <w:tcW w:type="dxa" w:w="419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세인트루이스 연준 경제지표 (연방부채·재정수지·이자지급·국채금리)</w:t>
            </w:r>
          </w:p>
        </w:tc>
        <w:tc>
          <w:tcPr>
            <w:tcW w:type="dxa" w:w="1701"/>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2026. 8. 29</w:t>
            </w:r>
          </w:p>
        </w:tc>
      </w:tr>
      <w:tr>
        <w:tc>
          <w:tcPr>
            <w:tcW w:type="dxa" w:w="317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한국산 15% 관세와 면제 범위</w:t>
            </w:r>
          </w:p>
        </w:tc>
        <w:tc>
          <w:tcPr>
            <w:tcW w:type="dxa" w:w="4195"/>
            <w:vAlign w:val="center"/>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미 연방관보 2025년 12월 4일 한미 전략무역투자합의 관세 요소 이행 원문</w:t>
            </w:r>
          </w:p>
        </w:tc>
        <w:tc>
          <w:tcPr>
            <w:tcW w:type="dxa" w:w="1701"/>
            <w:vAlign w:val="center"/>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2026. 8. 29</w:t>
            </w:r>
          </w:p>
        </w:tc>
      </w:tr>
      <w:tr>
        <w:tc>
          <w:tcPr>
            <w:tcW w:type="dxa" w:w="317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232조 파생품에 가스터빈 부재, GE 자유무역지역 신청</w:t>
            </w:r>
          </w:p>
        </w:tc>
        <w:tc>
          <w:tcPr>
            <w:tcW w:type="dxa" w:w="4195"/>
            <w:vAlign w:val="center"/>
            <w:shd w:val="clear" w:fill="F4F6F8"/>
            <w:tcBorders>
              <w:top w:val="nil"/>
              <w:left w:val="nil"/>
              <w:bottom w:val="single" w:sz="4" w:color="C9CED6"/>
              <w:right w:val="nil"/>
            </w:tcBorders>
          </w:tcPr>
          <w:p>
            <w:pPr>
              <w:spacing w:before="70" w:after="70" w:lineRule="auto" w:line="288"/>
              <w:jc w:val="left"/>
            </w:pPr>
            <w:r>
              <w:rPr>
                <w:rFonts w:ascii="맑은 고딕" w:hAnsi="맑은 고딕" w:eastAsia="맑은 고딕"/>
                <w:b/>
                <w:color w:val="1B365D"/>
                <w:sz w:val="19"/>
              </w:rPr>
              <w:t>미 연방관보 2026년 8월 6일 공람 및 2026년 2월 11일 통지</w:t>
            </w:r>
          </w:p>
        </w:tc>
        <w:tc>
          <w:tcPr>
            <w:tcW w:type="dxa" w:w="1701"/>
            <w:vAlign w:val="center"/>
            <w:shd w:val="clear" w:fill="F4F6F8"/>
            <w:tcBorders>
              <w:top w:val="nil"/>
              <w:left w:val="nil"/>
              <w:bottom w:val="single" w:sz="4" w:color="C9CED6"/>
              <w:right w:val="nil"/>
            </w:tcBorders>
          </w:tcPr>
          <w:p>
            <w:pPr>
              <w:spacing w:before="70" w:after="70" w:lineRule="auto" w:line="288"/>
              <w:jc w:val="center"/>
            </w:pPr>
            <w:r>
              <w:rPr>
                <w:rFonts w:ascii="맑은 고딕" w:hAnsi="맑은 고딕" w:eastAsia="맑은 고딕"/>
                <w:b/>
                <w:color w:val="1B365D"/>
                <w:sz w:val="19"/>
              </w:rPr>
              <w:t>2026. 8. 29</w:t>
            </w:r>
          </w:p>
        </w:tc>
      </w:tr>
      <w:tr>
        <w:tc>
          <w:tcPr>
            <w:tcW w:type="dxa" w:w="3175"/>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color w:val="1B365D"/>
                <w:sz w:val="19"/>
              </w:rPr>
              <w:t>가스터빈 생산능력 연 8기</w:t>
            </w:r>
          </w:p>
        </w:tc>
        <w:tc>
          <w:tcPr>
            <w:tcW w:type="dxa" w:w="4195"/>
            <w:vAlign w:val="center"/>
            <w:tcBorders>
              <w:top w:val="nil"/>
              <w:left w:val="nil"/>
              <w:bottom w:val="single" w:sz="10" w:color="1B365D"/>
              <w:right w:val="nil"/>
            </w:tcBorders>
          </w:tcPr>
          <w:p>
            <w:pPr>
              <w:spacing w:before="70" w:after="70" w:lineRule="auto" w:line="288"/>
              <w:jc w:val="left"/>
            </w:pPr>
            <w:r>
              <w:rPr>
                <w:rFonts w:ascii="맑은 고딕" w:hAnsi="맑은 고딕" w:eastAsia="맑은 고딕"/>
                <w:b/>
                <w:color w:val="1B365D"/>
                <w:sz w:val="19"/>
              </w:rPr>
              <w:t>DART 2025년 사업보고서 생산능력 산출근거 원문</w:t>
            </w:r>
          </w:p>
        </w:tc>
        <w:tc>
          <w:tcPr>
            <w:tcW w:type="dxa" w:w="1701"/>
            <w:vAlign w:val="center"/>
            <w:tcBorders>
              <w:top w:val="nil"/>
              <w:left w:val="nil"/>
              <w:bottom w:val="single" w:sz="10" w:color="1B365D"/>
              <w:right w:val="nil"/>
            </w:tcBorders>
          </w:tcPr>
          <w:p>
            <w:pPr>
              <w:spacing w:before="70" w:after="70" w:lineRule="auto" w:line="288"/>
              <w:jc w:val="center"/>
            </w:pPr>
            <w:r>
              <w:rPr>
                <w:rFonts w:ascii="맑은 고딕" w:hAnsi="맑은 고딕" w:eastAsia="맑은 고딕"/>
                <w:b/>
                <w:color w:val="1B365D"/>
                <w:sz w:val="19"/>
              </w:rPr>
              <w:t>2026. 3. 20</w:t>
            </w:r>
          </w:p>
        </w:tc>
      </w:tr>
    </w:tbl>
    <w:p>
      <w:pPr>
        <w:spacing w:before="0" w:after="160" w:lineRule="auto" w:line="348"/>
      </w:pPr>
    </w:p>
    <w:p>
      <w:pPr>
        <w:spacing w:before="260" w:after="80" w:lineRule="auto" w:line="288"/>
        <w:outlineLvl w:val="1"/>
        <w:keepNext/>
      </w:pPr>
      <w:r>
        <w:rPr>
          <w:rFonts w:ascii="맑은 고딕" w:hAnsi="맑은 고딕" w:eastAsia="맑은 고딕"/>
          <w:b/>
          <w:color w:val="1B365D"/>
          <w:sz w:val="23"/>
        </w:rPr>
        <w:t>확인하지 못한 것</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부문별(원자력·가스터빈·EPC·서비스) 영업이익 분해. 사업보고서 본문 추출이 기타 참고사항 앞에서 끊겼고 반기보고서에는 부문 영업이익이 없다. 4장의 이익 분해는 자회사 컨센서스로 역산한 추정치다.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네팔 홍수 사고의 재무 영향. 진행 중이며 금액이 공개되지 않았다.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두산밥캣 상반기 이익에 포함된 관세 환급 금액. IR 자료가 존재만 언급하고 금액은 밝히지 않았다.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2026년 하반기 원전 수주의 개별 프로젝트별 성사 확률. 회사도 추진 중으로만 표기했다.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2026년 8월 21일 오만 미스파 9,281억원 계약과 8월 14일 테라파워 소형모듈원전 기자재 수주의 마진과 인식 시점. 공시에 없다.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2027년 부문 상각전영업이익. 회사가 공시하지 않아 연결 컨센서스 증가율로 준용했다. 본 보고서 목표주가는 이 추정치에 직접 연동된다.</w:t>
      </w:r>
    </w:p>
    <w:p>
      <w:pPr>
        <w:spacing w:before="160" w:after="80" w:lineRule="auto" w:line="348"/>
      </w:pPr>
      <w:r>
        <w:rPr>
          <w:rFonts w:ascii="맑은 고딕" w:hAnsi="맑은 고딕" w:eastAsia="맑은 고딕"/>
          <w:b/>
          <w:color w:val="1A1A1A"/>
          <w:sz w:val="21"/>
        </w:rPr>
        <w:t>2026년 8월 29일 개정에서 새로 확인하지 못한 것으로 남은 항목</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미국 가스터빈 계약 두 건의 정확한 금액. 경영상 비밀유지로 유보됐고 해제 예정일이 각각 2028년 9월 30일과 2029년 11월 30일이다. 공시의무 문구 덕에 각 4,058억원이라는 하한만 알 수 있고 상한은 모른다.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테라파워 계약 금액. 비공개다. 단일판매·공급계약 공시가 없다는 사실에서 4,058억원 미만이라는 것만 알 수 있다.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두산의 원전 예약이 확정 수주로 바뀌는 비율. 두산은 공개하지 않는다. 가스터빈 쪽은 공개된다. 지멘스가 6개월에서 12개월을 목표로 제시했고 GE버노바는 2분기에 10기가와트를 전환했다. 모르는 것은 원전 쪽이며, 그쪽은 인허가와 금융이 선행조건이라 시계가 다르다. 두산에 관한 한 이 사이클에서 가장 큰 미지수다.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업계 가스터빈 제조능력의 정확한 합계. 원천기술 보유사들이 서로 다른 단위로 공시해 합산 자체가 불가능하다. 다만 60~70기가와트라는 값은 근거가 없을 뿐 아니라 반박됐다.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가스터빈 리드타임의 확정값. 2차 출처는 5년, 6년, 7년으로 흩어지고 1차 출처인 지멘스는 2~4년을 시사한다. GE버노바와 미쓰비시중공업은 자사 리드타임을 원문으로 밝히지 않았다.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페르미 예약계약의 2026년 3월 이후 상태. 후속 계약도 해지도 공시된 것이 없고, 페르미 2분기 분기보고서에는 언급 자체가 없다.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두산 프레스의 최대 잉곳 처리중량. 540톤이라는 값은 세계원자력협회 표에만 있고 두산 자체 자료에는 없다. 두산 카탈로그는 완성 단조품 기준 300톤으로 적었다. 1만 7천 톤 프레스 자체는 회사 보도자료로 확인된다.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미국 H급 18기 집계의 기간과 기준. 원본이 유료 조사보고서라 출력 하한이나 확정발주와 예약의 구분을 알 수 없다. 두산 IR 자료는 경쟁사를 OEM G·M·S로만 표기했고, 이를 GE·미쓰비시·지멘스로 지목한 것은 국내 언론의 추정이다.</w:t>
      </w:r>
    </w:p>
    <w:p>
      <w:pPr>
        <w:spacing w:before="160" w:after="80" w:lineRule="auto" w:line="348"/>
      </w:pPr>
      <w:r>
        <w:rPr>
          <w:rFonts w:ascii="맑은 고딕" w:hAnsi="맑은 고딕" w:eastAsia="맑은 고딕"/>
          <w:b/>
          <w:color w:val="1A1A1A"/>
          <w:sz w:val="21"/>
        </w:rPr>
        <w:t>반대로 이번 개정에서 일부 풀린 것</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테라파워 기자재의 종류가 확인됐다. 원자로 보호용기, 지지구조물, 내부구조물이다. 마진과 인식 시점은 여전히 확인되지 않았다.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오만 미스파의 성격이 확인됐다. 네브라스파워 컨소시엄향 EPC와 스팀터빈 직공급이며 발주처는 Jabel Power SAOC다. EPC 비중이 크면 마진이 얇다는 점을 하반기 수주의 질을 볼 때 함께 보아야 한다. 마진 자체는 여전히 확인되지 않았다.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네팔 프로젝트의 계약금액 4,037억원과, 사고 이전부터 지연되고 있었다는 사실이 확인됐다.</w:t>
      </w:r>
    </w:p>
    <w:p>
      <w:pPr>
        <w:spacing w:before="160" w:after="80" w:lineRule="auto" w:line="348"/>
      </w:pPr>
      <w:r>
        <w:rPr>
          <w:rFonts w:ascii="맑은 고딕" w:hAnsi="맑은 고딕" w:eastAsia="맑은 고딕"/>
          <w:b/>
          <w:color w:val="1A1A1A"/>
          <w:sz w:val="21"/>
        </w:rPr>
        <w:t>2026년 8월 29일 2차 개정에서 새로 확인하지 못한 것으로 남은 항목</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미국 가스터빈 고객의 정체. 두산은 미국 빅테크 또는 the U.S. company 로만 적는다. 미 증권거래위원회 전문검색으로 전 범위를 뒤졌으나 가스터빈 고객은 나오지 않는다. 초대형 상장사에게는 공시 문턱에 미치지 못하는 금액이라 역추적이 원천적으로 막혀 있다.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2026년 3월 6일 계약 7기가 앞선 5기와 같은 고객인지 여부. 영문 부제의 정관사가 시사할 뿐 본문이 명시하지 않는다. 5기가 같은 고객인 것만 확정이다.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스팀터빈 6기가 가스터빈 12기와 같은 프로젝트인지 여부. 대수 비율과 지역과 납기가 맞아떨어지나 회사가 둘을 연결해 말한 적이 없다.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고객 발전소의 부지·인허가·계통 상태. 미 에너지부 발전기 원장 2026년 7월판에 등재가 0건이다. 수요지 자가발전이라 늦게 잡히는 것인지 아직 확정되지 않은 것인지 구분할 수 없다.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관세 15%의 부담 주체. 계약서 인도조건 사안이며 공시와 보도자료 어디에도 없다.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가스터빈 기당 단가. 여기에는 아직 풀리지 않은 모순이 하나 있다. 2025년 12월 17일 공시(3기)가 최근 매출액의 2.5% 이상이면 기당 1,353억원 이상이다. 그렇다면 2025년 10월 계약(2기, 2,706억원 이상)이 2025년 사업보고서 주요계약 목록에 당연히 있어야 하는데, 그 목록은 1,230억원짜리 계약까지 싣고도 10월 가스터빈 건을 담고 있지 않다. 10월 계약이 실제로 훨씬 작았거나, 12월 공시가 5기를 합산했거나, 목록이 선별이거나 셋 중 하나인데 가리지 못했다. 따라서 본 보고서는 기당 단가를 특정하지 않으며, 관세 크기 계산에 쓴 기당 1,000억~1,500억원은 감도 가정이지 실측이 아니다.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두산의 가스터빈 증설 계획의 구체값. 사업보고서는 설비 혁신 추진과 생산능력 확보 예정이라고만 적었고 목표 대수와 완공시점과 투자금액이 모두 없다.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90메가와트 중형 가스터빈 일정. 언론 보도만 있고 회사 공식 발표나 공시가 없다.</w:t>
      </w:r>
    </w:p>
    <w:p>
      <w:pPr>
        <w:spacing w:before="160" w:after="80" w:lineRule="auto" w:line="348"/>
      </w:pPr>
      <w:r>
        <w:rPr>
          <w:rFonts w:ascii="맑은 고딕" w:hAnsi="맑은 고딕" w:eastAsia="맑은 고딕"/>
          <w:b/>
          <w:color w:val="1A1A1A"/>
          <w:sz w:val="21"/>
        </w:rPr>
        <w:t>반대로 2차 개정에서 풀린 것</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미국 가스터빈 12기의 계약 시점·대수·납기·고객 동일성이 보도자료 원문으로 복원됐다.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페르미아메리카가 가스터빈 고객이 아니라는 사실이 1차 출처 두 개로 확정됐다. 주주서한의 협력사 열거와 발전기 원장의 260메가와트 표기다.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스팀터빈 축이 처음으로 이 보고서에 들어왔다. 370메가와트급 6기, 텍사스, 2029년까지다. 이전 판에는 아예 없던 축이다.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가스터빈 생산능력의 상한이 사업보고서 원문으로 확정됐다. 연 8기, 3,040메가와트다.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한국산 발전용 가스터빈이 15% 관세 대상이라는 사실이 연방관보 원문으로 확정됐다.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고객사의 자금조달이 자기 현금에서 부채로 넘어갔다는 사실이 미 증권거래위원회 재무데이터로 실측됐다.</w:t>
      </w:r>
    </w:p>
    <w:p>
      <w:pPr>
        <w:spacing w:before="260" w:after="80" w:lineRule="auto" w:line="288"/>
        <w:outlineLvl w:val="1"/>
        <w:keepNext/>
      </w:pPr>
      <w:r>
        <w:rPr>
          <w:rFonts w:ascii="맑은 고딕" w:hAnsi="맑은 고딕" w:eastAsia="맑은 고딕"/>
          <w:b/>
          <w:color w:val="1B365D"/>
          <w:sz w:val="23"/>
        </w:rPr>
        <w:t>분석 도구에서 발견한 결함</w:t>
      </w:r>
    </w:p>
    <w:p>
      <w:pPr>
        <w:spacing w:before="0" w:after="200" w:lineRule="auto" w:line="348"/>
      </w:pPr>
      <w:r>
        <w:rPr>
          <w:rFonts w:ascii="맑은 고딕" w:hAnsi="맑은 고딕" w:eastAsia="맑은 고딕"/>
          <w:b w:val="0"/>
          <w:color w:val="1A1A1A"/>
          <w:sz w:val="21"/>
        </w:rPr>
        <w:t>module_fundamentals_kr 은 DART 반기·분기 보고서에서 손익 항목의 3개월분 칸을 읽는데, 현금흐름표는 누계라서 두 값을 나눈 비율이 어긋난다. 2026년 반기의 경우 영업활동현금흐름 대 영업이익 비율을 -2.82로 보고하나 실제는 -1.62다. 반기·분기에는 누계 칸을 읽어야 한다. 해당 위치는 _dart_fin.py 173행과 192행이다.</w:t>
      </w:r>
    </w:p>
    <w:p>
      <w:pPr>
        <w:spacing w:before="160" w:after="80" w:lineRule="auto" w:line="348"/>
      </w:pPr>
      <w:r>
        <w:rPr>
          <w:rFonts w:ascii="맑은 고딕" w:hAnsi="맑은 고딕" w:eastAsia="맑은 고딕"/>
          <w:b/>
          <w:color w:val="1A1A1A"/>
          <w:sz w:val="21"/>
        </w:rPr>
        <w:t>2026년 8월 29일 2차 개정에서 확인한 것</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이 환경에서는 curl 이 외부로 나가지 못한다. 모든 요청이 연결 실패로 끝나며, 같은 주소가 파이썬 requests 로는 정상 응답한다. 외부 조회는 파이썬으로 해야 한다.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module_webctl 의 배치 실행 안에서 links 단계는 인자 형식이 달라 파싱 오류로 죽는다. 배치에서는 eval 단계로 우회하는 것이 안전하다.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module_webctl._env 의 함수 이름은 load_dotenv 다. 이것을 먼저 호출하지 않으면 세인트루이스 연준 조회가 400을 반환한다.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미 에너지부 발전기 원장 전용 모듈이 없어 매번 직접 내려받아야 한다. 최신월이 아니라 한두 달 전 파일이 유효하다는 점에 주의한다. 2026년 8월판은 503을 반환하고 7월판이 정상이었다. 계획 시트는 머리글 두 줄을 건너뛰어야 한다. 반복되면 모듈화 후보다.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사내 뉴스 데이터베이스로는 미국 수요를 잡을 수 없다. 가스터빈 미국이라는 300일 검색이 0건이고 H급은 무관한 기사 1건이다. 미국 수요는 처음부터 미 증권거래위원회와 에너지부와 연방관보로 가야 한다.</w:t>
      </w:r>
    </w:p>
    <w:p>
      <w:pPr>
        <w:spacing w:before="0" w:after="80" w:lineRule="auto" w:line="336"/>
        <w:ind w:left="539" w:hanging="255"/>
      </w:pPr>
      <w:r>
        <w:rPr>
          <w:rFonts w:ascii="맑은 고딕" w:hAnsi="맑은 고딕" w:eastAsia="맑은 고딕"/>
          <w:b w:val="0"/>
          <w:color w:val="666B73"/>
          <w:sz w:val="21"/>
        </w:rPr>
        <w:t xml:space="preserve">· </w:t>
      </w:r>
      <w:r>
        <w:rPr>
          <w:rFonts w:ascii="맑은 고딕" w:hAnsi="맑은 고딕" w:eastAsia="맑은 고딕"/>
          <w:b w:val="0"/>
          <w:color w:val="1A1A1A"/>
          <w:sz w:val="21"/>
        </w:rPr>
        <w:t>회사 뉴스룸은 목록 페이지가 자바스크립트 렌더라 requests 로 잡히지 않으나, 상세 페이지는 서버 렌더라 잡힌다. 목록만 브라우저로 긁고 본문은 requests 로 순회하는 것이 가장 싸다. 다만 국문 경로가 영문 본문을 주는 경우가 있어 언어를 신뢰하면 안 된다.</w:t>
      </w:r>
    </w:p>
    <w:p>
      <w:pPr>
        <w:spacing w:before="360" w:after="160" w:lineRule="auto" w:line="240"/>
        <w:pBdr>
          <w:bottom w:val="single" w:sz="6" w:space="1" w:color="C9CED6"/>
        </w:pBdr>
      </w:pPr>
    </w:p>
    <w:p>
      <w:pPr>
        <w:spacing w:before="0" w:after="40" w:lineRule="auto" w:line="348"/>
      </w:pPr>
      <w:r>
        <w:rPr>
          <w:rFonts w:ascii="맑은 고딕" w:hAnsi="맑은 고딕" w:eastAsia="맑은 고딕"/>
          <w:b w:val="0"/>
          <w:color w:val="666B73"/>
          <w:sz w:val="17"/>
        </w:rPr>
        <w:t>본 보고서는 리서치 산출물이며 주문 경로가 아니다. 포지션 규모와 집행은 별도로 결정한다.</w:t>
      </w:r>
    </w:p>
    <w:p>
      <w:pPr>
        <w:spacing w:before="0" w:after="0" w:lineRule="auto" w:line="348"/>
      </w:pPr>
      <w:r>
        <w:rPr>
          <w:rFonts w:ascii="맑은 고딕" w:hAnsi="맑은 고딕" w:eastAsia="맑은 고딕"/>
          <w:b w:val="0"/>
          <w:color w:val="666B73"/>
          <w:sz w:val="17"/>
        </w:rPr>
        <w:t>작성 2026년 8월 28일 · 1차 개정 2026년 8월 29일 · 2차 개정 2026년 8월 29일</w:t>
      </w:r>
    </w:p>
    <w:sectPr w:rsidR="00FC693F" w:rsidRPr="0006063C" w:rsidSect="00034616">
      <w:footerReference w:type="first" r:id="rId9"/>
      <w:headerReference w:type="default" r:id="rId10"/>
      <w:footerReference w:type="default" r:id="rId11"/>
      <w:pgSz w:w="11906" w:h="16838"/>
      <w:pgMar w:top="1247" w:right="1304" w:bottom="1134"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맑은 고딕" w:hAnsi="맑은 고딕" w:eastAsia="맑은 고딕"/>
        <w:b w:val="0"/>
        <w:color w:val="666B73"/>
        <w:sz w:val="17"/>
      </w:rPr>
      <w:t>본 보고서는 리서치 목적으로 작성되었으며 특정 종목의 매매를 권유하지 않는다.</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color w:val="666B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b w:val="0"/>
        <w:color w:val="666B73"/>
        <w:sz w:val="17"/>
      </w:rPr>
      <w:t>두산에너빌리티 (034020)  |  기업분석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autoSpaceDE w:val="0"/>
        <w:autoSpaceDN w:val="0"/>
        <w:widowControl w:val="1"/>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