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900" w:lineRule="auto" w:line="348"/>
      </w:pPr>
    </w:p>
    <w:p>
      <w:pPr>
        <w:spacing w:before="0" w:after="40" w:lineRule="auto" w:line="348"/>
      </w:pPr>
      <w:r>
        <w:rPr>
          <w:rFonts w:ascii="맑은 고딕" w:hAnsi="맑은 고딕" w:eastAsia="맑은 고딕"/>
          <w:b/>
          <w:color w:val="666B73"/>
          <w:sz w:val="22"/>
        </w:rPr>
        <w:t>기업분석</w:t>
      </w:r>
    </w:p>
    <w:p>
      <w:pPr>
        <w:spacing w:before="0" w:after="80" w:lineRule="auto" w:line="348"/>
      </w:pPr>
      <w:r>
        <w:rPr>
          <w:rFonts w:ascii="맑은 고딕" w:hAnsi="맑은 고딕" w:eastAsia="맑은 고딕"/>
          <w:b/>
          <w:color w:val="1B365D"/>
          <w:sz w:val="68"/>
        </w:rPr>
        <w:t>엔비디아</w:t>
      </w:r>
    </w:p>
    <w:p>
      <w:pPr>
        <w:spacing w:before="0" w:after="280" w:lineRule="auto" w:line="348"/>
      </w:pPr>
      <w:r>
        <w:rPr>
          <w:rFonts w:ascii="맑은 고딕" w:hAnsi="맑은 고딕" w:eastAsia="맑은 고딕"/>
          <w:b w:val="0"/>
          <w:color w:val="666B73"/>
          <w:sz w:val="24"/>
        </w:rPr>
        <w:t>NVDA · 나스닥 · 반도체</w:t>
      </w:r>
    </w:p>
    <w:p>
      <w:pPr>
        <w:spacing w:before="40" w:after="280" w:lineRule="auto" w:line="240"/>
        <w:pBdr>
          <w:bottom w:val="single" w:sz="14" w:space="1" w:color="1B365D"/>
        </w:pBdr>
      </w:pPr>
    </w:p>
    <w:p>
      <w:pPr>
        <w:spacing w:before="0" w:after="120" w:lineRule="auto" w:line="348"/>
      </w:pPr>
      <w:r>
        <w:rPr>
          <w:rFonts w:ascii="맑은 고딕" w:hAnsi="맑은 고딕" w:eastAsia="맑은 고딕"/>
          <w:b/>
          <w:color w:val="1A1A1A"/>
          <w:sz w:val="30"/>
        </w:rPr>
        <w:t>고객의 신용을 대신 서주기 시작한 회사</w:t>
      </w:r>
    </w:p>
    <w:p>
      <w:pPr>
        <w:spacing w:before="0" w:after="600" w:lineRule="auto" w:line="360"/>
        <w:jc w:val="both"/>
      </w:pPr>
      <w:r>
        <w:rPr>
          <w:rFonts w:ascii="맑은 고딕" w:hAnsi="맑은 고딕" w:eastAsia="맑은 고딕"/>
          <w:b w:val="0"/>
          <w:color w:val="666B73"/>
          <w:sz w:val="22"/>
        </w:rPr>
        <w:t>매출은 1년 만에 두 배가 됐고, 그 성장의 절반은 고객사들이 스스로 공시한 투자 지출로 교차 확인된다. 사업은 진짜다. 그런데 같은 회사가 8월에 고객 한 곳의 20년치 임대료를 최대 1,050억 달러까지 대신 갚아주겠다고 서명했고, 그 계약서에는 '이 보증이 없으면 임대차 자체가 성립하지 않는다'고 적혀 있다. 이 보고서는 그 서명이 무엇을 뜻하는지 재고, 지금 주가가 무엇을 이미 믿고 있는지 숫자로 되짚은 뒤, 사야 하는지 팔아야 하는지에 답한다.</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186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현재주가</w:t>
            </w:r>
          </w:p>
        </w:tc>
        <w:tc>
          <w:tcPr>
            <w:tcW w:type="dxa" w:w="186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시가총액</w:t>
            </w:r>
          </w:p>
        </w:tc>
        <w:tc>
          <w:tcPr>
            <w:tcW w:type="dxa" w:w="186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선행 PER</w:t>
            </w:r>
          </w:p>
        </w:tc>
        <w:tc>
          <w:tcPr>
            <w:tcW w:type="dxa" w:w="186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목표주가</w:t>
            </w:r>
          </w:p>
        </w:tc>
        <w:tc>
          <w:tcPr>
            <w:tcW w:type="dxa" w:w="186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투자의견</w:t>
            </w:r>
          </w:p>
        </w:tc>
      </w:tr>
      <w:tr>
        <w:tc>
          <w:tcPr>
            <w:tcW w:type="dxa" w:w="186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224.41달러</w:t>
            </w:r>
          </w:p>
        </w:tc>
        <w:tc>
          <w:tcPr>
            <w:tcW w:type="dxa" w:w="186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5조 4,188억달러</w:t>
            </w:r>
          </w:p>
        </w:tc>
        <w:tc>
          <w:tcPr>
            <w:tcW w:type="dxa" w:w="186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14.6배</w:t>
            </w:r>
          </w:p>
        </w:tc>
        <w:tc>
          <w:tcPr>
            <w:tcW w:type="dxa" w:w="186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248달러</w:t>
            </w:r>
          </w:p>
        </w:tc>
        <w:tc>
          <w:tcPr>
            <w:tcW w:type="dxa" w:w="186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보유</w:t>
            </w:r>
          </w:p>
        </w:tc>
      </w:tr>
    </w:tbl>
    <w:p>
      <w:pPr>
        <w:spacing w:before="0" w:after="160" w:lineRule="auto" w:line="348"/>
      </w:pPr>
    </w:p>
    <w:p>
      <w:pPr>
        <w:spacing w:before="0" w:after="120" w:lineRule="auto" w:line="348"/>
      </w:pPr>
      <w:r>
        <w:rPr>
          <w:rFonts w:ascii="맑은 고딕" w:hAnsi="맑은 고딕" w:eastAsia="맑은 고딕"/>
          <w:b w:val="0"/>
          <w:color w:val="666B73"/>
          <w:sz w:val="17"/>
        </w:rPr>
        <w:t>주가는 2026년 9월 2일 미국 시장 종가 기준. 목표주가와 투자의견은 본 보고서의 자체 산출이며 증권사 컨센서스가 아니다.</w:t>
      </w:r>
    </w:p>
    <w:p>
      <w:pPr>
        <w:spacing w:before="0" w:after="0" w:lineRule="auto" w:line="348"/>
      </w:pPr>
      <w:r>
        <w:rPr>
          <w:rFonts w:ascii="맑은 고딕" w:hAnsi="맑은 고딕" w:eastAsia="맑은 고딕"/>
          <w:b w:val="0"/>
          <w:color w:val="666B73"/>
          <w:sz w:val="17"/>
        </w:rPr>
        <w:t>1차 개정 2026년 9월 3일 — 고객사와 경쟁사의 공시를 추가로 조사해 4개 장을 보강했다. 투자의견과 목표주가는 바뀌지 않았다.</w:t>
      </w:r>
    </w:p>
    <w:p>
      <w:r>
        <w:br w:type="page"/>
      </w:r>
    </w:p>
    <w:p>
      <w:pPr>
        <w:spacing w:before="400" w:after="40" w:lineRule="auto" w:line="288"/>
        <w:outlineLvl w:val="0"/>
        <w:keepNext/>
      </w:pPr>
      <w:r>
        <w:rPr>
          <w:rFonts w:ascii="맑은 고딕" w:hAnsi="맑은 고딕" w:eastAsia="맑은 고딕"/>
          <w:b/>
          <w:color w:val="1B365D"/>
          <w:sz w:val="28"/>
        </w:rPr>
        <w:t xml:space="preserve">1  </w:t>
      </w:r>
      <w:r>
        <w:rPr>
          <w:rFonts w:ascii="맑은 고딕" w:hAnsi="맑은 고딕" w:eastAsia="맑은 고딕"/>
          <w:b/>
          <w:color w:val="1B365D"/>
          <w:sz w:val="28"/>
        </w:rPr>
        <w:t>결론</w:t>
      </w:r>
    </w:p>
    <w:p>
      <w:pPr>
        <w:spacing w:before="0" w:after="200" w:lineRule="auto" w:line="240"/>
        <w:pBdr>
          <w:bottom w:val="single" w:sz="10" w:space="1" w:color="1B365D"/>
        </w:pBdr>
      </w:pP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투자의견 보유 · 목표주가 248달러 (현재가 대비 +10.5%)</w:t>
            </w:r>
          </w:p>
          <w:p>
            <w:pPr>
              <w:spacing w:before="0" w:after="140" w:lineRule="auto" w:line="341"/>
              <w:ind w:left="198"/>
              <w:jc w:val="both"/>
            </w:pPr>
            <w:r>
              <w:rPr>
                <w:rFonts w:ascii="맑은 고딕" w:hAnsi="맑은 고딕" w:eastAsia="맑은 고딕"/>
                <w:b w:val="0"/>
                <w:color w:val="1A1A1A"/>
                <w:sz w:val="20"/>
              </w:rPr>
              <w:t>지금 더 사지 않는다. 그렇다고 팔지도 않는다. 손절선은 208.48달러이고, 다음 판단 시점은 2026년 11월 18일 3분기 실적 발표일이다.</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왜 이 결론인가 — 세 줄</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사업은 진짜다. 매출의 절반(하이퍼스케일 부문)은 고객사 세 곳이 스스로 공시한 설비투자 증가율(+97.7%)과 3.9%포인트 안에서 맞물린다. 이 회사가 만든 숫자가 아니라 고객이 감사받아 제출한 숫자다.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그런데 더 사기에는 기대수익이 모자란다. 자체 산출한 목표주가 248달러까지 상승 여력은 10.5%이고, 차트상 손절선까지 하락 위험은 7.1%다. 손익비 1.48로, 이 데스크가 신규 매수에 요구하는 1.5에 0.019 모자란다. 증권사 평균 목표주가 326달러를 썼다면 손익비 4.79로 가볍게 통과했겠지만, 남의 목표로 자기 관문을 통과시키지 않는다.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팔 이유도 아직 없다. 반박 검증에서 살아남은 우려 세 가지가 모두 날짜가 박힌 확인 지표로 바뀌었고, 그중 다섯은 11월 6일부터 11월 18일 사이에 답이 나온다. 그 날짜 전에 파는 것은 답이 곧 나올 질문을 버리는 것이다.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다만 이 결론에는 부채가 하나 붙는다. 초판은 나머지 절반을 '확인할 수 없다'고 적었는데, 그것은 틀렸다. 고객사 두 곳은 상장사이고, 오픈에이아이의 손익은 마이크로소프트의 지분법 주석에 분기마다 나온다. 확인할 수 없는 것이 아니라 아직 확인하지 않은 것이며, 그래서 이 우려는 가벼워진 것이 아니라 무거워졌다.</w:t>
      </w:r>
    </w:p>
    <w:p>
      <w:pPr>
        <w:spacing w:before="260" w:after="80" w:lineRule="auto" w:line="288"/>
        <w:outlineLvl w:val="1"/>
        <w:keepNext/>
      </w:pPr>
      <w:r>
        <w:rPr>
          <w:rFonts w:ascii="맑은 고딕" w:hAnsi="맑은 고딕" w:eastAsia="맑은 고딕"/>
          <w:b/>
          <w:color w:val="1B365D"/>
          <w:sz w:val="23"/>
        </w:rPr>
        <w:t>한 문장으로</w:t>
      </w:r>
    </w:p>
    <w:p>
      <w:pPr>
        <w:spacing w:before="0" w:after="200" w:lineRule="auto" w:line="360"/>
        <w:jc w:val="both"/>
      </w:pPr>
      <w:r>
        <w:rPr>
          <w:rFonts w:ascii="맑은 고딕" w:hAnsi="맑은 고딕" w:eastAsia="맑은 고딕"/>
          <w:b/>
          <w:color w:val="1A1A1A"/>
          <w:sz w:val="22"/>
        </w:rPr>
        <w:t>이 회사의 절반은 세계에서 가장 검증하기 쉬운 사업이고, 나머지 절반은 검증하려면 이 회사가 아니라 그 고객들의 공시를 열어야 하는 사업이다. 그리고 회사는 후자에 자기 자본과 신용을 걸었다.</w:t>
      </w:r>
    </w:p>
    <w:p>
      <w:r>
        <w:br w:type="page"/>
      </w:r>
    </w:p>
    <w:p>
      <w:pPr>
        <w:spacing w:before="400" w:after="40" w:lineRule="auto" w:line="288"/>
        <w:outlineLvl w:val="0"/>
        <w:keepNext/>
      </w:pPr>
      <w:r>
        <w:rPr>
          <w:rFonts w:ascii="맑은 고딕" w:hAnsi="맑은 고딕" w:eastAsia="맑은 고딕"/>
          <w:b/>
          <w:color w:val="1B365D"/>
          <w:sz w:val="28"/>
        </w:rPr>
        <w:t xml:space="preserve">2  </w:t>
      </w:r>
      <w:r>
        <w:rPr>
          <w:rFonts w:ascii="맑은 고딕" w:hAnsi="맑은 고딕" w:eastAsia="맑은 고딕"/>
          <w:b/>
          <w:color w:val="1B365D"/>
          <w:sz w:val="28"/>
        </w:rPr>
        <w:t>이 회사는 무엇을 팔아서 돈을 버는가</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사슬에서 서 있는 자리는 한 칸뿐이다</w:t>
      </w:r>
    </w:p>
    <w:p>
      <w:pPr>
        <w:spacing w:before="0" w:after="160" w:lineRule="auto" w:line="360"/>
        <w:jc w:val="both"/>
      </w:pPr>
      <w:r>
        <w:rPr>
          <w:rFonts w:ascii="맑은 고딕" w:hAnsi="맑은 고딕" w:eastAsia="맑은 고딕"/>
          <w:b w:val="0"/>
          <w:color w:val="1A1A1A"/>
          <w:sz w:val="21"/>
        </w:rPr>
        <w:t>인공지능 데이터센터가 돌아가려면 전력, 부지와 건물, 냉각, 메모리, 웨이퍼 생산, 첨단 패키징, 조립, 반도체 설계와 시스템 소프트웨어, 데이터센터 운영, 모델 학습, 응용 서비스가 차례로 필요하다. 엔비디아는 이 가운데 딱 한 칸 — 반도체 설계에 네트워킹과 시스템, 소프트웨어를 묶어 랙 단위로 설계하는 칸 — 에만 있다. 웨이퍼는 대만 TSMC와 삼성전자에 맡기고, 고대역폭 메모리는 SK하이닉스, 마이크론, 삼성전자에서 사 오고, 조립과 검사는 홍하이, 위스트론, 파브리넷이 한다. 회사 스스로 연차보고서에 그렇게 적었다.</w:t>
      </w:r>
    </w:p>
    <w:p>
      <w:pPr>
        <w:spacing w:before="0" w:after="200" w:lineRule="auto" w:line="360"/>
        <w:jc w:val="both"/>
      </w:pPr>
      <w:r>
        <w:rPr>
          <w:rFonts w:ascii="맑은 고딕" w:hAnsi="맑은 고딕" w:eastAsia="맑은 고딕"/>
          <w:b w:val="0"/>
          <w:color w:val="1A1A1A"/>
          <w:sz w:val="21"/>
        </w:rPr>
        <w:t>이 구조에서 2026년에 벌어진 일이 이 보고서의 핵심이다. 엔비디아는 여전히 한 칸에서만 물건을 만들지만, 나머지 여섯 칸에 소유권 없이 위험만 들어갔다. 전력과 부지에는 보증으로, 모델 회사와 클라우드 회사에는 지분으로, 데이터센터 임대차에는 재배정 의무로 들어갔다. 한 칸에서 벌고 일곱 칸의 위험을 진다.</w:t>
      </w:r>
    </w:p>
    <w:p>
      <w:pPr>
        <w:spacing w:before="260" w:after="80" w:lineRule="auto" w:line="288"/>
        <w:outlineLvl w:val="1"/>
        <w:keepNext/>
      </w:pPr>
      <w:r>
        <w:rPr>
          <w:rFonts w:ascii="맑은 고딕" w:hAnsi="맑은 고딕" w:eastAsia="맑은 고딕"/>
          <w:b/>
          <w:color w:val="1B365D"/>
          <w:sz w:val="23"/>
        </w:rPr>
        <w:t>매출은 어디서 나오나</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317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구분</w:t>
            </w:r>
          </w:p>
        </w:tc>
        <w:tc>
          <w:tcPr>
            <w:tcW w:type="dxa" w:w="153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2분기</w:t>
            </w:r>
          </w:p>
        </w:tc>
        <w:tc>
          <w:tcPr>
            <w:tcW w:type="dxa" w:w="1020"/>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비중</w:t>
            </w:r>
          </w:p>
        </w:tc>
        <w:tc>
          <w:tcPr>
            <w:tcW w:type="dxa" w:w="1757"/>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분기 증가분 기여</w:t>
            </w:r>
          </w:p>
        </w:tc>
        <w:tc>
          <w:tcPr>
            <w:tcW w:type="dxa" w:w="181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전년 대비</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데이터센터 — 하이퍼스케일</w:t>
            </w:r>
          </w:p>
        </w:tc>
        <w:tc>
          <w:tcPr>
            <w:tcW w:type="dxa" w:w="153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487억달러</w:t>
            </w:r>
          </w:p>
        </w:tc>
        <w:tc>
          <w:tcPr>
            <w:tcW w:type="dxa" w:w="1020"/>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50.6%</w:t>
            </w:r>
          </w:p>
        </w:tc>
        <w:tc>
          <w:tcPr>
            <w:tcW w:type="dxa" w:w="175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38.8%</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+102%</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데이터센터 — 인공지능 클라우드·기업·정부</w:t>
            </w:r>
          </w:p>
        </w:tc>
        <w:tc>
          <w:tcPr>
            <w:tcW w:type="dxa" w:w="153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403억달러</w:t>
            </w:r>
          </w:p>
        </w:tc>
        <w:tc>
          <w:tcPr>
            <w:tcW w:type="dxa" w:w="1020"/>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41.9%</w:t>
            </w:r>
          </w:p>
        </w:tc>
        <w:tc>
          <w:tcPr>
            <w:tcW w:type="dxa" w:w="175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55.6%</w:t>
            </w:r>
          </w:p>
        </w:tc>
        <w:tc>
          <w:tcPr>
            <w:tcW w:type="dxa" w:w="181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+138%</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엣지 컴퓨팅(게이밍·워크스테이션)</w:t>
            </w:r>
          </w:p>
        </w:tc>
        <w:tc>
          <w:tcPr>
            <w:tcW w:type="dxa" w:w="153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72억달러</w:t>
            </w:r>
          </w:p>
        </w:tc>
        <w:tc>
          <w:tcPr>
            <w:tcW w:type="dxa" w:w="1020"/>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7.5%</w:t>
            </w:r>
          </w:p>
        </w:tc>
        <w:tc>
          <w:tcPr>
            <w:tcW w:type="dxa" w:w="175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5.7%</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+27%</w:t>
            </w:r>
          </w:p>
        </w:tc>
      </w:tr>
      <w:tr>
        <w:tc>
          <w:tcPr>
            <w:tcW w:type="dxa" w:w="3175"/>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합계</w:t>
            </w:r>
          </w:p>
        </w:tc>
        <w:tc>
          <w:tcPr>
            <w:tcW w:type="dxa" w:w="153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962억달러</w:t>
            </w:r>
          </w:p>
        </w:tc>
        <w:tc>
          <w:tcPr>
            <w:tcW w:type="dxa" w:w="1020"/>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100%</w:t>
            </w:r>
          </w:p>
        </w:tc>
        <w:tc>
          <w:tcPr>
            <w:tcW w:type="dxa" w:w="1757"/>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100%</w:t>
            </w:r>
          </w:p>
        </w:tc>
        <w:tc>
          <w:tcPr>
            <w:tcW w:type="dxa" w:w="181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+106%</w:t>
            </w:r>
          </w:p>
        </w:tc>
      </w:tr>
    </w:tbl>
    <w:p>
      <w:pPr>
        <w:spacing w:before="60" w:after="200" w:lineRule="auto" w:line="312"/>
      </w:pPr>
      <w:r>
        <w:rPr>
          <w:rFonts w:ascii="맑은 고딕" w:hAnsi="맑은 고딕" w:eastAsia="맑은 고딕"/>
          <w:b w:val="0"/>
          <w:color w:val="666B73"/>
          <w:sz w:val="17"/>
        </w:rPr>
        <w:t>자료: 엔비디아 미국 증권거래위원회 제출자료(2026년 8월 17일 수시보고, 8월 26일 실적 수시보고 및 분기보고서), 자체 계산</w:t>
      </w:r>
    </w:p>
    <w:p>
      <w:pPr>
        <w:spacing w:before="120" w:after="200" w:lineRule="auto" w:line="360"/>
        <w:jc w:val="both"/>
      </w:pPr>
      <w:r>
        <w:rPr>
          <w:rFonts w:ascii="맑은 고딕" w:hAnsi="맑은 고딕" w:eastAsia="맑은 고딕"/>
          <w:b w:val="0"/>
          <w:color w:val="1A1A1A"/>
          <w:sz w:val="21"/>
        </w:rPr>
        <w:t>가장 중요한 줄은 두 번째다. 분기 성장분의 절반 이상(55.6%)이 하이퍼스케일이 아니라 '인공지능 클라우드·기업·정부' 칸에서 나왔고, 그 증가율(+138%)이 하이퍼스케일(+102%)보다 빠르다. 시장이 이 회사를 '마이크로소프트와 구글의 설비투자에 연동된 종목'으로 이해한다면, 그 이해는 이번 분기 실적의 절반만 설명한다.</w:t>
      </w:r>
    </w:p>
    <w:p>
      <w:pPr>
        <w:spacing w:before="260" w:after="80" w:lineRule="auto" w:line="288"/>
        <w:outlineLvl w:val="1"/>
        <w:keepNext/>
      </w:pPr>
      <w:r>
        <w:rPr>
          <w:rFonts w:ascii="맑은 고딕" w:hAnsi="맑은 고딕" w:eastAsia="맑은 고딕"/>
          <w:b/>
          <w:color w:val="1B365D"/>
          <w:sz w:val="23"/>
        </w:rPr>
        <w:t>그 두 번째 칸의 고객은 누구이고, 돈을 낼 수 있는가</w:t>
      </w:r>
    </w:p>
    <w:p>
      <w:pPr>
        <w:spacing w:before="0" w:after="160" w:lineRule="auto" w:line="360"/>
        <w:jc w:val="both"/>
      </w:pPr>
      <w:r>
        <w:rPr>
          <w:rFonts w:ascii="맑은 고딕" w:hAnsi="맑은 고딕" w:eastAsia="맑은 고딕"/>
          <w:b w:val="0"/>
          <w:color w:val="1A1A1A"/>
          <w:sz w:val="21"/>
        </w:rPr>
        <w:t>엔비디아는 실적 발표에서 새 제품이 가동 중인 곳을 이름으로 밝혔다. 코어위브, 구글 클라우드, 마이크로소프트 애저, 오라클 클라우드, 그리고 네비우스다. 이 가운데 코어위브와 네비우스는 상장회사이고 분기보고서를 낸다. 즉 이 층의 지급능력은 추정이 아니라 확인이 가능하다.</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항목</w:t>
            </w:r>
          </w:p>
        </w:tc>
        <w:tc>
          <w:tcPr>
            <w:tcW w:type="dxa" w:w="3515"/>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코어위브</w:t>
            </w:r>
          </w:p>
        </w:tc>
        <w:tc>
          <w:tcPr>
            <w:tcW w:type="dxa" w:w="3288"/>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네비우스</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최근 분기 매출</w:t>
            </w:r>
          </w:p>
        </w:tc>
        <w:tc>
          <w:tcPr>
            <w:tcW w:type="dxa" w:w="351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25.8억달러 (2026년 6월)</w:t>
            </w:r>
          </w:p>
        </w:tc>
        <w:tc>
          <w:tcPr>
            <w:tcW w:type="dxa" w:w="328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4.0억달러 (2026년 3월)</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5개 분기 매출 흐름</w:t>
            </w:r>
          </w:p>
        </w:tc>
        <w:tc>
          <w:tcPr>
            <w:tcW w:type="dxa" w:w="351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9.8 → 12.1 → 13.6 → 20.8 → 25.8억달러</w:t>
            </w:r>
          </w:p>
        </w:tc>
        <w:tc>
          <w:tcPr>
            <w:tcW w:type="dxa" w:w="328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0.5 → 1.0 → 1.5 → 2.3 → 4.0억달러</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시가총액</w:t>
            </w:r>
          </w:p>
        </w:tc>
        <w:tc>
          <w:tcPr>
            <w:tcW w:type="dxa" w:w="351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446억달러</w:t>
            </w:r>
          </w:p>
        </w:tc>
        <w:tc>
          <w:tcPr>
            <w:tcW w:type="dxa" w:w="328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555억달러</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총차입금</w:t>
            </w:r>
          </w:p>
        </w:tc>
        <w:tc>
          <w:tcPr>
            <w:tcW w:type="dxa" w:w="351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516억달러 (시가총액 초과)</w:t>
            </w:r>
          </w:p>
        </w:tc>
        <w:tc>
          <w:tcPr>
            <w:tcW w:type="dxa" w:w="328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102억달러</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차입금 대 상각전영업이익</w:t>
            </w:r>
          </w:p>
        </w:tc>
        <w:tc>
          <w:tcPr>
            <w:tcW w:type="dxa" w:w="351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13.6배</w:t>
            </w:r>
          </w:p>
        </w:tc>
        <w:tc>
          <w:tcPr>
            <w:tcW w:type="dxa" w:w="328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34배</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선행 주가수익비율</w:t>
            </w:r>
          </w:p>
        </w:tc>
        <w:tc>
          <w:tcPr>
            <w:tcW w:type="dxa" w:w="351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-41.5배 (적자)</w:t>
            </w:r>
          </w:p>
        </w:tc>
        <w:tc>
          <w:tcPr>
            <w:tcW w:type="dxa" w:w="328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-68.1배 (적자)</w:t>
            </w:r>
          </w:p>
        </w:tc>
      </w:tr>
      <w:tr>
        <w:tc>
          <w:tcPr>
            <w:tcW w:type="dxa" w:w="2494"/>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다음 실적 발표</w:t>
            </w:r>
          </w:p>
        </w:tc>
        <w:tc>
          <w:tcPr>
            <w:tcW w:type="dxa" w:w="3515"/>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2026년 11월 12일</w:t>
            </w:r>
          </w:p>
        </w:tc>
        <w:tc>
          <w:tcPr>
            <w:tcW w:type="dxa" w:w="3288"/>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2026년 11월 10일</w:t>
            </w:r>
          </w:p>
        </w:tc>
      </w:tr>
    </w:tbl>
    <w:p>
      <w:pPr>
        <w:spacing w:before="60" w:after="200" w:lineRule="auto" w:line="312"/>
      </w:pPr>
      <w:r>
        <w:rPr>
          <w:rFonts w:ascii="맑은 고딕" w:hAnsi="맑은 고딕" w:eastAsia="맑은 고딕"/>
          <w:b w:val="0"/>
          <w:color w:val="666B73"/>
          <w:sz w:val="17"/>
        </w:rPr>
        <w:t>자료: 각 사 미국 증권거래위원회 제출 분기보고서 및 야후 파이낸스, 2026년 9월 2일 기준</w:t>
      </w:r>
    </w:p>
    <w:p>
      <w:pPr>
        <w:spacing w:before="160" w:after="200" w:lineRule="auto" w:line="360"/>
        <w:jc w:val="both"/>
      </w:pPr>
      <w:r>
        <w:rPr>
          <w:rFonts w:ascii="맑은 고딕" w:hAnsi="맑은 고딕" w:eastAsia="맑은 고딕"/>
          <w:b w:val="0"/>
          <w:color w:val="1A1A1A"/>
          <w:sz w:val="21"/>
        </w:rPr>
        <w:t>두 회사 모두 매출은 빠르게 늘고 있고, 두 회사 모두 적자이며, 차입금이 상각전영업이익의 13배와 34배다. 코어위브는 차입금이 시가총액보다 크다. 엔비디아 최고재무책임자가 쓴 '많은 회사가 자신의 대차대조표와 장기 신용 프로파일이 감당할 수 있는 것보다 빠르게 성장하고 있다'는 문장의 실체가 이 숫자들이다. 수사가 아니라 측정이다.</w:t>
      </w:r>
    </w:p>
    <w:p>
      <w:pPr>
        <w:spacing w:before="260" w:after="80" w:lineRule="auto" w:line="288"/>
        <w:outlineLvl w:val="1"/>
        <w:keepNext/>
      </w:pPr>
      <w:r>
        <w:rPr>
          <w:rFonts w:ascii="맑은 고딕" w:hAnsi="맑은 고딕" w:eastAsia="맑은 고딕"/>
          <w:b/>
          <w:color w:val="1B365D"/>
          <w:sz w:val="23"/>
        </w:rPr>
        <w:t>해자는 셀 수 있는가</w:t>
      </w:r>
    </w:p>
    <w:p>
      <w:pPr>
        <w:spacing w:before="0" w:after="160" w:lineRule="auto" w:line="360"/>
        <w:jc w:val="both"/>
      </w:pPr>
      <w:r>
        <w:rPr>
          <w:rFonts w:ascii="맑은 고딕" w:hAnsi="맑은 고딕" w:eastAsia="맑은 고딕"/>
          <w:b w:val="0"/>
          <w:color w:val="1A1A1A"/>
          <w:sz w:val="21"/>
        </w:rPr>
        <w:t>회사가 공시로 밝힌 것은 누적 연구개발비 767억달러뿐이다. 시장이 가장 크게 치는 해자인 쿠다(CUDA) 소프트웨어 생태계에 대해서는 '많고 계속 늘어나는 개발자'라는 형용사만 있을 뿐, 개발자 수도 설치된 그래픽처리장치 수도 공시하지 않는다. 그래서 이 보고서는 쿠다 해자를 측정된 근거로 인용하지 않는다. 셀 수 있는 것은 오히려 남의 개수다. 파운드리 두 곳, 메모리 세 곳, 조립 세 곳, 그리고 첨단 패키징은 코워스(CoWoS) 한 가지 기술에 의존한다.</w:t>
      </w:r>
    </w:p>
    <w:p>
      <w:pPr>
        <w:spacing w:before="0" w:after="200" w:lineRule="auto" w:line="360"/>
        <w:jc w:val="both"/>
      </w:pPr>
      <w:r>
        <w:rPr>
          <w:rFonts w:ascii="맑은 고딕" w:hAnsi="맑은 고딕" w:eastAsia="맑은 고딕"/>
          <w:b w:val="0"/>
          <w:color w:val="1A1A1A"/>
          <w:sz w:val="21"/>
        </w:rPr>
        <w:t>그리고 고객 집중이 빠르게 나빠지고 있다. 직접 고객 상위 두 곳의 매출 비중은 2025 회계연도 23%에서 2026 회계연도 36%로 1년 만에 13%포인트 올랐다. 회사는 '이 추세가 이어질 수 있다'고 덧붙였다. 문제는 그 고객들이 동시에 자체 반도체를 만든다는 점이다. 아마존은 트레이니엄, 구글은 텐서처리장치, 메타는 엠티아이에이를 갖고 있다.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대체 제품은 앞으로 올 것이 아니라 이미 와 있다</w:t>
            </w:r>
          </w:p>
          <w:p>
            <w:pPr>
              <w:spacing w:before="0" w:after="140" w:lineRule="auto" w:line="341"/>
              <w:ind w:left="198"/>
              <w:jc w:val="both"/>
            </w:pPr>
            <w:r>
              <w:rPr>
                <w:rFonts w:ascii="맑은 고딕" w:hAnsi="맑은 고딕" w:eastAsia="맑은 고딕"/>
                <w:b w:val="0"/>
                <w:color w:val="1A1A1A"/>
                <w:sz w:val="20"/>
              </w:rPr>
              <w:t>마이크로소프트는 2026년 1월 26일 자사 뉴스룸에 이렇게 적었다. '우리의 최신 인공지능 가속기 마이아 200이 이제 애저에서 가동 중이다. 추론 효율에 최적화되어 설계됐으며, 현재 시스템 대비 달러당 성능이 30% 우수하다.' 언론이 보도한 후속 제품 마이아 300은 마이크로소프트 뉴스룸에 아직 한 건도 없다. 즉 다음 세대는 아직 보도 수준이지만, 직전 세대는 7개월째 실제로 돌아가고 있다.</w:t>
            </w:r>
          </w:p>
        </w:tc>
      </w:tr>
    </w:tbl>
    <w:p>
      <w:pPr>
        <w:spacing w:before="0" w:after="200" w:lineRule="auto" w:line="348"/>
      </w:pPr>
    </w:p>
    <w:p>
      <w:pPr>
        <w:spacing w:before="0" w:after="200" w:lineRule="auto" w:line="360"/>
        <w:jc w:val="both"/>
      </w:pPr>
      <w:r>
        <w:rPr>
          <w:rFonts w:ascii="맑은 고딕" w:hAnsi="맑은 고딕" w:eastAsia="맑은 고딕"/>
          <w:b w:val="0"/>
          <w:color w:val="1A1A1A"/>
          <w:sz w:val="21"/>
        </w:rPr>
        <w:t>이 사실은 뒤에 나올 숫자 하나와 시점이 맞는다. 직전 분기에 고객 세 곳의 설비투자는 29.6% 늘었는데 엔비디아의 하이퍼스케일 매출은 13.1%만 늘었다. 그 분기는 마이아 200이 애저에 들어간 뒤다. 다만 이것은 시점이 맞는다는 것이지 원인이 밝혀졌다는 뜻은 아니다. 마이크로소프트는 마이아를 몇 개 배치했는지 공시하지 않으므로, 대체 비율은 계산할 수 없다.</w:t>
      </w:r>
    </w:p>
    <w:p>
      <w:r>
        <w:br w:type="page"/>
      </w:r>
    </w:p>
    <w:p>
      <w:pPr>
        <w:spacing w:before="400" w:after="40" w:lineRule="auto" w:line="288"/>
        <w:outlineLvl w:val="0"/>
        <w:keepNext/>
      </w:pPr>
      <w:r>
        <w:rPr>
          <w:rFonts w:ascii="맑은 고딕" w:hAnsi="맑은 고딕" w:eastAsia="맑은 고딕"/>
          <w:b/>
          <w:color w:val="1B365D"/>
          <w:sz w:val="28"/>
        </w:rPr>
        <w:t xml:space="preserve">3  </w:t>
      </w:r>
      <w:r>
        <w:rPr>
          <w:rFonts w:ascii="맑은 고딕" w:hAnsi="맑은 고딕" w:eastAsia="맑은 고딕"/>
          <w:b/>
          <w:color w:val="1B365D"/>
          <w:sz w:val="28"/>
        </w:rPr>
        <w:t>2026년 8월에 벌어진 일 — 이 보고서의 중심</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1,050억달러짜리 서명</w:t>
      </w:r>
    </w:p>
    <w:p>
      <w:pPr>
        <w:spacing w:before="0" w:after="160" w:lineRule="auto" w:line="360"/>
        <w:jc w:val="both"/>
      </w:pPr>
      <w:r>
        <w:rPr>
          <w:rFonts w:ascii="맑은 고딕" w:hAnsi="맑은 고딕" w:eastAsia="맑은 고딕"/>
          <w:b w:val="0"/>
          <w:color w:val="1A1A1A"/>
          <w:sz w:val="21"/>
        </w:rPr>
        <w:t>2026년 8월 17일, 엔비디아는 미국 증권거래위원회에 수시보고를 냈다. 항목 번호는 두 개다. 하나는 '중요 계약의 체결', 다른 하나는 '직접 금융채무 또는 부외약정의 발생'이다. 회사가 스스로 이 계약을 부외약정으로 분류했다는 뜻이다.</w:t>
      </w:r>
    </w:p>
    <w:tbl>
      <w:tblPr>
        <w:tblW w:type="auto" w:w="0"/>
        <w:jc w:val="center"/>
        <w:tblLook w:firstColumn="1" w:firstRow="1" w:lastColumn="0" w:lastRow="0" w:noHBand="0" w:noVBand="1" w:val="04A0"/>
        <w:tblLayout w:type="fixed"/>
      </w:tblPr>
      <w:tblGrid>
        <w:gridCol w:w="4649"/>
        <w:gridCol w:w="4649"/>
      </w:tblGrid>
      <w:tr>
        <w:trPr>
          <w:tblHeader w:val="true"/>
        </w:trPr>
        <w:tc>
          <w:tcPr>
            <w:tcW w:type="dxa" w:w="204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항목</w:t>
            </w:r>
          </w:p>
        </w:tc>
        <w:tc>
          <w:tcPr>
            <w:tcW w:type="dxa" w:w="7257"/>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내용</w:t>
            </w:r>
          </w:p>
        </w:tc>
      </w:tr>
      <w:tr>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상대방</w:t>
            </w:r>
          </w:p>
        </w:tc>
        <w:tc>
          <w:tcPr>
            <w:tcW w:type="dxa" w:w="7257"/>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에스비 에너지(SB Energy) — 오하이오주 파이크 카운티 포츠 데이터센터 캠퍼스</w:t>
            </w:r>
          </w:p>
        </w:tc>
      </w:tr>
      <w:tr>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임차인</w:t>
            </w:r>
          </w:p>
        </w:tc>
        <w:tc>
          <w:tcPr>
            <w:tcW w:type="dxa" w:w="7257"/>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오픈에이아이(OpenAI) 계열사, 임대차 기간 20년</w:t>
            </w:r>
          </w:p>
        </w:tc>
      </w:tr>
      <w:tr>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보증 대상</w:t>
            </w:r>
          </w:p>
        </w:tc>
        <w:tc>
          <w:tcPr>
            <w:tcW w:type="dxa" w:w="7257"/>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약 4.25기가와트 규모 전산 부하에 대한 잔존가치 보증</w:t>
            </w:r>
          </w:p>
        </w:tc>
      </w:tr>
      <w:tr>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지급의무 상한</w:t>
            </w:r>
          </w:p>
        </w:tc>
        <w:tc>
          <w:tcPr>
            <w:tcW w:type="dxa" w:w="7257"/>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누적 1,050억달러 (추가 3.8기가와트는 엔비디아 재량으로 신용보강 가능)</w:t>
            </w:r>
          </w:p>
        </w:tc>
      </w:tr>
      <w:tr>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발동 조건</w:t>
            </w:r>
          </w:p>
        </w:tc>
        <w:tc>
          <w:tcPr>
            <w:tcW w:type="dxa" w:w="7257"/>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오픈에이아이의 지급불능 또는 임대료 미지급</w:t>
            </w:r>
          </w:p>
        </w:tc>
      </w:tr>
      <w:tr>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효력 개시</w:t>
            </w:r>
          </w:p>
        </w:tc>
        <w:tc>
          <w:tcPr>
            <w:tcW w:type="dxa" w:w="7257"/>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데이터센터가 사용 가능 상태가 되는 시점부터 단계적, 첫 건은 2029 회계연도 예상</w:t>
            </w:r>
          </w:p>
        </w:tc>
      </w:tr>
      <w:tr>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종료 조건</w:t>
            </w:r>
          </w:p>
        </w:tc>
        <w:tc>
          <w:tcPr>
            <w:tcW w:type="dxa" w:w="7257"/>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임대 개시 20주년, 임차인의 임대차 해지, 또는 임차인이 일정 신용등급을 획득</w:t>
            </w:r>
          </w:p>
        </w:tc>
      </w:tr>
      <w:tr>
        <w:tc>
          <w:tcPr>
            <w:tcW w:type="dxa" w:w="204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회사 추정 대가</w:t>
            </w:r>
          </w:p>
        </w:tc>
        <w:tc>
          <w:tcPr>
            <w:tcW w:type="dxa" w:w="7257"/>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이 캠퍼스 1세대에 약 150만개 그래픽처리장치, 매출 1,500억~2,000억달러</w:t>
            </w:r>
          </w:p>
        </w:tc>
      </w:tr>
    </w:tbl>
    <w:p>
      <w:pPr>
        <w:spacing w:before="60" w:after="200" w:lineRule="auto" w:line="312"/>
      </w:pPr>
      <w:r>
        <w:rPr>
          <w:rFonts w:ascii="맑은 고딕" w:hAnsi="맑은 고딕" w:eastAsia="맑은 고딕"/>
          <w:b w:val="0"/>
          <w:color w:val="666B73"/>
          <w:sz w:val="17"/>
        </w:rPr>
        <w:t>자료: 엔비디아 미국 증권거래위원회 제출자료(2026년 8월 17일 수시보고, 8월 26일 실적 수시보고 및 분기보고서), 자체 계산</w:t>
      </w:r>
    </w:p>
    <w:p>
      <w:pPr>
        <w:spacing w:before="160" w:after="160" w:lineRule="auto" w:line="360"/>
        <w:jc w:val="both"/>
      </w:pPr>
      <w:r>
        <w:rPr>
          <w:rFonts w:ascii="맑은 고딕" w:hAnsi="맑은 고딕" w:eastAsia="맑은 고딕"/>
          <w:b w:val="0"/>
          <w:color w:val="1A1A1A"/>
          <w:sz w:val="21"/>
        </w:rPr>
        <w:t>분기보고서에 첨부된 계약서 원문(약 4만 4천자)을 직접 읽으면 두 문장이 결정적이다. 첫째, '임대인은 임대차를, 전력 계열사는 전력구매계약과 송전계약을, 보증인이 이 보증서에 서명하여 교부하는 경우에 한하여 체결하기로 합의하였다'. 엔비디아의 서명이 없으면 이 프로젝트는 존재하지 않는다는 뜻이다. 둘째, 보증 종료 사유 가운데 하나가 '임차인 또는 그 모회사가 일정 신용등급을 달성하는 것'이다. 지금은 그 등급이 없다는 뜻이다.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회사가 자기 문서에 적은 이유</w:t>
            </w:r>
          </w:p>
          <w:p>
            <w:pPr>
              <w:spacing w:before="0" w:after="140" w:lineRule="auto" w:line="341"/>
              <w:ind w:left="198"/>
              <w:jc w:val="both"/>
            </w:pPr>
            <w:r>
              <w:rPr>
                <w:rFonts w:ascii="맑은 고딕" w:hAnsi="맑은 고딕" w:eastAsia="맑은 고딕"/>
                <w:b w:val="0"/>
                <w:color w:val="1A1A1A"/>
                <w:sz w:val="20"/>
              </w:rPr>
              <w:t>'인공지능 클라우드와 모델 제작사들은 인공지능 인프라에 대한 비상한 수요를 보고 있으나, 그중 다수는 자신의 대차대조표와 장기 신용 프로파일이 감당할 수 있는 것보다 빠르게 성장하고 있다. 이에 대응하여 우리는 선별된 고객이 성장에 필요한 부지, 전력, 데이터센터 용량을 확보하도록 돕는 계약을 체결하였다.' (2026년 8월 26일 최고재무책임자 논평)</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숫자로 보면 얼마나 큰가</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4876"/>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항목</w:t>
            </w:r>
          </w:p>
        </w:tc>
        <w:tc>
          <w:tcPr>
            <w:tcW w:type="dxa" w:w="2268"/>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금액</w:t>
            </w:r>
          </w:p>
        </w:tc>
        <w:tc>
          <w:tcPr>
            <w:tcW w:type="dxa" w:w="215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시가총액 대비</w:t>
            </w:r>
          </w:p>
        </w:tc>
      </w:tr>
      <w:tr>
        <w:tc>
          <w:tcPr>
            <w:tcW w:type="dxa" w:w="487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보증 최대 총노출 (에스비 에너지 1,050억 + 기타 35억)</w:t>
            </w:r>
          </w:p>
        </w:tc>
        <w:tc>
          <w:tcPr>
            <w:tcW w:type="dxa" w:w="226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1,085억달러</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2.0%</w:t>
            </w:r>
          </w:p>
        </w:tc>
      </w:tr>
      <w:tr>
        <w:tc>
          <w:tcPr>
            <w:tcW w:type="dxa" w:w="4876"/>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미래 약정 합계 (공급·클라우드·임대·지분·설비투자)</w:t>
            </w:r>
          </w:p>
        </w:tc>
        <w:tc>
          <w:tcPr>
            <w:tcW w:type="dxa" w:w="226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3,660억달러</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6.8%</w:t>
            </w:r>
          </w:p>
        </w:tc>
      </w:tr>
      <w:tr>
        <w:tc>
          <w:tcPr>
            <w:tcW w:type="dxa" w:w="487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추가 약정 (제3자 재배정 예정분 포함)</w:t>
            </w:r>
          </w:p>
        </w:tc>
        <w:tc>
          <w:tcPr>
            <w:tcW w:type="dxa" w:w="226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560억달러</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w:t>
            </w:r>
          </w:p>
        </w:tc>
      </w:tr>
      <w:tr>
        <w:tc>
          <w:tcPr>
            <w:tcW w:type="dxa" w:w="4876"/>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합계</w:t>
            </w:r>
          </w:p>
        </w:tc>
        <w:tc>
          <w:tcPr>
            <w:tcW w:type="dxa" w:w="2268"/>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5,305억달러</w:t>
            </w:r>
          </w:p>
        </w:tc>
        <w:tc>
          <w:tcPr>
            <w:tcW w:type="dxa" w:w="215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9.8%</w:t>
            </w:r>
          </w:p>
        </w:tc>
      </w:tr>
    </w:tbl>
    <w:p>
      <w:pPr>
        <w:spacing w:before="60" w:after="200" w:lineRule="auto" w:line="312"/>
      </w:pPr>
      <w:r>
        <w:rPr>
          <w:rFonts w:ascii="맑은 고딕" w:hAnsi="맑은 고딕" w:eastAsia="맑은 고딕"/>
          <w:b w:val="0"/>
          <w:color w:val="666B73"/>
          <w:sz w:val="17"/>
        </w:rPr>
        <w:t>자료: 엔비디아 미국 증권거래위원회 제출자료(2026년 8월 17일 수시보고, 8월 26일 실적 수시보고 및 분기보고서), 자체 계산. 시가총액은 2026년 9월 2일 종가 기준 5조 4,188억달러</w:t>
      </w:r>
    </w:p>
    <w:p>
      <w:pPr>
        <w:spacing w:before="160" w:after="200" w:lineRule="auto" w:line="360"/>
        <w:jc w:val="both"/>
      </w:pPr>
      <w:r>
        <w:rPr>
          <w:rFonts w:ascii="맑은 고딕" w:hAnsi="맑은 고딕" w:eastAsia="맑은 고딕"/>
          <w:b w:val="0"/>
          <w:color w:val="1A1A1A"/>
          <w:sz w:val="21"/>
        </w:rPr>
        <w:t>이 5,305억달러는 손익계산서에도, 대차대조표에도 들어 있지 않다. 그래서 주가수익비율에도, 주가순자산비율에도, 기업가치 배수에도 잡히지 않는다. 시장에서 흔히 쓰는 어떤 지표로도 이 항목은 보이지 않는다. 이것이 이 보고서가 찾아낸 가장 큰 차이다.</w:t>
      </w:r>
    </w:p>
    <w:p>
      <w:pPr>
        <w:spacing w:before="0" w:after="200" w:lineRule="auto" w:line="360"/>
        <w:jc w:val="both"/>
      </w:pPr>
      <w:r>
        <w:rPr>
          <w:rFonts w:ascii="맑은 고딕" w:hAnsi="맑은 고딕" w:eastAsia="맑은 고딕"/>
          <w:b w:val="0"/>
          <w:color w:val="1A1A1A"/>
          <w:sz w:val="21"/>
        </w:rPr>
        <w:t>다만 방향이 정해져 있지 않다는 점을 분명히 해둔다. 보증은 매출을 만드는 장치이기도 하다. 1,050억달러(최대치, 단계적 발효, 구상권 있음)로 1,500억~2,000억달러의 매출을 잠그는 거래라면 지렛대는 유리하다. 반대로 그 매출이 판매자가 신용을 대야만 발생한다면, 그것은 수요의 질이 다르다는 뜻이다. 어느 쪽인지는 임차인의 지급능력에 달려 있고, 그 정보는 계약서에서 삭제되어 있다.</w:t>
      </w:r>
    </w:p>
    <w:p>
      <w:pPr>
        <w:spacing w:before="260" w:after="80" w:lineRule="auto" w:line="288"/>
        <w:outlineLvl w:val="1"/>
        <w:keepNext/>
      </w:pPr>
      <w:r>
        <w:rPr>
          <w:rFonts w:ascii="맑은 고딕" w:hAnsi="맑은 고딕" w:eastAsia="맑은 고딕"/>
          <w:b/>
          <w:color w:val="1B365D"/>
          <w:sz w:val="23"/>
        </w:rPr>
        <w:t>그리고 이 구조는 고객사의 공시에서 양쪽으로 확인된다</w:t>
      </w:r>
    </w:p>
    <w:p>
      <w:pPr>
        <w:spacing w:before="0" w:after="160" w:lineRule="auto" w:line="360"/>
        <w:jc w:val="both"/>
      </w:pPr>
      <w:r>
        <w:rPr>
          <w:rFonts w:ascii="맑은 고딕" w:hAnsi="맑은 고딕" w:eastAsia="맑은 고딕"/>
          <w:b w:val="0"/>
          <w:color w:val="1A1A1A"/>
          <w:sz w:val="21"/>
        </w:rPr>
        <w:t>엔비디아의 공시만 읽으면 절반밖에 보이지 않는다. 고객사인 코어위브의 분기보고서를 열면 나머지 절반이 있다. 그 보고서는 이렇게 적었다. '2026년 1월, 우리는 엔비디아와 약 2,300만 주를 주당 87.20달러에 사모로 발행하는 증권매매계약을 체결했고, 총 20억달러를 조달했다.' 같은 보고서의 다른 곳에는 이렇게 적혀 있다. '현재 우리 인프라에 사용되는 모든 그래픽처리장치는 엔비디아 제품이다', '우리 고객들은 계약상 엔비디아 제품 사용을 명시하고 있다.'</w:t>
      </w:r>
    </w:p>
    <w:p>
      <w:pPr>
        <w:spacing w:before="0" w:after="160" w:lineRule="auto" w:line="360"/>
        <w:jc w:val="both"/>
      </w:pPr>
      <w:r>
        <w:rPr>
          <w:rFonts w:ascii="맑은 고딕" w:hAnsi="맑은 고딕" w:eastAsia="맑은 고딕"/>
          <w:b w:val="0"/>
          <w:color w:val="1A1A1A"/>
          <w:sz w:val="21"/>
        </w:rPr>
        <w:t>정리하면 고리가 닫힌다. 엔비디아가 코어위브 지분 20억달러를 사고, 코어위브는 계약상 엔비디아 제품만 사며, 그 구매가 엔비디아 매출이 되고, 엔비디아는 그 지분의 평가손익을 자기 손익계산서에 인식한다. 네 다리 모두 공시 원문에서 확인된다. 다만 이것이 매출 전체를 설명하지는 않는다는 점은 분명히 해둔다. 매출의 절반은 앞에서 본 대로 대형 고객사 세 곳의 감사받은 현금흐름표와 맞물린다.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그 지분은 지금 손실 중이다</w:t>
            </w:r>
          </w:p>
          <w:p>
            <w:pPr>
              <w:spacing w:before="0" w:after="140" w:lineRule="auto" w:line="341"/>
              <w:ind w:left="198"/>
              <w:jc w:val="both"/>
            </w:pPr>
            <w:r>
              <w:rPr>
                <w:rFonts w:ascii="맑은 고딕" w:hAnsi="맑은 고딕" w:eastAsia="맑은 고딕"/>
                <w:b w:val="0"/>
                <w:color w:val="1A1A1A"/>
                <w:sz w:val="20"/>
              </w:rPr>
              <w:t>2026년 1월 매입가 주당 87.20달러, 2,300만 주, 총 20억 600만달러. 2026년 9월 2일 코어위브 종가 80.93달러 기준 18억 6,100만달러. 평가손실 1억 4,400만달러, 마이너스 7.19%. 엔비디아는 지분 평가손익을 총액으로만 공시하므로, 개별 포지션의 손실은 상대방 공시를 열어야 보인다.</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같은 분기에 250억달러를 빌렸다</w:t>
      </w:r>
    </w:p>
    <w:p>
      <w:pPr>
        <w:spacing w:before="0" w:after="200" w:lineRule="auto" w:line="360"/>
        <w:jc w:val="both"/>
      </w:pPr>
      <w:r>
        <w:rPr>
          <w:rFonts w:ascii="맑은 고딕" w:hAnsi="맑은 고딕" w:eastAsia="맑은 고딕"/>
          <w:b w:val="0"/>
          <w:color w:val="1A1A1A"/>
          <w:sz w:val="21"/>
        </w:rPr>
        <w:t>회사는 만기 2028년부터 2056년까지 일곱 갈래로 나누어 총 250억달러의 선순위 무담보 채권을 발행했다. 표면금리는 4.25%에서 5.625% 사이다. 같은 분기에 자사주 197억달러와 배당 60억달러, 합계 258억달러를 주주에게 돌려줬다. 잉여현금흐름 213억달러의 120.8%다. 빌린 금액과 돌려준 금액이 거의 같다. 다만 총차입금 334억달러는 자기자본 2,290억달러의 14.6%에 불과해 재무 압박에 몰린 조달로 보기는 어렵다.</w:t>
      </w:r>
    </w:p>
    <w:p>
      <w:r>
        <w:br w:type="page"/>
      </w:r>
    </w:p>
    <w:p>
      <w:pPr>
        <w:spacing w:before="400" w:after="40" w:lineRule="auto" w:line="288"/>
        <w:outlineLvl w:val="0"/>
        <w:keepNext/>
      </w:pPr>
      <w:r>
        <w:rPr>
          <w:rFonts w:ascii="맑은 고딕" w:hAnsi="맑은 고딕" w:eastAsia="맑은 고딕"/>
          <w:b/>
          <w:color w:val="1B365D"/>
          <w:sz w:val="28"/>
        </w:rPr>
        <w:t xml:space="preserve">4  </w:t>
      </w:r>
      <w:r>
        <w:rPr>
          <w:rFonts w:ascii="맑은 고딕" w:hAnsi="맑은 고딕" w:eastAsia="맑은 고딕"/>
          <w:b/>
          <w:color w:val="1B365D"/>
          <w:sz w:val="28"/>
        </w:rPr>
        <w:t>번 돈은 현금으로 들어오는가</w:t>
      </w:r>
    </w:p>
    <w:p>
      <w:pPr>
        <w:spacing w:before="0" w:after="200" w:lineRule="auto" w:line="240"/>
        <w:pBdr>
          <w:bottom w:val="single" w:sz="10" w:space="1" w:color="1B365D"/>
        </w:pBdr>
      </w:pP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3969"/>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항목</w:t>
            </w:r>
          </w:p>
        </w:tc>
        <w:tc>
          <w:tcPr>
            <w:tcW w:type="dxa" w:w="249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2분기</w:t>
            </w:r>
          </w:p>
        </w:tc>
        <w:tc>
          <w:tcPr>
            <w:tcW w:type="dxa" w:w="283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비고</w:t>
            </w:r>
          </w:p>
        </w:tc>
      </w:tr>
      <w:tr>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순이익(회계기준)</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596.9억달러</w:t>
            </w:r>
          </w:p>
        </w:tc>
        <w:tc>
          <w:tcPr>
            <w:tcW w:type="dxa" w:w="28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r>
          </w:p>
        </w:tc>
      </w:tr>
      <w:tr>
        <w:tc>
          <w:tcPr>
            <w:tcW w:type="dxa" w:w="39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영업활동 현금흐름</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240.8억달러</w:t>
            </w:r>
          </w:p>
        </w:tc>
        <w:tc>
          <w:tcPr>
            <w:tcW w:type="dxa" w:w="283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순이익의 40.3%</w:t>
            </w:r>
          </w:p>
        </w:tc>
      </w:tr>
      <w:tr>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차이</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356.1억달러</w:t>
            </w:r>
          </w:p>
        </w:tc>
        <w:tc>
          <w:tcPr>
            <w:tcW w:type="dxa" w:w="28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r>
          </w:p>
        </w:tc>
      </w:tr>
      <w:tr>
        <w:tc>
          <w:tcPr>
            <w:tcW w:type="dxa" w:w="39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 xml:space="preserve">  ├ 매출채권 증가</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223.5억달러</w:t>
            </w:r>
          </w:p>
        </w:tc>
        <w:tc>
          <w:tcPr>
            <w:tcW w:type="dxa" w:w="283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차이의 62.7%</w:t>
            </w:r>
          </w:p>
        </w:tc>
      </w:tr>
      <w:tr>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 xml:space="preserve">  ├ 지분증권 평가·처분이익(비현금)</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77.7억달러</w:t>
            </w:r>
          </w:p>
        </w:tc>
        <w:tc>
          <w:tcPr>
            <w:tcW w:type="dxa" w:w="28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차이의 21.8%</w:t>
            </w:r>
          </w:p>
        </w:tc>
      </w:tr>
      <w:tr>
        <w:tc>
          <w:tcPr>
            <w:tcW w:type="dxa" w:w="39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 xml:space="preserve">  ├ 재고 증가</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57.8억달러</w:t>
            </w:r>
          </w:p>
        </w:tc>
        <w:tc>
          <w:tcPr>
            <w:tcW w:type="dxa" w:w="283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차이의 16.2%</w:t>
            </w:r>
          </w:p>
        </w:tc>
      </w:tr>
      <w:tr>
        <w:tc>
          <w:tcPr>
            <w:tcW w:type="dxa" w:w="3969"/>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 xml:space="preserve">  └ 선급·기타자산 증가</w:t>
            </w:r>
          </w:p>
        </w:tc>
        <w:tc>
          <w:tcPr>
            <w:tcW w:type="dxa" w:w="2494"/>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55.0억달러</w:t>
            </w:r>
          </w:p>
        </w:tc>
        <w:tc>
          <w:tcPr>
            <w:tcW w:type="dxa" w:w="2835"/>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차이의 15.4%</w:t>
            </w:r>
          </w:p>
        </w:tc>
      </w:tr>
    </w:tbl>
    <w:p>
      <w:pPr>
        <w:spacing w:before="60" w:after="200" w:lineRule="auto" w:line="312"/>
      </w:pPr>
      <w:r>
        <w:rPr>
          <w:rFonts w:ascii="맑은 고딕" w:hAnsi="맑은 고딕" w:eastAsia="맑은 고딕"/>
          <w:b w:val="0"/>
          <w:color w:val="666B73"/>
          <w:sz w:val="17"/>
        </w:rPr>
        <w:t>자료: 엔비디아 미국 증권거래위원회 제출자료(2026년 8월 17일 수시보고, 8월 26일 실적 수시보고 및 분기보고서), 자체 계산</w:t>
      </w:r>
    </w:p>
    <w:p>
      <w:pPr>
        <w:spacing w:before="260" w:after="80" w:lineRule="auto" w:line="288"/>
        <w:outlineLvl w:val="1"/>
        <w:keepNext/>
      </w:pPr>
      <w:r>
        <w:rPr>
          <w:rFonts w:ascii="맑은 고딕" w:hAnsi="맑은 고딕" w:eastAsia="맑은 고딕"/>
          <w:b/>
          <w:color w:val="1B365D"/>
          <w:sz w:val="23"/>
        </w:rPr>
        <w:t>매출채권 — 회수 기간이 한 분기에 45일에서 60일로 늘었다</w:t>
      </w:r>
    </w:p>
    <w:p>
      <w:pPr>
        <w:spacing w:before="120" w:after="160" w:lineRule="auto" w:line="360"/>
        <w:jc w:val="both"/>
      </w:pPr>
      <w:r>
        <w:rPr>
          <w:rFonts w:ascii="맑은 고딕" w:hAnsi="맑은 고딕" w:eastAsia="맑은 고딕"/>
          <w:b w:val="0"/>
          <w:color w:val="1A1A1A"/>
          <w:sz w:val="21"/>
        </w:rPr>
        <w:t>매출채권은 631억달러로 한 분기 매출의 65.5%에 해당한다. 회사는 그 이유를 직접 밝혔다. '투자적격 등급 고객들과 맺은 다분기 대형 계약의 결제조건 연장 때문'이라는 것이다. 이 설명은 검증 가능한 주장이다. 그런데 같은 회사가 엿새 전에 아직 신용등급이 없는 임차인의 임대료를 보증했고, 계약서의 신용등급 기준 칸은 '중요하지 않은 정보'로 분류되어 삭제됐다. 두 문장이 같은 고객군을 말하는지 다른 고객군을 말하는지 회사는 밝히지 않았다. 이 보고서는 그 주장을 확인하지도, 반박하지도 못했다.</w:t>
      </w:r>
    </w:p>
    <w:p>
      <w:pPr>
        <w:spacing w:before="260" w:after="80" w:lineRule="auto" w:line="288"/>
        <w:outlineLvl w:val="1"/>
        <w:keepNext/>
      </w:pPr>
      <w:r>
        <w:rPr>
          <w:rFonts w:ascii="맑은 고딕" w:hAnsi="맑은 고딕" w:eastAsia="맑은 고딕"/>
          <w:b/>
          <w:color w:val="1B365D"/>
          <w:sz w:val="23"/>
        </w:rPr>
        <w:t>순이익의 5분의 1은 영업에서 나온 것이 아니다</w:t>
      </w:r>
    </w:p>
    <w:p>
      <w:pPr>
        <w:spacing w:before="0" w:after="200" w:lineRule="auto" w:line="360"/>
        <w:jc w:val="both"/>
      </w:pPr>
      <w:r>
        <w:rPr>
          <w:rFonts w:ascii="맑은 고딕" w:hAnsi="맑은 고딕" w:eastAsia="맑은 고딕"/>
          <w:b w:val="0"/>
          <w:color w:val="1A1A1A"/>
          <w:sz w:val="21"/>
        </w:rPr>
        <w:t>상반기 회계기준 순이익 1,180억달러 가운데 237억달러(20.1%)가 보유 지분증권의 평가·처분이익이다. 이 회사가 인공지능 모델 회사와 인프라 금융회사에 넣은 지분의 시가평가다. 회사가 함께 공시하는 조정 기준 주당순이익 2.22달러는 이 항목을 이미 빼놓은 숫자이며, 이 보고서는 그것을 경상 이익의 기준선으로 삼는다. 널리 인용되는 주가수익비율 27.5배는 이 항목이 섞인 회계기준 이익으로 계산된 값이라는 점을 밝혀 둔다.</w:t>
      </w:r>
    </w:p>
    <w:p>
      <w:pPr>
        <w:spacing w:before="0" w:after="200" w:lineRule="auto" w:line="360"/>
        <w:jc w:val="both"/>
      </w:pPr>
      <w:r>
        <w:rPr>
          <w:rFonts w:ascii="맑은 고딕" w:hAnsi="맑은 고딕" w:eastAsia="맑은 고딕"/>
          <w:b w:val="0"/>
          <w:color w:val="1A1A1A"/>
          <w:sz w:val="21"/>
        </w:rPr>
        <w:t>여기에 구조적인 문제가 하나 더 있다. 이 평가이익은 인공지능 자산 가격에 연동된다. 인공지능 밸류에이션이 내리면 이 항목과 본업 매출이 같은 방향으로 내린다. 분산이 아니라 같은 위험의 중복이다.</w:t>
      </w:r>
    </w:p>
    <w:p>
      <w:pPr>
        <w:spacing w:before="260" w:after="80" w:lineRule="auto" w:line="288"/>
        <w:outlineLvl w:val="1"/>
        <w:keepNext/>
      </w:pPr>
      <w:r>
        <w:rPr>
          <w:rFonts w:ascii="맑은 고딕" w:hAnsi="맑은 고딕" w:eastAsia="맑은 고딕"/>
          <w:b/>
          <w:color w:val="1B365D"/>
          <w:sz w:val="23"/>
        </w:rPr>
        <w:t>원가 쪽에도 같은 구조가 있다</w:t>
      </w:r>
    </w:p>
    <w:p>
      <w:pPr>
        <w:spacing w:before="0" w:after="200" w:lineRule="auto" w:line="360"/>
        <w:jc w:val="both"/>
      </w:pPr>
      <w:r>
        <w:rPr>
          <w:rFonts w:ascii="맑은 고딕" w:hAnsi="맑은 고딕" w:eastAsia="맑은 고딕"/>
          <w:b w:val="0"/>
          <w:color w:val="1A1A1A"/>
          <w:sz w:val="21"/>
        </w:rPr>
        <w:t>공급 및 생산능력 약정이 한 분기 만에 1,190억달러에서 2,790억달러로 134.5% 늘었다. 회사는 '주로 메모리 조달'이라고 밝혔다. 주의할 것은 이 회사가 바로 그 구조에서 손실을 낸 전력이 있다는 점이다. 2026 회계연도에 재고 및 초과 구매약정 충당금으로 72억달러를 인식했고, 그중 45억달러는 중국향 H20 제품 관련이었다. 손실 방식은 이미 증명됐고, 약정 규모는 2.34배가 됐다.</w:t>
      </w:r>
    </w:p>
    <w:p>
      <w:r>
        <w:br w:type="page"/>
      </w:r>
    </w:p>
    <w:p>
      <w:pPr>
        <w:spacing w:before="400" w:after="40" w:lineRule="auto" w:line="288"/>
        <w:outlineLvl w:val="0"/>
        <w:keepNext/>
      </w:pPr>
      <w:r>
        <w:rPr>
          <w:rFonts w:ascii="맑은 고딕" w:hAnsi="맑은 고딕" w:eastAsia="맑은 고딕"/>
          <w:b/>
          <w:color w:val="1B365D"/>
          <w:sz w:val="28"/>
        </w:rPr>
        <w:t xml:space="preserve">5  </w:t>
      </w:r>
      <w:r>
        <w:rPr>
          <w:rFonts w:ascii="맑은 고딕" w:hAnsi="맑은 고딕" w:eastAsia="맑은 고딕"/>
          <w:b/>
          <w:color w:val="1B365D"/>
          <w:sz w:val="28"/>
        </w:rPr>
        <w:t>그래서 얼마가 적정한가</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먼저 값을 쪼갠다</w:t>
      </w:r>
    </w:p>
    <w:p>
      <w:pPr>
        <w:spacing w:before="0" w:after="160" w:lineRule="auto" w:line="360"/>
        <w:jc w:val="both"/>
      </w:pPr>
      <w:r>
        <w:rPr>
          <w:rFonts w:ascii="맑은 고딕" w:hAnsi="맑은 고딕" w:eastAsia="맑은 고딕"/>
          <w:b w:val="0"/>
          <w:color w:val="1A1A1A"/>
          <w:sz w:val="21"/>
        </w:rPr>
        <w:t>상장 자회사는 없다. 대신 대차대조표에 1,505억달러의 비영업 자산이 있다. 현금과 채권 566억달러, 지분증권 939억달러다. 앞에서 본 것처럼 이 지분증권이 순이익의 5분의 1을 만들고 있으므로, 떼어내지 않으면 배수의 분자와 분모가 동시에 오염된다.</w:t>
      </w:r>
    </w:p>
    <w:tbl>
      <w:tblPr>
        <w:tblW w:type="auto" w:w="0"/>
        <w:jc w:val="center"/>
        <w:tblLook w:firstColumn="1" w:firstRow="1" w:lastColumn="0" w:lastRow="0" w:noHBand="0" w:noVBand="1" w:val="04A0"/>
        <w:tblLayout w:type="fixed"/>
      </w:tblPr>
      <w:tblGrid>
        <w:gridCol w:w="4649"/>
        <w:gridCol w:w="4649"/>
      </w:tblGrid>
      <w:tr>
        <w:trPr>
          <w:tblHeader w:val="true"/>
        </w:trPr>
        <w:tc>
          <w:tcPr>
            <w:tcW w:type="dxa" w:w="5896"/>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구분</w:t>
            </w:r>
          </w:p>
        </w:tc>
        <w:tc>
          <w:tcPr>
            <w:tcW w:type="dxa" w:w="3402"/>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금액</w:t>
            </w:r>
          </w:p>
        </w:tc>
      </w:tr>
      <w:tr>
        <w:tc>
          <w:tcPr>
            <w:tcW w:type="dxa" w:w="589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시가총액</w:t>
            </w:r>
          </w:p>
        </w:tc>
        <w:tc>
          <w:tcPr>
            <w:tcW w:type="dxa" w:w="3402"/>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5조 4,188억달러</w:t>
            </w:r>
          </w:p>
        </w:tc>
      </w:tr>
      <w:tr>
        <w:tc>
          <w:tcPr>
            <w:tcW w:type="dxa" w:w="5896"/>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차감: 현금·시장성 채권</w:t>
            </w:r>
          </w:p>
        </w:tc>
        <w:tc>
          <w:tcPr>
            <w:tcW w:type="dxa" w:w="3402"/>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566억달러</w:t>
            </w:r>
          </w:p>
        </w:tc>
      </w:tr>
      <w:tr>
        <w:tc>
          <w:tcPr>
            <w:tcW w:type="dxa" w:w="589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차감: 시장성·비시장성 지분증권</w:t>
            </w:r>
          </w:p>
        </w:tc>
        <w:tc>
          <w:tcPr>
            <w:tcW w:type="dxa" w:w="3402"/>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939억달러</w:t>
            </w:r>
          </w:p>
        </w:tc>
      </w:tr>
      <w:tr>
        <w:tc>
          <w:tcPr>
            <w:tcW w:type="dxa" w:w="5896"/>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가산: 총차입금</w:t>
            </w:r>
          </w:p>
        </w:tc>
        <w:tc>
          <w:tcPr>
            <w:tcW w:type="dxa" w:w="3402"/>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334억달러</w:t>
            </w:r>
          </w:p>
        </w:tc>
      </w:tr>
      <w:tr>
        <w:tc>
          <w:tcPr>
            <w:tcW w:type="dxa" w:w="589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본체 기업가치</w:t>
            </w:r>
          </w:p>
        </w:tc>
        <w:tc>
          <w:tcPr>
            <w:tcW w:type="dxa" w:w="3402"/>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5조 3,017억달러</w:t>
            </w:r>
          </w:p>
        </w:tc>
      </w:tr>
      <w:tr>
        <w:tc>
          <w:tcPr>
            <w:tcW w:type="dxa" w:w="5896"/>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비영업 순자산 (주당)</w:t>
            </w:r>
          </w:p>
        </w:tc>
        <w:tc>
          <w:tcPr>
            <w:tcW w:type="dxa" w:w="3402"/>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4.82달러</w:t>
            </w:r>
          </w:p>
        </w:tc>
      </w:tr>
    </w:tbl>
    <w:p>
      <w:pPr>
        <w:spacing w:before="60" w:after="200" w:lineRule="auto" w:line="312"/>
      </w:pPr>
      <w:r>
        <w:rPr>
          <w:rFonts w:ascii="맑은 고딕" w:hAnsi="맑은 고딕" w:eastAsia="맑은 고딕"/>
          <w:b w:val="0"/>
          <w:color w:val="666B73"/>
          <w:sz w:val="17"/>
        </w:rPr>
        <w:t>자료: 엔비디아 미국 증권거래위원회 제출자료(2026년 8월 17일 수시보고, 8월 26일 실적 수시보고 및 분기보고서), 자체 계산</w:t>
      </w:r>
    </w:p>
    <w:p>
      <w:pPr>
        <w:spacing w:before="260" w:after="80" w:lineRule="auto" w:line="288"/>
        <w:outlineLvl w:val="1"/>
        <w:keepNext/>
      </w:pPr>
      <w:r>
        <w:rPr>
          <w:rFonts w:ascii="맑은 고딕" w:hAnsi="맑은 고딕" w:eastAsia="맑은 고딕"/>
          <w:b/>
          <w:color w:val="1B365D"/>
          <w:sz w:val="23"/>
        </w:rPr>
        <w:t>지금 주가가 요구하는 것</w:t>
      </w:r>
    </w:p>
    <w:p>
      <w:pPr>
        <w:spacing w:before="120" w:after="160" w:lineRule="auto" w:line="360"/>
        <w:jc w:val="both"/>
      </w:pPr>
      <w:r>
        <w:rPr>
          <w:rFonts w:ascii="맑은 고딕" w:hAnsi="맑은 고딕" w:eastAsia="맑은 고딕"/>
          <w:b w:val="0"/>
          <w:color w:val="1A1A1A"/>
          <w:sz w:val="21"/>
        </w:rPr>
        <w:t>본체 기업가치를 지금 벌고 있는 이익(2분기 조정 순이익을 네 배 한 2,158억달러)으로 나누면 24.6배다. 회사가 제시한 3분기 가이던스대로 벌면 22.4배, 증권가가 보는 다음 회계연도 이익으로는 14.2배다. 기업가치를 상각전영업이익으로 나누면 20.4배다.</w:t>
      </w:r>
    </w:p>
    <w:p>
      <w:pPr>
        <w:spacing w:before="0" w:after="160" w:lineRule="auto" w:line="360"/>
        <w:jc w:val="both"/>
      </w:pPr>
      <w:r>
        <w:rPr>
          <w:rFonts w:ascii="맑은 고딕" w:hAnsi="맑은 고딕" w:eastAsia="맑은 고딕"/>
          <w:b w:val="0"/>
          <w:color w:val="1A1A1A"/>
          <w:sz w:val="21"/>
        </w:rPr>
        <w:t>다시 말해, 지금 주가는 '이 회사가 지금 버는 만큼을 앞으로도 벌고, 거기에 24.6배를 준다'는 값이다. 이익이 한 푼도 더 늘지 않아도 성립하는 값이다. 요구되는 미래는 성장이 아니라 유지다. 그 유지가 구체적으로 무엇을 뜻하는지는 산수로 나온다. 이 회사의 하이퍼스케일 부문 연환산 매출 1,948억달러는 주요 고객 네 곳의 연환산 설비투자 6,202억달러의 31.4%다. 지금 값은 그 31.4%가 유지된다는 전제 위에 있다.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그 전제를 흔드는 첫 증거는 이미 나와 있다</w:t>
            </w:r>
          </w:p>
          <w:p>
            <w:pPr>
              <w:spacing w:before="0" w:after="140" w:lineRule="auto" w:line="341"/>
              <w:ind w:left="198"/>
              <w:jc w:val="both"/>
            </w:pPr>
            <w:r>
              <w:rPr>
                <w:rFonts w:ascii="맑은 고딕" w:hAnsi="맑은 고딕" w:eastAsia="맑은 고딕"/>
                <w:b w:val="0"/>
                <w:color w:val="1A1A1A"/>
                <w:sz w:val="20"/>
              </w:rPr>
              <w:t>직전 분기를 보면 고객 세 곳의 설비투자는 29.6% 늘었는데 엔비디아의 하이퍼스케일 매출은 13.1% 늘었다. 16.5%포인트 벌어졌다. 한 분기짜리라 추세라고 부를 수는 없지만, 하필 지금 값이 요구하는 바로 그 비율이 직전 분기에 내려갔다.</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배수 사다리</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1361"/>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적용 배수</w:t>
            </w:r>
          </w:p>
        </w:tc>
        <w:tc>
          <w:tcPr>
            <w:tcW w:type="dxa" w:w="3969"/>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근거</w:t>
            </w:r>
          </w:p>
        </w:tc>
        <w:tc>
          <w:tcPr>
            <w:tcW w:type="dxa" w:w="1928"/>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주당 가치</w:t>
            </w:r>
          </w:p>
        </w:tc>
        <w:tc>
          <w:tcPr>
            <w:tcW w:type="dxa" w:w="204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현재가 대비</w:t>
            </w:r>
          </w:p>
        </w:tc>
      </w:tr>
      <w:tr>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15배</w:t>
            </w:r>
          </w:p>
        </w:tc>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메모리·성숙 반도체 수준</w:t>
            </w:r>
          </w:p>
        </w:tc>
        <w:tc>
          <w:tcPr>
            <w:tcW w:type="dxa" w:w="192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151.9달러</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-32.3%</w:t>
            </w:r>
          </w:p>
        </w:tc>
      </w:tr>
      <w:tr>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18배</w:t>
            </w:r>
          </w:p>
        </w:tc>
        <w:tc>
          <w:tcPr>
            <w:tcW w:type="dxa" w:w="39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증권가 최저 목표주가가 놓인 칸</w:t>
            </w:r>
          </w:p>
        </w:tc>
        <w:tc>
          <w:tcPr>
            <w:tcW w:type="dxa" w:w="192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180.2달러</w:t>
            </w:r>
          </w:p>
        </w:tc>
        <w:tc>
          <w:tcPr>
            <w:tcW w:type="dxa" w:w="204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-19.7%</w:t>
            </w:r>
          </w:p>
        </w:tc>
      </w:tr>
      <w:tr>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20배</w:t>
            </w:r>
          </w:p>
        </w:tc>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성숙 대형기술주</w:t>
            </w:r>
          </w:p>
        </w:tc>
        <w:tc>
          <w:tcPr>
            <w:tcW w:type="dxa" w:w="192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199.6달러</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-11.1%</w:t>
            </w:r>
          </w:p>
        </w:tc>
      </w:tr>
      <w:tr>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22.4배</w:t>
            </w:r>
          </w:p>
        </w:tc>
        <w:tc>
          <w:tcPr>
            <w:tcW w:type="dxa" w:w="39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현재 주가가 놓인 칸</w:t>
            </w:r>
          </w:p>
        </w:tc>
        <w:tc>
          <w:tcPr>
            <w:tcW w:type="dxa" w:w="192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224.4달러</w:t>
            </w:r>
          </w:p>
        </w:tc>
        <w:tc>
          <w:tcPr>
            <w:tcW w:type="dxa" w:w="204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w:t>
            </w:r>
          </w:p>
        </w:tc>
      </w:tr>
      <w:tr>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25배</w:t>
            </w:r>
          </w:p>
        </w:tc>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본 보고서 채택</w:t>
            </w:r>
          </w:p>
        </w:tc>
        <w:tc>
          <w:tcPr>
            <w:tcW w:type="dxa" w:w="192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248.3달러</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+10.6%</w:t>
            </w:r>
          </w:p>
        </w:tc>
      </w:tr>
      <w:tr>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29.6배</w:t>
            </w:r>
          </w:p>
        </w:tc>
        <w:tc>
          <w:tcPr>
            <w:tcW w:type="dxa" w:w="39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동종 3사 중앙값 그대로 적용</w:t>
            </w:r>
          </w:p>
        </w:tc>
        <w:tc>
          <w:tcPr>
            <w:tcW w:type="dxa" w:w="192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293.1달러</w:t>
            </w:r>
          </w:p>
        </w:tc>
        <w:tc>
          <w:tcPr>
            <w:tcW w:type="dxa" w:w="204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+30.6%</w:t>
            </w:r>
          </w:p>
        </w:tc>
      </w:tr>
      <w:tr>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31.8배</w:t>
            </w:r>
          </w:p>
        </w:tc>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증권가 목표주가 중앙값이 놓인 칸</w:t>
            </w:r>
          </w:p>
        </w:tc>
        <w:tc>
          <w:tcPr>
            <w:tcW w:type="dxa" w:w="192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314.5달러</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+40.1%</w:t>
            </w:r>
          </w:p>
        </w:tc>
      </w:tr>
      <w:tr>
        <w:tc>
          <w:tcPr>
            <w:tcW w:type="dxa" w:w="1361"/>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33.0배</w:t>
            </w:r>
          </w:p>
        </w:tc>
        <w:tc>
          <w:tcPr>
            <w:tcW w:type="dxa" w:w="3969"/>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증권가 목표주가 평균이 놓인 칸</w:t>
            </w:r>
          </w:p>
        </w:tc>
        <w:tc>
          <w:tcPr>
            <w:tcW w:type="dxa" w:w="1928"/>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326.2달러</w:t>
            </w:r>
          </w:p>
        </w:tc>
        <w:tc>
          <w:tcPr>
            <w:tcW w:type="dxa" w:w="204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+45.4%</w:t>
            </w:r>
          </w:p>
        </w:tc>
      </w:tr>
    </w:tbl>
    <w:p>
      <w:pPr>
        <w:spacing w:before="60" w:after="200" w:lineRule="auto" w:line="312"/>
      </w:pPr>
      <w:r>
        <w:rPr>
          <w:rFonts w:ascii="맑은 고딕" w:hAnsi="맑은 고딕" w:eastAsia="맑은 고딕"/>
          <w:b w:val="0"/>
          <w:color w:val="666B73"/>
          <w:sz w:val="17"/>
        </w:rPr>
        <w:t>기준 이익은 회사 3분기 가이던스의 연환산 주당 9.74달러에 비영업 순자산 4.82달러를 더한 값. 자료: 엔비디아 미국 증권거래위원회 제출자료(2026년 8월 17일 수시보고, 8월 26일 실적 수시보고 및 분기보고서), 자체 계산</w:t>
      </w:r>
    </w:p>
    <w:p>
      <w:pPr>
        <w:spacing w:before="260" w:after="80" w:lineRule="auto" w:line="288"/>
        <w:outlineLvl w:val="1"/>
        <w:keepNext/>
      </w:pPr>
      <w:r>
        <w:rPr>
          <w:rFonts w:ascii="맑은 고딕" w:hAnsi="맑은 고딕" w:eastAsia="맑은 고딕"/>
          <w:b/>
          <w:color w:val="1B365D"/>
          <w:sz w:val="23"/>
        </w:rPr>
        <w:t>동종업체 비교 — 이 회사가 가장 싸다</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204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종목</w:t>
            </w:r>
          </w:p>
        </w:tc>
        <w:tc>
          <w:tcPr>
            <w:tcW w:type="dxa" w:w="238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기업가치/상각전영업이익</w:t>
            </w:r>
          </w:p>
        </w:tc>
        <w:tc>
          <w:tcPr>
            <w:tcW w:type="dxa" w:w="147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선행 PER</w:t>
            </w:r>
          </w:p>
        </w:tc>
        <w:tc>
          <w:tcPr>
            <w:tcW w:type="dxa" w:w="170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매출성장</w:t>
            </w:r>
          </w:p>
        </w:tc>
        <w:tc>
          <w:tcPr>
            <w:tcW w:type="dxa" w:w="170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매출총이익률</w:t>
            </w:r>
          </w:p>
        </w:tc>
      </w:tr>
      <w:tr>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에이엠디</w:t>
            </w:r>
          </w:p>
        </w:tc>
        <w:tc>
          <w:tcPr>
            <w:tcW w:type="dxa" w:w="238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77.1배</w:t>
            </w:r>
          </w:p>
        </w:tc>
        <w:tc>
          <w:tcPr>
            <w:tcW w:type="dxa" w:w="147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29.6배</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+50.1%</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55.7%</w:t>
            </w:r>
          </w:p>
        </w:tc>
      </w:tr>
      <w:tr>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마벨</w:t>
            </w:r>
          </w:p>
        </w:tc>
        <w:tc>
          <w:tcPr>
            <w:tcW w:type="dxa" w:w="238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64.0배</w:t>
            </w:r>
          </w:p>
        </w:tc>
        <w:tc>
          <w:tcPr>
            <w:tcW w:type="dxa" w:w="147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30.8배</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+36.5%</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52.2%</w:t>
            </w:r>
          </w:p>
        </w:tc>
      </w:tr>
      <w:tr>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아리스타</w:t>
            </w:r>
          </w:p>
        </w:tc>
        <w:tc>
          <w:tcPr>
            <w:tcW w:type="dxa" w:w="238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47.7배</w:t>
            </w:r>
          </w:p>
        </w:tc>
        <w:tc>
          <w:tcPr>
            <w:tcW w:type="dxa" w:w="147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36.1배</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+37.7%</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63.0%</w:t>
            </w:r>
          </w:p>
        </w:tc>
      </w:tr>
      <w:tr>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브로드컴</w:t>
            </w:r>
          </w:p>
        </w:tc>
        <w:tc>
          <w:tcPr>
            <w:tcW w:type="dxa" w:w="238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42.6배</w:t>
            </w:r>
          </w:p>
        </w:tc>
        <w:tc>
          <w:tcPr>
            <w:tcW w:type="dxa" w:w="147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18.8배</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+47.9%</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76.3%</w:t>
            </w:r>
          </w:p>
        </w:tc>
      </w:tr>
      <w:tr>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엔비디아 (본체 기준)</w:t>
            </w:r>
          </w:p>
        </w:tc>
        <w:tc>
          <w:tcPr>
            <w:tcW w:type="dxa" w:w="238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20.4배</w:t>
            </w:r>
          </w:p>
        </w:tc>
        <w:tc>
          <w:tcPr>
            <w:tcW w:type="dxa" w:w="147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14.2배</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+105.9%</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74.7%</w:t>
            </w:r>
          </w:p>
        </w:tc>
      </w:tr>
      <w:tr>
        <w:tc>
          <w:tcPr>
            <w:tcW w:type="dxa" w:w="204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마이크론 (메모리)</w:t>
            </w:r>
          </w:p>
        </w:tc>
        <w:tc>
          <w:tcPr>
            <w:tcW w:type="dxa" w:w="238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15.5배</w:t>
            </w:r>
          </w:p>
        </w:tc>
        <w:tc>
          <w:tcPr>
            <w:tcW w:type="dxa" w:w="147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6.2배</w:t>
            </w:r>
          </w:p>
        </w:tc>
        <w:tc>
          <w:tcPr>
            <w:tcW w:type="dxa" w:w="170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+345.7%</w:t>
            </w:r>
          </w:p>
        </w:tc>
        <w:tc>
          <w:tcPr>
            <w:tcW w:type="dxa" w:w="170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72.6%</w:t>
            </w:r>
          </w:p>
        </w:tc>
      </w:tr>
    </w:tbl>
    <w:p>
      <w:pPr>
        <w:spacing w:before="60" w:after="200" w:lineRule="auto" w:line="312"/>
      </w:pPr>
      <w:r>
        <w:rPr>
          <w:rFonts w:ascii="맑은 고딕" w:hAnsi="맑은 고딕" w:eastAsia="맑은 고딕"/>
          <w:b w:val="0"/>
          <w:color w:val="666B73"/>
          <w:sz w:val="17"/>
        </w:rPr>
        <w:t xml:space="preserve">자료: 각 사 공시 및 야후 파이낸스, 2026년 9월 2일 기준. 대만 TSMC는 통화 단위가 섞여 배수가 파손되어 제외했다. </w:t>
      </w:r>
    </w:p>
    <w:p>
      <w:pPr>
        <w:spacing w:before="160" w:after="200" w:lineRule="auto" w:line="360"/>
        <w:jc w:val="both"/>
      </w:pPr>
      <w:r>
        <w:rPr>
          <w:rFonts w:ascii="맑은 고딕" w:hAnsi="맑은 고딕" w:eastAsia="맑은 고딕"/>
          <w:b w:val="0"/>
          <w:color w:val="1A1A1A"/>
          <w:sz w:val="21"/>
        </w:rPr>
        <w:t>엔비디아의 본체 기업가치 배수 20.4배는 메모리를 뺀 인공지능 반도체 동종업체 전부보다 낮다. 에이엠디의 26%, 마벨의 32%, 아리스타의 43%, 브로드컴의 48% 수준이다. 그러면서 매출 성장률은 가장 높고 매출총이익률은 두 번째로 높다.</w:t>
      </w:r>
    </w:p>
    <w:p>
      <w:pPr>
        <w:spacing w:before="0" w:after="200" w:lineRule="auto" w:line="360"/>
        <w:jc w:val="both"/>
      </w:pPr>
      <w:r>
        <w:rPr>
          <w:rFonts w:ascii="맑은 고딕" w:hAnsi="맑은 고딕" w:eastAsia="맑은 고딕"/>
          <w:b w:val="0"/>
          <w:color w:val="1A1A1A"/>
          <w:sz w:val="21"/>
        </w:rPr>
        <w:t>다만 이 사실을 '싸다'로 곧장 읽지 않는다. 높은 마진과 낮은 배수가 같이 있을 때, 그것은 시장이 그 마진의 지속성을 의심한다는 뜻일 수도 있다. 실제로 회사는 3분기 매출총이익률을 75.0%에서 74.0%로 1%포인트 낮춰 제시했다. 그래서 채택 배수를 동종 중앙값 29.6배가 아니라 25배로 깎았다.</w:t>
      </w:r>
    </w:p>
    <w:p>
      <w:pPr>
        <w:spacing w:before="260" w:after="80" w:lineRule="auto" w:line="288"/>
        <w:outlineLvl w:val="1"/>
        <w:keepNext/>
      </w:pPr>
      <w:r>
        <w:rPr>
          <w:rFonts w:ascii="맑은 고딕" w:hAnsi="맑은 고딕" w:eastAsia="맑은 고딕"/>
          <w:b/>
          <w:color w:val="1B365D"/>
          <w:sz w:val="23"/>
        </w:rPr>
        <w:t>목표주가 248달러 — 그리고 이 숫자는 보수적인 쪽에 서 있다</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4082"/>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교차검증 방법</w:t>
            </w:r>
          </w:p>
        </w:tc>
        <w:tc>
          <w:tcPr>
            <w:tcW w:type="dxa" w:w="249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산출값</w:t>
            </w:r>
          </w:p>
        </w:tc>
        <w:tc>
          <w:tcPr>
            <w:tcW w:type="dxa" w:w="272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본 보고서 목표 248달러 대비</w:t>
            </w:r>
          </w:p>
        </w:tc>
      </w:tr>
      <w:tr>
        <w:tc>
          <w:tcPr>
            <w:tcW w:type="dxa" w:w="408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시나리오 확률가중 현재가치</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286.1달러</w:t>
            </w:r>
          </w:p>
        </w:tc>
        <w:tc>
          <w:tcPr>
            <w:tcW w:type="dxa" w:w="272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15.4% 위</w:t>
            </w:r>
          </w:p>
        </w:tc>
      </w:tr>
      <w:tr>
        <w:tc>
          <w:tcPr>
            <w:tcW w:type="dxa" w:w="408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동종 3사 중앙 배수 적용</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293.1달러</w:t>
            </w:r>
          </w:p>
        </w:tc>
        <w:tc>
          <w:tcPr>
            <w:tcW w:type="dxa" w:w="272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18.2% 위</w:t>
            </w:r>
          </w:p>
        </w:tc>
      </w:tr>
      <w:tr>
        <w:tc>
          <w:tcPr>
            <w:tcW w:type="dxa" w:w="408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증권가 목표주가 중앙값</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315.0달러</w:t>
            </w:r>
          </w:p>
        </w:tc>
        <w:tc>
          <w:tcPr>
            <w:tcW w:type="dxa" w:w="272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27.0% 위</w:t>
            </w:r>
          </w:p>
        </w:tc>
      </w:tr>
      <w:tr>
        <w:tc>
          <w:tcPr>
            <w:tcW w:type="dxa" w:w="408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증권가 목표주가 평균</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326.0달러</w:t>
            </w:r>
          </w:p>
        </w:tc>
        <w:tc>
          <w:tcPr>
            <w:tcW w:type="dxa" w:w="272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31.5% 위</w:t>
            </w:r>
          </w:p>
        </w:tc>
      </w:tr>
      <w:tr>
        <w:tc>
          <w:tcPr>
            <w:tcW w:type="dxa" w:w="4082"/>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증권가 목표주가 최저</w:t>
            </w:r>
          </w:p>
        </w:tc>
        <w:tc>
          <w:tcPr>
            <w:tcW w:type="dxa" w:w="2494"/>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180.0달러</w:t>
            </w:r>
          </w:p>
        </w:tc>
        <w:tc>
          <w:tcPr>
            <w:tcW w:type="dxa" w:w="2721"/>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27.4% 아래</w:t>
            </w:r>
          </w:p>
        </w:tc>
      </w:tr>
    </w:tbl>
    <w:p>
      <w:pPr>
        <w:spacing w:before="60" w:after="200" w:lineRule="auto" w:line="312"/>
      </w:pPr>
      <w:r>
        <w:rPr>
          <w:rFonts w:ascii="맑은 고딕" w:hAnsi="맑은 고딕" w:eastAsia="맑은 고딕"/>
          <w:b w:val="0"/>
          <w:color w:val="666B73"/>
          <w:sz w:val="17"/>
        </w:rPr>
        <w:t>자료: 엔비디아 미국 증권거래위원회 제출자료(2026년 8월 17일 수시보고, 8월 26일 실적 수시보고 및 분기보고서), 자체 계산. 증권가 목표주가는 60개 기관 집계</w:t>
      </w:r>
    </w:p>
    <w:p>
      <w:pPr>
        <w:spacing w:before="160" w:after="200" w:lineRule="auto" w:line="360"/>
        <w:jc w:val="both"/>
      </w:pPr>
      <w:r>
        <w:rPr>
          <w:rFonts w:ascii="맑은 고딕" w:hAnsi="맑은 고딕" w:eastAsia="맑은 고딕"/>
          <w:b w:val="0"/>
          <w:color w:val="1A1A1A"/>
          <w:sz w:val="21"/>
        </w:rPr>
        <w:t>다섯 개 교차검증 중 넷이 목표주가보다 위에 있다. 성장을 빼고, 동종 배수를 깎고, 확인하지 못한 위험을 배수에 반영했는데도 10.5%의 상승 여력이 남는다. 결론이 작성자의 편향 방향에 대해 강건하다는 뜻이며, 이것이 이 목표주가의 진짜 근거다.</w:t>
      </w:r>
    </w:p>
    <w:p>
      <w:r>
        <w:br w:type="page"/>
      </w:r>
    </w:p>
    <w:p>
      <w:pPr>
        <w:spacing w:before="400" w:after="40" w:lineRule="auto" w:line="288"/>
        <w:outlineLvl w:val="0"/>
        <w:keepNext/>
      </w:pPr>
      <w:r>
        <w:rPr>
          <w:rFonts w:ascii="맑은 고딕" w:hAnsi="맑은 고딕" w:eastAsia="맑은 고딕"/>
          <w:b/>
          <w:color w:val="1B365D"/>
          <w:sz w:val="28"/>
        </w:rPr>
        <w:t xml:space="preserve">6  </w:t>
      </w:r>
      <w:r>
        <w:rPr>
          <w:rFonts w:ascii="맑은 고딕" w:hAnsi="맑은 고딕" w:eastAsia="맑은 고딕"/>
          <w:b/>
          <w:color w:val="1B365D"/>
          <w:sz w:val="28"/>
        </w:rPr>
        <w:t>반대편의 가장 강한 주장과, 그것을 어떻게 처리했는가</w:t>
      </w:r>
    </w:p>
    <w:p>
      <w:pPr>
        <w:spacing w:before="0" w:after="200" w:lineRule="auto" w:line="240"/>
        <w:pBdr>
          <w:bottom w:val="single" w:sz="10" w:space="1" w:color="1B365D"/>
        </w:pBdr>
      </w:pP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238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반대 주장</w:t>
            </w:r>
          </w:p>
        </w:tc>
        <w:tc>
          <w:tcPr>
            <w:tcW w:type="dxa" w:w="1077"/>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판정</w:t>
            </w:r>
          </w:p>
        </w:tc>
        <w:tc>
          <w:tcPr>
            <w:tcW w:type="dxa" w:w="5839"/>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근거</w:t>
            </w:r>
          </w:p>
        </w:tc>
      </w:tr>
      <w:tr>
        <w:tc>
          <w:tcPr>
            <w:tcW w:type="dxa" w:w="238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매출을 스스로 만들고 있다(공급자 금융)</w:t>
            </w:r>
          </w:p>
        </w:tc>
        <w:tc>
          <w:tcPr>
            <w:tcW w:type="dxa" w:w="1077"/>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절반 기각</w:t>
            </w:r>
          </w:p>
        </w:tc>
        <w:tc>
          <w:tcPr>
            <w:tcW w:type="dxa" w:w="583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매출의 50.6%는 고객 세 곳의 감사받은 현금흐름표와 3.9%포인트 안에서 맞물린다. 이들은 공급자 금융이 필요 없는 회사다. 다만 나머지 41.9%에는 그런 확인 수단이 없다.</w:t>
            </w:r>
          </w:p>
        </w:tc>
      </w:tr>
      <w:tr>
        <w:tc>
          <w:tcPr>
            <w:tcW w:type="dxa" w:w="238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현금 회수가 무너지고 있다</w:t>
            </w:r>
          </w:p>
        </w:tc>
        <w:tc>
          <w:tcPr>
            <w:tcW w:type="dxa" w:w="1077"/>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유지</w:t>
            </w:r>
          </w:p>
        </w:tc>
        <w:tc>
          <w:tcPr>
            <w:tcW w:type="dxa" w:w="583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회수기간 45일에서 60일. 회사 설명의 '투자적격 고객' 주장을 검증할 자료가 계약서에서 삭제되어 반박하지 못했다.</w:t>
            </w:r>
          </w:p>
        </w:tc>
      </w:tr>
      <w:tr>
        <w:tc>
          <w:tcPr>
            <w:tcW w:type="dxa" w:w="238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마진이 꼭지이고 원가 약정이 위험하다</w:t>
            </w:r>
          </w:p>
        </w:tc>
        <w:tc>
          <w:tcPr>
            <w:tcW w:type="dxa" w:w="1077"/>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절반 기각</w:t>
            </w:r>
          </w:p>
        </w:tc>
        <w:tc>
          <w:tcPr>
            <w:tcW w:type="dxa" w:w="583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75.0%는 신고점이 아니라 전년 72.4%에서 회복된 수준이고 직전 회계연도에도 75.0%였다. 다만 약정 2.34배 증가와 과거 45억달러 손실 전력은 사실이다.</w:t>
            </w:r>
          </w:p>
        </w:tc>
      </w:tr>
      <w:tr>
        <w:tc>
          <w:tcPr>
            <w:tcW w:type="dxa" w:w="238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성장 엔진이 검증 불가능한 쪽으로 바뀌었다</w:t>
            </w:r>
          </w:p>
        </w:tc>
        <w:tc>
          <w:tcPr>
            <w:tcW w:type="dxa" w:w="1077"/>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유지</w:t>
            </w:r>
          </w:p>
        </w:tc>
        <w:tc>
          <w:tcPr>
            <w:tcW w:type="dxa" w:w="583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설비투자 점유 격차 16.5%포인트는 확인된 수치다. 한 분기짜리라는 점만 덧붙인다. 다만 '검증 불가능'은 과했다. 코어위브와 네비우스는 상장사이고 분기보고서를 낸다.</w:t>
            </w:r>
          </w:p>
        </w:tc>
      </w:tr>
      <w:tr>
        <w:tc>
          <w:tcPr>
            <w:tcW w:type="dxa" w:w="238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해자가 남의 개수로만 세어진다</w:t>
            </w:r>
          </w:p>
        </w:tc>
        <w:tc>
          <w:tcPr>
            <w:tcW w:type="dxa" w:w="1077"/>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절반 기각</w:t>
            </w:r>
          </w:p>
        </w:tc>
        <w:tc>
          <w:tcPr>
            <w:tcW w:type="dxa" w:w="583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고객들은 자체 반도체를 만들면서도 설비투자를 97.7% 늘렸다. 대체 물량의 분모가 없어 '해자가 깎였다'도 증명되지 않았다. 다만 쿠다를 숫자로 방어할 수 없는 것은 사실이다.</w:t>
            </w:r>
          </w:p>
        </w:tc>
      </w:tr>
      <w:tr>
        <w:tc>
          <w:tcPr>
            <w:tcW w:type="dxa" w:w="238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자본배치가 방어적이다</w:t>
            </w:r>
          </w:p>
        </w:tc>
        <w:tc>
          <w:tcPr>
            <w:tcW w:type="dxa" w:w="1077"/>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기각</w:t>
            </w:r>
          </w:p>
        </w:tc>
        <w:tc>
          <w:tcPr>
            <w:tcW w:type="dxa" w:w="5839"/>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차입금은 자기자본의 14.6%에 불과하고 현금·채권 566억달러가 있다. 내부자 매도 8.28억달러의 98.8%가 1993년부터의 초기 투자자인 이사 한 명이며, 최고경영자와 최고재무책임자의 매도는 없다.</w:t>
            </w:r>
          </w:p>
        </w:tc>
      </w:tr>
    </w:tbl>
    <w:p>
      <w:pPr>
        <w:spacing w:before="60" w:after="200" w:lineRule="auto" w:line="312"/>
      </w:pPr>
      <w:r>
        <w:rPr>
          <w:rFonts w:ascii="맑은 고딕" w:hAnsi="맑은 고딕" w:eastAsia="맑은 고딕"/>
          <w:b w:val="0"/>
          <w:color w:val="666B73"/>
          <w:sz w:val="17"/>
        </w:rPr>
        <w:t>자료: 엔비디아 미국 증권거래위원회 제출자료(2026년 8월 17일 수시보고, 8월 26일 실적 수시보고 및 분기보고서), 자체 계산</w:t>
      </w:r>
    </w:p>
    <w:p>
      <w:pPr>
        <w:spacing w:before="160" w:after="200" w:lineRule="auto" w:line="360"/>
        <w:jc w:val="both"/>
      </w:pPr>
      <w:r>
        <w:rPr>
          <w:rFonts w:ascii="맑은 고딕" w:hAnsi="맑은 고딕" w:eastAsia="맑은 고딕"/>
          <w:b w:val="0"/>
          <w:color w:val="1A1A1A"/>
          <w:sz w:val="21"/>
        </w:rPr>
        <w:t>반대편은 '이 회사가 가짜다'에서는 졌고, '이 회사의 절반은 아직 검증되지 않았다'에서는 이겼다. 살아남은 우려 세 가지가 모두 한 곳을 가리킨다. 매출의 41.9%를 내는 고객군의 지급능력, 그리고 회사 자신이 그 고객군에 지분 939억달러와 보증 1,085억달러로 노출되어 있다는 것이다. 한 가지는 바로잡아 둔다. 이 보고서의 초판은 그 지급능력을 '확인할 수 없다'고 적었으나, 그것은 틀렸다. 코어위브와 네비우스의 분기보고서가 있고, 마이크로소프트는 오픈에이아이 지분 27%를 지분법으로 인식하며 그 손익을 분기마다 공시한다. 확인할 수 없는 것이 아니라 아직 확인하지 않은 것이다. 그래서 이 우려는 초판보다 약해진 것이 아니라 오히려 무거워졌다.</w:t>
      </w:r>
    </w:p>
    <w:p>
      <w:pPr>
        <w:spacing w:before="260" w:after="80" w:lineRule="auto" w:line="288"/>
        <w:outlineLvl w:val="1"/>
        <w:keepNext/>
      </w:pPr>
      <w:r>
        <w:rPr>
          <w:rFonts w:ascii="맑은 고딕" w:hAnsi="맑은 고딕" w:eastAsia="맑은 고딕"/>
          <w:b/>
          <w:color w:val="1B365D"/>
          <w:sz w:val="23"/>
        </w:rPr>
        <w:t>오픈에이아이의 손익은 마이크로소프트를 통해 보인다</w:t>
      </w:r>
    </w:p>
    <w:p>
      <w:pPr>
        <w:spacing w:before="0" w:after="160" w:lineRule="auto" w:line="360"/>
        <w:jc w:val="both"/>
      </w:pPr>
      <w:r>
        <w:rPr>
          <w:rFonts w:ascii="맑은 고딕" w:hAnsi="맑은 고딕" w:eastAsia="맑은 고딕"/>
          <w:b w:val="0"/>
          <w:color w:val="1A1A1A"/>
          <w:sz w:val="21"/>
        </w:rPr>
        <w:t>오픈에이아이는 상장회사가 아니어서 스스로 공시하지 않는다. 그러나 마이크로소프트가 '전환 기준 약 27%'를 지분법으로 인식한다고 자기 분기보고서에 적었고, 그 손익을 주석에 숫자로 낸다. 비상장 회사의 경제 상태가 상대방의 감사받은 재무제표를 통해 보이는 것이다.</w:t>
      </w:r>
    </w:p>
    <w:tbl>
      <w:tblPr>
        <w:tblW w:type="auto" w:w="0"/>
        <w:jc w:val="center"/>
        <w:tblLook w:firstColumn="1" w:firstRow="1" w:lastColumn="0" w:lastRow="0" w:noHBand="0" w:noVBand="1" w:val="04A0"/>
        <w:tblLayout w:type="fixed"/>
      </w:tblPr>
      <w:tblGrid>
        <w:gridCol w:w="4649"/>
        <w:gridCol w:w="4649"/>
      </w:tblGrid>
      <w:tr>
        <w:trPr>
          <w:tblHeader w:val="true"/>
        </w:trPr>
        <w:tc>
          <w:tcPr>
            <w:tcW w:type="dxa" w:w="306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기간</w:t>
            </w:r>
          </w:p>
        </w:tc>
        <w:tc>
          <w:tcPr>
            <w:tcW w:type="dxa" w:w="6236"/>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마이크로소프트가 인식한 오픈에이아이 관련 손익</w:t>
            </w:r>
          </w:p>
        </w:tc>
      </w:tr>
      <w:tr>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2025년 3월 분기 (3개월)</w:t>
            </w:r>
          </w:p>
        </w:tc>
        <w:tc>
          <w:tcPr>
            <w:tcW w:type="dxa" w:w="6236"/>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-7억 6,800만달러</w:t>
            </w:r>
          </w:p>
        </w:tc>
      </w:tr>
      <w:tr>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2025년 3월까지 9개월</w:t>
            </w:r>
          </w:p>
        </w:tc>
        <w:tc>
          <w:tcPr>
            <w:tcW w:type="dxa" w:w="6236"/>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-27억달러</w:t>
            </w:r>
          </w:p>
        </w:tc>
      </w:tr>
      <w:tr>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3월 분기 (3개월)</w:t>
            </w:r>
          </w:p>
        </w:tc>
        <w:tc>
          <w:tcPr>
            <w:tcW w:type="dxa" w:w="6236"/>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-1,900만달러</w:t>
            </w:r>
          </w:p>
        </w:tc>
      </w:tr>
      <w:tr>
        <w:tc>
          <w:tcPr>
            <w:tcW w:type="dxa" w:w="306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2026년 3월까지 9개월</w:t>
            </w:r>
          </w:p>
        </w:tc>
        <w:tc>
          <w:tcPr>
            <w:tcW w:type="dxa" w:w="6236"/>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+59억달러 (대부분 자본재편에 따른 희석이익, 영업 아님)</w:t>
            </w:r>
          </w:p>
        </w:tc>
      </w:tr>
    </w:tbl>
    <w:p>
      <w:pPr>
        <w:spacing w:before="60" w:after="200" w:lineRule="auto" w:line="312"/>
      </w:pPr>
      <w:r>
        <w:rPr>
          <w:rFonts w:ascii="맑은 고딕" w:hAnsi="맑은 고딕" w:eastAsia="맑은 고딕"/>
          <w:b w:val="0"/>
          <w:color w:val="666B73"/>
          <w:sz w:val="17"/>
        </w:rPr>
        <w:t>자료: 마이크로소프트 분기보고서(2026년 4월 29일 제출) 주석 3</w:t>
      </w:r>
    </w:p>
    <w:p>
      <w:pPr>
        <w:spacing w:before="160" w:after="200" w:lineRule="auto" w:line="360"/>
        <w:jc w:val="both"/>
      </w:pPr>
      <w:r>
        <w:rPr>
          <w:rFonts w:ascii="맑은 고딕" w:hAnsi="맑은 고딕" w:eastAsia="맑은 고딕"/>
          <w:b w:val="0"/>
          <w:color w:val="1A1A1A"/>
          <w:sz w:val="21"/>
        </w:rPr>
        <w:t>다만 두 가지를 조심해야 한다. 첫째, 마이크로소프트는 '청산가정 장부가액' 방식으로 손익을 배분하므로 27%로 나누어 오픈에이아이 전체 손실을 역산할 수 없다. 보이는 것은 마이크로소프트가 인식한 몫뿐이다. 둘째, 최근 분기 손실이 7억 6,800만달러에서 1,900만달러로 줄어든 것을 '적자가 개선됐다'로 읽으면 안 된다. 이 방식에서는 배분 한도가 소진되면 인식이 멈추기 때문이다. 줄어든 것인지 멈춘 것인지를 가르는 일이 다음 조사의 과제다.</w:t>
      </w:r>
    </w:p>
    <w:p>
      <w:r>
        <w:br w:type="page"/>
      </w:r>
    </w:p>
    <w:p>
      <w:pPr>
        <w:spacing w:before="400" w:after="40" w:lineRule="auto" w:line="288"/>
        <w:outlineLvl w:val="0"/>
        <w:keepNext/>
      </w:pPr>
      <w:r>
        <w:rPr>
          <w:rFonts w:ascii="맑은 고딕" w:hAnsi="맑은 고딕" w:eastAsia="맑은 고딕"/>
          <w:b/>
          <w:color w:val="1B365D"/>
          <w:sz w:val="28"/>
        </w:rPr>
        <w:t xml:space="preserve">7  </w:t>
      </w:r>
      <w:r>
        <w:rPr>
          <w:rFonts w:ascii="맑은 고딕" w:hAnsi="맑은 고딕" w:eastAsia="맑은 고딕"/>
          <w:b/>
          <w:color w:val="1B365D"/>
          <w:sz w:val="28"/>
        </w:rPr>
        <w:t>매수·매도 판단과 실행 조건</w:t>
      </w:r>
    </w:p>
    <w:p>
      <w:pPr>
        <w:spacing w:before="0" w:after="200" w:lineRule="auto" w:line="240"/>
        <w:pBdr>
          <w:bottom w:val="single" w:sz="10" w:space="1" w:color="1B365D"/>
        </w:pBdr>
      </w:pP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투자의견 보유 — 더 사지 않고, 팔지도 않는다</w:t>
            </w:r>
          </w:p>
          <w:p>
            <w:pPr>
              <w:spacing w:before="0" w:after="140" w:lineRule="auto" w:line="341"/>
              <w:ind w:left="198"/>
              <w:jc w:val="both"/>
            </w:pPr>
            <w:r>
              <w:rPr>
                <w:rFonts w:ascii="맑은 고딕" w:hAnsi="맑은 고딕" w:eastAsia="맑은 고딕"/>
                <w:b w:val="0"/>
                <w:color w:val="1A1A1A"/>
                <w:sz w:val="20"/>
              </w:rPr>
              <w:t>목표주가 248달러 · 손절선 208.48달러 · 판단 시점 2026년 11월 18일. 상승 여력 10.5%에 하락 위험 7.1%로 손익비 1.48. 신규 매수에 요구하는 1.5에 0.019 모자란다. 0.019는 반올림하지 않는다.</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다시 사는 조건 — 둘 중 하나</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주가가 213.90달러 이하로 내려온다. 같은 목표주가와 같은 손절선에서 손익비가 1.5를 회복한다.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11월 18일 실적에서 아래 확인 지표 가운데 회수기간 또는 설비투자 점유 격차가 개선을 확인해 목표주가를 255달러 이상으로 올릴 수 있게 된다.</w:t>
      </w:r>
    </w:p>
    <w:p>
      <w:pPr>
        <w:spacing w:before="260" w:after="80" w:lineRule="auto" w:line="288"/>
        <w:outlineLvl w:val="1"/>
        <w:keepNext/>
      </w:pPr>
      <w:r>
        <w:rPr>
          <w:rFonts w:ascii="맑은 고딕" w:hAnsi="맑은 고딕" w:eastAsia="맑은 고딕"/>
          <w:b/>
          <w:color w:val="1B365D"/>
          <w:sz w:val="23"/>
        </w:rPr>
        <w:t>무엇이 확인되면 판단이 바뀌는가</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192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확인 지표</w:t>
            </w:r>
          </w:p>
        </w:tc>
        <w:tc>
          <w:tcPr>
            <w:tcW w:type="dxa" w:w="170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현재값</w:t>
            </w:r>
          </w:p>
        </w:tc>
        <w:tc>
          <w:tcPr>
            <w:tcW w:type="dxa" w:w="1361"/>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확인 시점</w:t>
            </w:r>
          </w:p>
        </w:tc>
        <w:tc>
          <w:tcPr>
            <w:tcW w:type="dxa" w:w="221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개선 시 목표</w:t>
            </w:r>
          </w:p>
        </w:tc>
        <w:tc>
          <w:tcPr>
            <w:tcW w:type="dxa" w:w="209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악화 시 목표</w:t>
            </w:r>
          </w:p>
        </w:tc>
      </w:tr>
      <w:tr>
        <w:tc>
          <w:tcPr>
            <w:tcW w:type="dxa" w:w="19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매출채권 회수기간</w:t>
            </w:r>
          </w:p>
        </w:tc>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60일 (직전 45일)</w:t>
            </w:r>
          </w:p>
        </w:tc>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2026-11-18</w:t>
            </w:r>
          </w:p>
        </w:tc>
        <w:tc>
          <w:tcPr>
            <w:tcW w:type="dxa" w:w="221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55일 이하 → 277달러</w:t>
            </w:r>
          </w:p>
        </w:tc>
        <w:tc>
          <w:tcPr>
            <w:tcW w:type="dxa" w:w="209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70일 이상 → 200달러</w:t>
            </w:r>
          </w:p>
        </w:tc>
      </w:tr>
      <w:tr>
        <w:tc>
          <w:tcPr>
            <w:tcW w:type="dxa" w:w="192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고객 설비투자 점유 격차</w:t>
            </w:r>
          </w:p>
        </w:tc>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-16.5%포인트</w:t>
            </w:r>
          </w:p>
        </w:tc>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2026-11-06</w:t>
            </w:r>
          </w:p>
        </w:tc>
        <w:tc>
          <w:tcPr>
            <w:tcW w:type="dxa" w:w="221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-5%p 이내 → 277달러</w:t>
            </w:r>
          </w:p>
        </w:tc>
        <w:tc>
          <w:tcPr>
            <w:tcW w:type="dxa" w:w="209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2개 분기 연속 → 200달러</w:t>
            </w:r>
          </w:p>
        </w:tc>
      </w:tr>
      <w:tr>
        <w:tc>
          <w:tcPr>
            <w:tcW w:type="dxa" w:w="19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3분기 매출총이익률</w:t>
            </w:r>
          </w:p>
        </w:tc>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가이던스 74.0%</w:t>
            </w:r>
          </w:p>
        </w:tc>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2026-11-18</w:t>
            </w:r>
          </w:p>
        </w:tc>
        <w:tc>
          <w:tcPr>
            <w:tcW w:type="dxa" w:w="221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74.0% 이상 → 유지</w:t>
            </w:r>
          </w:p>
        </w:tc>
        <w:tc>
          <w:tcPr>
            <w:tcW w:type="dxa" w:w="209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73.0% 미만 → 219달러</w:t>
            </w:r>
          </w:p>
        </w:tc>
      </w:tr>
      <w:tr>
        <w:tc>
          <w:tcPr>
            <w:tcW w:type="dxa" w:w="192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임차인 신용등급 확보</w:t>
            </w:r>
          </w:p>
        </w:tc>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미확인</w:t>
            </w:r>
          </w:p>
        </w:tc>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2026-11-18</w:t>
            </w:r>
          </w:p>
        </w:tc>
        <w:tc>
          <w:tcPr>
            <w:tcW w:type="dxa" w:w="221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보증 축소·종료 → 297달러</w:t>
            </w:r>
          </w:p>
        </w:tc>
        <w:tc>
          <w:tcPr>
            <w:tcW w:type="dxa" w:w="209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w:t>
            </w:r>
          </w:p>
        </w:tc>
      </w:tr>
      <w:tr>
        <w:tc>
          <w:tcPr>
            <w:tcW w:type="dxa" w:w="19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보증 최대노출</w:t>
            </w:r>
          </w:p>
        </w:tc>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1,085억달러</w:t>
            </w:r>
          </w:p>
        </w:tc>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2026-11-18</w:t>
            </w:r>
          </w:p>
        </w:tc>
        <w:tc>
          <w:tcPr>
            <w:tcW w:type="dxa" w:w="221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감소 → 277달러</w:t>
            </w:r>
          </w:p>
        </w:tc>
        <w:tc>
          <w:tcPr>
            <w:tcW w:type="dxa" w:w="209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증가 → 219달러</w:t>
            </w:r>
          </w:p>
        </w:tc>
      </w:tr>
      <w:tr>
        <w:tc>
          <w:tcPr>
            <w:tcW w:type="dxa" w:w="192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마이크로소프트 마이아 300</w:t>
            </w:r>
          </w:p>
        </w:tc>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보도만 있음</w:t>
            </w:r>
          </w:p>
        </w:tc>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2026년 9월</w:t>
            </w:r>
          </w:p>
        </w:tc>
        <w:tc>
          <w:tcPr>
            <w:tcW w:type="dxa" w:w="221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수량 확인 시 재계산</w:t>
            </w:r>
          </w:p>
        </w:tc>
        <w:tc>
          <w:tcPr>
            <w:tcW w:type="dxa" w:w="209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w:t>
            </w:r>
          </w:p>
        </w:tc>
      </w:tr>
      <w:tr>
        <w:tc>
          <w:tcPr>
            <w:tcW w:type="dxa" w:w="19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코어위브 차입금 배수</w:t>
            </w:r>
          </w:p>
        </w:tc>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13.6배</w:t>
            </w:r>
          </w:p>
        </w:tc>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2026-11-12</w:t>
            </w:r>
          </w:p>
        </w:tc>
        <w:tc>
          <w:tcPr>
            <w:tcW w:type="dxa" w:w="221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10배 이하 → 신용 개선</w:t>
            </w:r>
          </w:p>
        </w:tc>
        <w:tc>
          <w:tcPr>
            <w:tcW w:type="dxa" w:w="209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18배 이상 → 악화</w:t>
            </w:r>
          </w:p>
        </w:tc>
      </w:tr>
      <w:tr>
        <w:tc>
          <w:tcPr>
            <w:tcW w:type="dxa" w:w="192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엔비디아의 코어위브 지분</w:t>
            </w:r>
          </w:p>
        </w:tc>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-7.19%</w:t>
            </w:r>
          </w:p>
        </w:tc>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2026-11-12</w:t>
            </w:r>
          </w:p>
        </w:tc>
        <w:tc>
          <w:tcPr>
            <w:tcW w:type="dxa" w:w="221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0% 이상 → 회복</w:t>
            </w:r>
          </w:p>
        </w:tc>
        <w:tc>
          <w:tcPr>
            <w:tcW w:type="dxa" w:w="209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-25% 이하 → 악화</w:t>
            </w:r>
          </w:p>
        </w:tc>
      </w:tr>
      <w:tr>
        <w:tc>
          <w:tcPr>
            <w:tcW w:type="dxa" w:w="1928"/>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오픈에이아이 관련 인식손익</w:t>
            </w:r>
          </w:p>
        </w:tc>
        <w:tc>
          <w:tcPr>
            <w:tcW w:type="dxa" w:w="1701"/>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-1,900만달러</w:t>
            </w:r>
          </w:p>
        </w:tc>
        <w:tc>
          <w:tcPr>
            <w:tcW w:type="dxa" w:w="1361"/>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2026년 10월말</w:t>
            </w:r>
          </w:p>
        </w:tc>
        <w:tc>
          <w:tcPr>
            <w:tcW w:type="dxa" w:w="2211"/>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-1억달러 이내 → 경미</w:t>
            </w:r>
          </w:p>
        </w:tc>
        <w:tc>
          <w:tcPr>
            <w:tcW w:type="dxa" w:w="2098"/>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-10억달러 이하 → 재확대</w:t>
            </w:r>
          </w:p>
        </w:tc>
      </w:tr>
    </w:tbl>
    <w:p>
      <w:pPr>
        <w:spacing w:before="60" w:after="200" w:lineRule="auto" w:line="312"/>
      </w:pPr>
      <w:r>
        <w:rPr>
          <w:rFonts w:ascii="맑은 고딕" w:hAnsi="맑은 고딕" w:eastAsia="맑은 고딕"/>
          <w:b w:val="0"/>
          <w:color w:val="666B73"/>
          <w:sz w:val="17"/>
        </w:rPr>
        <w:t>자료: 엔비디아 미국 증권거래위원회 제출자료(2026년 8월 17일 수시보고, 8월 26일 실적 수시보고 및 분기보고서), 자체 계산</w:t>
      </w:r>
    </w:p>
    <w:p>
      <w:pPr>
        <w:spacing w:before="160" w:after="200" w:lineRule="auto" w:line="360"/>
        <w:jc w:val="both"/>
      </w:pPr>
      <w:r>
        <w:rPr>
          <w:rFonts w:ascii="맑은 고딕" w:hAnsi="맑은 고딕" w:eastAsia="맑은 고딕"/>
          <w:b w:val="0"/>
          <w:color w:val="1A1A1A"/>
          <w:sz w:val="21"/>
        </w:rPr>
        <w:t>여섯 개 가운데 다섯 개가 2026년 11월 18일 한 날짜에 몰려 있다. 이 종목의 다음 정보는 그날 한꺼번에 온다. 그때까지 이 목표주가는 새로운 정보 없이 유지되며, 그 사이의 주가 등락은 재산정 사유가 아니다.</w:t>
      </w:r>
    </w:p>
    <w:p>
      <w:r>
        <w:br w:type="page"/>
      </w:r>
    </w:p>
    <w:p>
      <w:pPr>
        <w:spacing w:before="400" w:after="40" w:lineRule="auto" w:line="288"/>
        <w:outlineLvl w:val="0"/>
        <w:keepNext/>
      </w:pPr>
      <w:r>
        <w:rPr>
          <w:rFonts w:ascii="맑은 고딕" w:hAnsi="맑은 고딕" w:eastAsia="맑은 고딕"/>
          <w:b/>
          <w:color w:val="1B365D"/>
          <w:sz w:val="28"/>
        </w:rPr>
        <w:t xml:space="preserve">8  </w:t>
      </w:r>
      <w:r>
        <w:rPr>
          <w:rFonts w:ascii="맑은 고딕" w:hAnsi="맑은 고딕" w:eastAsia="맑은 고딕"/>
          <w:b/>
          <w:color w:val="1B365D"/>
          <w:sz w:val="28"/>
        </w:rPr>
        <w:t>부록 — 확인하지 못한 것</w:t>
      </w:r>
    </w:p>
    <w:p>
      <w:pPr>
        <w:spacing w:before="0" w:after="200" w:lineRule="auto" w:line="240"/>
        <w:pBdr>
          <w:bottom w:val="single" w:sz="10" w:space="1" w:color="1B365D"/>
        </w:pBdr>
      </w:pPr>
    </w:p>
    <w:p>
      <w:pPr>
        <w:spacing w:before="0" w:after="160" w:lineRule="auto" w:line="360"/>
        <w:jc w:val="both"/>
      </w:pPr>
      <w:r>
        <w:rPr>
          <w:rFonts w:ascii="맑은 고딕" w:hAnsi="맑은 고딕" w:eastAsia="맑은 고딕"/>
          <w:b w:val="0"/>
          <w:color w:val="666B73"/>
          <w:sz w:val="21"/>
        </w:rPr>
        <w:t>빈칸이 틀린 값보다 싸다. 아래는 이 보고서가 확인하려 했으나 확인하지 못한 항목이다.</w:t>
      </w:r>
    </w:p>
    <w:tbl>
      <w:tblPr>
        <w:tblW w:type="auto" w:w="0"/>
        <w:jc w:val="center"/>
        <w:tblLook w:firstColumn="1" w:firstRow="1" w:lastColumn="0" w:lastRow="0" w:noHBand="0" w:noVBand="1" w:val="04A0"/>
        <w:tblLayout w:type="fixed"/>
      </w:tblPr>
      <w:tblGrid>
        <w:gridCol w:w="4649"/>
        <w:gridCol w:w="4649"/>
      </w:tblGrid>
      <w:tr>
        <w:trPr>
          <w:tblHeader w:val="true"/>
        </w:trPr>
        <w:tc>
          <w:tcPr>
            <w:tcW w:type="dxa" w:w="317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항목</w:t>
            </w:r>
          </w:p>
        </w:tc>
        <w:tc>
          <w:tcPr>
            <w:tcW w:type="dxa" w:w="6123"/>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왜 확인하지 못했나</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임차인의 신용등급 기준과 이름</w:t>
            </w:r>
          </w:p>
        </w:tc>
        <w:tc>
          <w:tcPr>
            <w:tcW w:type="dxa" w:w="6123"/>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계약서에서 '중요하지 않은 정보'로 분류되어 삭제(원문 표기 [***])</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인공지능 클라우드·기업·정부 부문 고객 가운데 비상장·정부 부분의 지급능력</w:t>
            </w:r>
          </w:p>
        </w:tc>
        <w:tc>
          <w:tcPr>
            <w:tcW w:type="dxa" w:w="6123"/>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상장 고객(코어위브·네비우스)과 오픈에이아이(마이크로소프트 지분법)는 확인됐다. 남은 것은 나머지 비상장 고객과 정부 발주 부분이며, 이들에는 대응 자료가 없다</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쿠다 생태계의 크기</w:t>
            </w:r>
          </w:p>
        </w:tc>
        <w:tc>
          <w:tcPr>
            <w:tcW w:type="dxa" w:w="6123"/>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회사가 개발자 수와 설치 대수를 공시하지 않음. 형용사만 존재</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자체 반도체의 실제 대체 물량</w:t>
            </w:r>
          </w:p>
        </w:tc>
        <w:tc>
          <w:tcPr>
            <w:tcW w:type="dxa" w:w="6123"/>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마이아 200의 가동은 마이크로소프트 1차 자료로 확인됐으나 배치 수량은 미공시. 따라서 엔비디아 물량 대비 대체 비율은 여전히 계산 불가</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1년 전 대비 증권가 이익 추정 추이</w:t>
            </w:r>
          </w:p>
        </w:tc>
        <w:tc>
          <w:tcPr>
            <w:tcW w:type="dxa" w:w="6123"/>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무료 자료는 90일까지, 자체 누적 자료는 43일까지만 존재. 소급 복구 불가</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3분기 매출총이익률 1%포인트 하락의 원인 배분</w:t>
            </w:r>
          </w:p>
        </w:tc>
        <w:tc>
          <w:tcPr>
            <w:tcW w:type="dxa" w:w="6123"/>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회사가 메모리 원가·제품 믹스·신제품 램프 중 무엇인지 밝히지 않음</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내부자 매도 이사의 전체 잔여 보유</w:t>
            </w:r>
          </w:p>
        </w:tc>
        <w:tc>
          <w:tcPr>
            <w:tcW w:type="dxa" w:w="6123"/>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9월 2일 매도는 전량 신탁 명의였고 그 신탁의 거래 후 잔량은 335만 8,770주로, 해당 신탁 보유분의 35.5%를 하루에 매도했다. 다만 직접 보유분과 다른 신탁은 확인하지 못했으므로 여전히 '확신 상실'로 읽지 않는다</w:t>
            </w:r>
          </w:p>
        </w:tc>
      </w:tr>
      <w:tr>
        <w:tc>
          <w:tcPr>
            <w:tcW w:type="dxa" w:w="3175"/>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허깅페이스 129억달러 인수 보도</w:t>
            </w:r>
          </w:p>
        </w:tc>
        <w:tc>
          <w:tcPr>
            <w:tcW w:type="dxa" w:w="6123"/>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8월 27일 보도 이후 이레째 회사 성명도 공시도 없음. 확인도 부인도 되지 않음</w:t>
            </w:r>
          </w:p>
        </w:tc>
      </w:tr>
    </w:tbl>
    <w:p>
      <w:pPr>
        <w:spacing w:before="0" w:after="160" w:lineRule="auto" w:line="348"/>
      </w:pPr>
    </w:p>
    <w:p>
      <w:pPr>
        <w:spacing w:before="260" w:after="80" w:lineRule="auto" w:line="288"/>
        <w:outlineLvl w:val="1"/>
        <w:keepNext/>
      </w:pPr>
      <w:r>
        <w:rPr>
          <w:rFonts w:ascii="맑은 고딕" w:hAnsi="맑은 고딕" w:eastAsia="맑은 고딕"/>
          <w:b/>
          <w:color w:val="1B365D"/>
          <w:sz w:val="23"/>
        </w:rPr>
        <w:t>목표주가가 매달린 가정</w:t>
      </w:r>
    </w:p>
    <w:p>
      <w:pPr>
        <w:spacing w:before="0" w:after="160" w:lineRule="auto" w:line="360"/>
        <w:jc w:val="both"/>
      </w:pPr>
      <w:r>
        <w:rPr>
          <w:rFonts w:ascii="맑은 고딕" w:hAnsi="맑은 고딕" w:eastAsia="맑은 고딕"/>
          <w:b w:val="0"/>
          <w:color w:val="1A1A1A"/>
          <w:sz w:val="21"/>
        </w:rPr>
        <w:t>회사가 제시한 3분기 가이던스(매출 1,080억달러, 매출총이익률 74.0%, 영업비용 90억달러, 세율 17%)가 연환산으로 유지되고, 그 이익에 25배를 적용한다는 것이다. 25배라는 선택은 동종 중앙값 29.6배 아래이고 성숙 대형기술주 20배 위라는 것 외에 통계적 근거가 없는 임의 선택이며, 그 사실을 밝혀 둔다. 배수를 현재 수준인 22.4배로 두면 목표주가는 현재가와 같아지고, 30배를 주면 297달러가 된다. 또한 보증 1,085억달러를 액면 그대로 부채로 잡으면 목표주가는 244달러로 1.6% 낮아진다. 최대 노출을 부채로 잡는 것은 과대계상이라 본 계산에는 넣지 않고 민감도로만 적는다.</w:t>
      </w:r>
    </w:p>
    <w:p>
      <w:pPr>
        <w:spacing w:before="360" w:after="160" w:lineRule="auto" w:line="240"/>
        <w:pBdr>
          <w:bottom w:val="single" w:sz="6" w:space="1" w:color="C9CED6"/>
        </w:pBdr>
      </w:pPr>
    </w:p>
    <w:p>
      <w:pPr>
        <w:spacing w:before="0" w:after="40" w:lineRule="auto" w:line="348"/>
      </w:pPr>
      <w:r>
        <w:rPr>
          <w:rFonts w:ascii="맑은 고딕" w:hAnsi="맑은 고딕" w:eastAsia="맑은 고딕"/>
          <w:b w:val="0"/>
          <w:color w:val="666B73"/>
          <w:sz w:val="17"/>
        </w:rPr>
        <w:t>본 보고서는 리서치 산출물이며 주문 경로가 아니다. 포지션 규모와 집행은 별도로 결정한다.</w:t>
      </w:r>
    </w:p>
    <w:p>
      <w:pPr>
        <w:spacing w:before="0" w:after="0" w:lineRule="auto" w:line="348"/>
      </w:pPr>
      <w:r>
        <w:rPr>
          <w:rFonts w:ascii="맑은 고딕" w:hAnsi="맑은 고딕" w:eastAsia="맑은 고딕"/>
          <w:b w:val="0"/>
          <w:color w:val="666B73"/>
          <w:sz w:val="17"/>
        </w:rPr>
        <w:t>작성 2026년 9월 3일 · 기준가 2026년 9월 2일 미국 시장 종가</w:t>
      </w:r>
    </w:p>
    <w:sectPr w:rsidR="00FC693F" w:rsidRPr="0006063C" w:rsidSect="00034616">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autoSpaceDE w:val="0"/>
        <w:autoSpaceDN w:val="0"/>
        <w:widowControl w:val="1"/>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