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[denomination_societe]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[forme_sociale]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Au capital de [capital_social]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Siège social : [adresse_siege]</w:t>
      </w:r>
      <w:r w:rsidDel="00000000" w:rsidR="00000000" w:rsidRPr="00000000">
        <w:rPr>
          <w:rtl w:val="0"/>
        </w:rPr>
      </w:r>
    </w:p>
    <w:p w:rsidR="00000000" w:rsidDel="00000000" w:rsidP="00000000" w:rsidRDefault="00000000" w:rsidRPr="00000000" w14:paraId="00000007">
      <w:pPr>
        <w:ind w:left="1416" w:firstLine="707.9999999999998"/>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Les soussignées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société [denomination_societe_associe_1], [forme_sociale_societe_associe_1], au capital de [capital_social_societe_associe_1], société sise [adresse_siege_societe_associe_1], immatriculée au RCS de [ville_rcs_societe_associe_1] sous le numéro [numero_rcs_societe_associe_1] représentée par son [fonction_representant_societe_associe_1], [civilite_personne_2] [prenom_personne_2] [nom_personne_2]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[civilite_personne_1] [prenom_personne_1] [nom_personne_1] né le [date_naissance_personne_1] à [ville_naissance_personne_1] ([departement_naissance_personne_1]), de nationalité [nationalite_personne_1], demeurant [adresse_personne_1], [situation_maritale_personne_1],</w:t>
      </w:r>
      <w:r w:rsidDel="00000000" w:rsidR="00000000" w:rsidRPr="00000000">
        <w:rPr>
          <w:rtl w:val="0"/>
        </w:rPr>
      </w:r>
    </w:p>
    <w:p w:rsidR="00000000" w:rsidDel="00000000" w:rsidP="00000000" w:rsidRDefault="00000000" w:rsidRPr="00000000" w14:paraId="00000010">
      <w:pPr>
        <w:ind w:left="709"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Agissant en qualité d’associés commanditaires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699"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[civilite_personne_2] [prenom_personne_2] [nom_personne_2], né le [date_naissance_personne_2] à [ville_naissance_personne_2] ([pays_naissance_personne_2]), de nationalité [nationalite_personne_2], demeurant [adresse_personne_2], [situation_maritale_personne_2],</w:t>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Agissant en qualité d’associé commandité</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br w:type="textWrapping"/>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Ont établi, ainsi qu'il suit, les statuts d'une société en commandite simple qu'ils ont convenu de constituer entre eux.</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Il est rappelé que le choix de la forme de société en commandite a été retenue parce qu’elle permet un certain nombre d’avantages que ne procurent pas les autres formes de société en ce qu’elle permet de cumuler la sécurité financière pour les associés commanditaires et la confidentialité des comptes sociaux au bénéfice de tous les associés.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En outre, c’est la seule forme sociale qui permet aux associés dit commandités, une fois les statuts aménagés pour cela, de conserver la main sur l’outil social, tout en ne disposant pas de la majorité du capital.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[denomination_societe]</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[forme_sociale]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Au capital de [capital_social]</w:t>
      </w:r>
    </w:p>
    <w:p w:rsidR="00000000" w:rsidDel="00000000" w:rsidP="00000000" w:rsidRDefault="00000000" w:rsidRPr="00000000" w14:paraId="0000002C">
      <w:pPr>
        <w:rPr>
          <w:b w:val="1"/>
          <w:bCs w:val="1"/>
        </w:rPr>
      </w:pPr>
      <w:r w:rsidDel="00000000" w:rsidR="00000000" w:rsidRPr="00000000">
        <w:rPr>
          <w:b w:val="1"/>
          <w:bCs w:val="1"/>
          <w:rtl w:val="0"/>
        </w:rPr>
        <w:t xml:space="preserve">      </w:t>
        <w:tab/>
        <w:tab/>
        <w:tab/>
        <w:t xml:space="preserve">Siège social : [adresse_siege]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2E">
      <w:pPr>
        <w:ind w:left="1416" w:firstLine="707.9999999999998"/>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1" w:lineRule="auto"/>
        <w:ind w:left="1455" w:right="0" w:firstLine="669"/>
        <w:jc w:val="left"/>
        <w:rPr>
          <w:rFonts w:ascii="Times New Roman" w:cs="Times New Roman" w:eastAsia="Times New Roman" w:hAnsi="Times New Roman"/>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0">
      <w:pPr>
        <w:ind w:left="1416" w:firstLine="707.9999999999998"/>
        <w:rPr>
          <w:b w:val="1"/>
          <w:bCs w:val="1"/>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STATUTS</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Titre I. – Forme. Objet. Raison sociale. Siège. Durée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1. – Forme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Il est formé entre les soussignés, une société en commandite simple qui existera entre les propriétaires des parts ci-après créées, et de celles qui pourront l'être ultérieurement.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Cette société sera régie par les </w:t>
      </w:r>
      <w:hyperlink r:id="rI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articles L. 222-1 à L. 222-12  et R222-1 à R222-3 du Code de commerce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et par les dispositions non contraires des articles L. 221-1 à L. 221-16 du même code, ainsi que par les présents statuts.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2. – Objet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société a pour objet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les opérations d’acquisition, d'administration et de gestion par bail, location ou toute autre forme, de cession, de tous immeubles et biens immobiliers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toutes autres opérations financières, mobilières ou immobilières de caractère purement civil se rattachant directement ou indirectement à cet objet et susceptibles d'en favoriser la réalisation.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3. – Dénomination sociale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dénomination sociale est :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[denomination_societe]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Dans tous les actes et documents émanant de la Société et destinés aux tiers, notamment les lettres, factures, annonces et publications diverses, cette dénomination devra être immédiatement précédée ou suivie des mots « Société en commandite simple » ou des initiales « SCS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4. – Siège social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t xml:space="preserve">Le siège social est fixé à : [adresse_siege].</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Il peut être transféré dans tout autre lieu du même département par simple décision de la gérance et partout ailleurs par décision collective extraordinaire des associés.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5. – Durée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durée de la société est fixée à 99 années à compter de son immatriculation au registre du commerce et des sociétés, sauf dans les cas de dissolution anticipée et de prorogation ci-après.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Titre Il. – Apports. Capital social. Parts sociales.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6. – Apports. Déclarations.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Les soussignés, tous susnommés, font à la société les apports suivants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426"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[denomination_societe_associe_1] la somme de [apport_lettres_societe_associe_1], ci               [apport_societe_associe_1]</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426"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[civilite_personne_1] [prenom_personne_1] [nom_personne_1] , la somme de [apport_lettres_personne_1], ci                                 [apport_personne_1]</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426"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426"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142"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[civilite_personne_2] [prenom_personne_2] [nom_personne_2], la somme de [apport_lettres_personne_2], ci</w:t>
        <w:tab/>
        <w:t xml:space="preserve">                            [apport_personne_2]</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142"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Total des apports en numéraire :  [capital_lettres], ci                                              [capital_social]</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ab/>
        <w:tab/>
        <w:tab/>
        <w:tab/>
        <w:tab/>
        <w:tab/>
        <w:tab/>
        <w:tab/>
        <w:t xml:space="preserve">                                    =====</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t xml:space="preserve">Ces sommes seront versées après l’immatriculation de la société au registre du commerce sur appel de fonds du gérant.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7. – Capital social</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 capital social, formé par les apports constatés à l'article 6 ci-dessus, s'élève à la somme de [capital_lettres] (soit [capital_social]). Il est divisé en [nb_parts_total_lettres] parts sociales d’un [valeur_nominale_part_lettres] chacune, attribuées aux associés dans la proportion de leurs apports, à savoir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En tant qu'associé commandité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à [civilite_personne_2] [prenom_personne_2] [nom_personne_2], [nb_parts_lettres_personne_2] parts numérotées de [plage_parts_personne_2]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En tant qu'associé commanditaire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à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[denomination_societe_associe_1] [nb_parts_lettres_societe_associe_1] parts numérotées de [plage_parts_societe_associe_1]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à [civilite_personne_1] [prenom_personne_1] [nom_personne_1] [nb_parts_lettres_personne_1] parts numérotées de [plage_parts_personne_1].</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Total égal au nombre de parts sociales composant le capital social : [nb_parts_total_lettres] parts.</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 capital social pourra être modifié, conformément aux prescriptions légales, mais à tout moment ce capital doit être entièrement souscrit par les associés.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8. – Constatation de la propriété des parts sociales., rompus et responsabilité de associes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8.1. – Les parts sociales ne sont pas négociables. Leur propriété résulte seulement des statuts de la société, des actes qui les modifient, des cessions et des mutations ultérieures, le tout régulièrement consenti, constaté et publié.</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Les cessions et mutations entre vifs sont constatées par acte authentique ou sous seings privés.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Pour être opposables à la société les actes de cessions de parts devront être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signifiées conformément à l'article </w:t>
      </w:r>
      <w:hyperlink r:id="rId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1690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du code civil ou acceptées par elle dans un acte authentique. Toutefois, la signification peut être remplacée par le dépôt d'un original de l'acte de cession au siège social contre remise par le gérant d'une attestation de ce dépôt.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Elles ne sont opposables aux tiers qu'après accomplissement des formalités qui précèdent, et après publication conformément à la loi.</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Chaque part de capital est indivisible à l'égard de la société. Dans les diverses manifestations de la vie sociale, les propriétaires indivis de parts sociales sont représentés par un mandataire unique.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8.2. – Si des parts sociales viennent à former rompus, à l'occasion d'une opération quelconque, les associés doivent faire leur affaire personnelle de toute acquisition ou cession de parts ou droits nécessaire pour supprimer les rompus.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gérance peut mettre en demeure les associés concernés de rendre les cessions nécessaires opposables à la société, dans un délai qu'elle fixe, et ceci sous peine d'astreinte à fixer par le juge.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8.3. – Les parts sociales représentatives d'apports en industrie, s'il en existe, sont incessibles. Elles ne concourent pas à la formation du capital.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Au décès, ou en cas de retrait de leur titulaire, pour quelque cause que ce soit, elles sont annulées purement et simplement avec les effets par ailleurs éventuellement stipulés.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8.4 - Les associés commanditaires ne sont responsables vis à vis des tiers et des créanciers sociaux qu'à concurrence des leurs apports. Mais chacun des associés commandités est tenu indéfiniment et solidairement, quel que soit le nombre de ses parts, des engagements pris par une délibération collective ou par le gérant lorsque les actes accomplis par lui entrent dans l'objet social. Cependant, les créanciers de la Société ne pourront poursuivre le paiement des dettes sociales contre un associé que huit jours après avoir vainement mis en demeure celle-ci par acte extrajudiciaire.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9. – Cessions et transmissions de parts sociales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Les parts sociales ne peuvent être cédées, soit entre associés, soit à des tiers, qu'avec le consentement de tous les associés.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Les cessions de parts doivent être constatées par écrit. Le prix de cession est fixé de gré à gré.</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Elles ne sont opposables à la Société qu'après lui avoir été signifiées par acte extrajudiciaire ou avoir été acceptées par elle dans un acte notarié, conformément aux stipulations de l'article 1690 du Code civil.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Toutefois la signification peut être remplacée par le dépôt d'un original de l'acte de cession au siège social contre remise par le gérant d'une attestation de ce dépôt.</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cession n'est opposable aux tiers qu'après accomplissement de cette formalité et après publication conformément à la loi.</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En cas de dissolution de la communauté pouvant exister entre l'un des associés et son conjoint, du vivant de cet associé, ce dernier reste seul associé pour la totalité des parts communes.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Il fera son affaire personnelle du règlement des droits qui peuvent appartenir à son conjoint</w:t>
      </w:r>
      <w:r w:rsidDel="00000000" w:rsidR="00000000" w:rsidRPr="00000000">
        <w:rPr>
          <w:rFonts w:ascii="Times New Roman" w:cs="Times New Roman" w:eastAsia="Times New Roman" w:hAnsi="Times New Roman"/>
          <w:b w:val="0"/>
          <w:bCs w:val="0"/>
          <w:i w:val="0"/>
          <w:iCs w:val="0"/>
          <w:smallCaps w:val="0"/>
          <w:strike w:val="0"/>
          <w:color w:val="000000"/>
          <w:sz w:val="37"/>
          <w:szCs w:val="37"/>
          <w:u w:val="none"/>
          <w:vertAlign w:val="baseline"/>
          <w:rtl w:val="0"/>
        </w:rPr>
        <w:t xml:space="preserve">.</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7"/>
          <w:szCs w:val="37"/>
          <w:u w:val="none"/>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Société ne sera pas dissoute de plein droit par le décès d'un ou de plusieurs associés.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Elle continuera avec les associés survivants, et la Société sera débitrice envers les héritiers de l'associé décédé de la valeur de ses droits sociaux évalués conformément aux dispositions de l'article 1843-4 du Code civil.</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Titre III. – Administration de la société. Gérance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10. – Nomination et révocation des gérants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Société est gérée et administrée par tous les associés commandités. La révocation de l'un d'eux de ses fonctions de gérant ne pourra être décidée qu'à l'unanimité de tous les associés de la société. Elle entraînera la dissolution de la Société, à moins que les associés restants ne décident à l’unanimité de sa continuation. Dans ce dernier cas, le gérant révoqué pourra demander le remboursement de ses droits sociaux, dont la valeur sera déterminée conformément à l'article 1843-4 du Code civil.</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En cas de révocation, l'ancien gérant peut exiger par toute voie de droit la modification statutaire et requérir toute publicité rendue nécessaire, suite à l'évènement intervenu.</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11. – Pouvoirs des gérants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11.1. – Dans les rapports avec les tiers, le gérant ou chacun des gérants engage la société par les actes entrant dans l'objet social.</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L'opposition formée par un gérant aux actes d'un autre gérant est sans effet à l'égard des tiers, à moins qu'il ne soit établi qu'ils en ont eu connaissance.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12. – Responsabilité des gérants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responsabilité du gérant ou de chacun des gérants est engagée dans les conditions de droit commun pour toute société commerciale.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13. – Rémunération des gérants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Il peut être attribué une rémunération aux gérants ou à chaque gérant, par décision collective des associés prise à la majorité de plus de la moitié des voix dont dispose l'ensemble des associés membres de la société.</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Chacun des gérants a droit au remboursement de ses frais de représentation et de déplacement sur justification.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14. – Assiduité des gérants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Chaque gérant consacre le temps et les soins nécessaires à la gestion sociale.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15. – Démission d'un gérant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15.1. – Démission</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démission d'un gérant ne met pas fin à la société.</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Elle n'est recevable que pour juste motif et doit être notifiée à chacun des associés, par lettre recommandée avec demande d'avis de réception, trois mois au moins avant la clôture d'un exercice ; si elle est agréée par l'unanimité des autres associés, elle prend effet à l'issue de cette clôture.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démission du gérant unique n'est effective que sous condition de la désignation d'un nouveau gérant.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15.2. – Modification des statuts corrélative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En cas de démission, l'ancien gérant peut exiger par toute voie de droit la modification statutaire et requérir toute publicité rendue nécessaire, suite à l'évènement intervenu.</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Titre IV. – Comptes courants d'associés Non-concurrence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16. – Avance de fonds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Dans le respect de la réglementation en vigueur, un associé ou un gérant peut, avec l'accord de la collectivité des associés, mettre des fonds à la disposition de la société.</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Sauf décision contraire des associés, ces fonds produisent des intérêts au taux légal, et les sommes ne sont restituables qu'avec un préavis minimum d’un mois.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17. – Non-concurrence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Un gérant ou un associé commandité ne peut accomplir d'acte de concurrence, pendant l'exercice de son mandat ou son appartenance à la société, ni pendant les deux années consécutives à sa cessation.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18. – Non-ingérence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L'associé commanditaire ne peut faire aucun acte de gestion externe, même en vertu d'un pouvoir, sauf à devenir responsable des dettes et engagements, dans les conditions prévues à l'</w:t>
      </w:r>
      <w:hyperlink r:id="rI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article L. 222-6 du Code de commerce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Titre V. – Décisions collectives d'associés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19. – Décisions collectives – Nature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Par décision collective, les associés :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approuvent chaque année : le rapport de gestion, l'inventaire et les comptes annuels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fixent l’affectation du résultat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donnent toutes autorisations à la gérance pour la réalisation de toutes opérations qui ne sont pas de la compétence de cette dernière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désignent, quand il y a lieu, le ou les liquidateurs.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modifient les statuts dans toutes leurs dispositions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autorisent toutes cessions des parts sociales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nomment les gérants ; révoquent les gérants et fixent la rémunération des gérants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se prononcent sur la nationalité de la société, sur la transformation de la société en société d'une autre forme, civile ou commerciale ; sur la dissolution anticipée ou sur la prorogation de la société, sur toute opération de fusion, de scission ou d'apport partiel d'actif dans laquelle la société serait partie prenante, soit comme apporteur, soit comme bénéficiaire des apports.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20. – Décisions collectives. Mode d'intervention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20.1. – Les décisions collectives des associés s'expriment : </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soit par la participation de tous les associés à un même acte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soit par le moyen d'une consultation écrite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soit en assemblée.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réunion d'une assemblée est obligatoire pour l'approbation des comptes annuels, ou encore lorsqu'elle est demandée soit par un associé commandité, soit par le quart en nombre et en capital des commanditaires, par lettre recommandée adressée à la gérance.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Sous ces réserves, la gérance décide de l'opportunité du mode d'intervention des décisions collectives ; toutefois, en cas de cessation des fonctions d'un gérant unique pour quelque cause que ce soit, l'assemblée est valablement convoquée par le plus diligent des associés en vue de pourvoir au remplacement.</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20.2. – En cas de consultation par écrit, la gérance adresse au dernier domicile connu de chacun des associés, par lettre recommandée, le rapport de gestion, le texte des résolutions proposées par elle ou par tout autre associé.</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Dans un délai de quinze jours à compter de l'envoi de la lettre recommandée, les associés doivent adresser à la gérance leur acceptation ou leur refus par pli recommandé. Le vote est formulé par l'inscription au bas de chaque résolution de la mention "adoptée" ou "rejetée".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Tout associé qui n'aura pas adressé sa réponse dans le délai ci-dessus sera considéré comme s'étant abstenu.</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20.3. – Les associés sont convoqués à l'assemblée quinze jours au moins à l'avance, par lettre recommandée adressée à leur dernier domicile connu.</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convocation fait connaître l'ordre du jour, les, lieu, jour et heure de la réunion. Il y est annexé le rapport de gestion et le texte des résolutions proposées par la gérance ou par tout associé.</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Lorsque l'assemblée doit se prononcer sur l'approbation des comptes annuels, il est en outre annexé à la convocation les comptes annuels. De plus, pendant le délai de quinze jours qui précède l'assemblée, l'inventaire est tenu, au siège social, à la disposition des associés qui peuvent en prendre copie. Les dispositions du présent alinéa, ainsi que celles relatives à l'envoi du rapport et du texte des résolutions proposées ne sont pas applicables lorsque tous les associés sont gérants.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Tout associé peut poser par écrit des questions, à compter de la communication des documents dont la mise à disposition est prévue en cas de réunion d'une assemblée ; la gérance doit y répondre au cours de l'assemblée.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L'assemblée est présidée par le gérant ou, s'ils sont plusieurs, par le plus âgé des gérants présents à la réunion. L'assemblée peut désigner un secrétaire associé ou non.</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Tout associé peut se faire représenter aux réunions par un autre associé justifiant d'un pouvoir spécial. Un associé ne peut représenter qu'un seul de ses coassociés.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Lorsque les parts sociales sont grevées d’un usufruit le droit de vote appartient au nu propriétaire sauf pour les décisions relatives à l’affectation des résultats où il est exercé par l'usufruitier.</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20.4. – Toute délibération est constatée par un procès-verbal qui indique la date et le lieu de réunion, les nom et prénoms des associés présents, les documents et rapports soumis à discussion, un résumé des débats, le texte des résolutions mises aux voix et le résultat des votes. Le procès-verbal doit être signé par chacun des associés présents.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Lorsque tous les associés sont gérants, seules les délibérations dont l'objet excède les pouvoirs reconnus aux gérants sont soumises aux dispositions de l'alinéa précédent.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En cas de consultation écrite, il en est fait mention dans le procès-verbal auquel est annexée la réponse de chaque associé et qui est signé par les gérants.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Lorsqu'une décision est constatée dans un acte ou un procès-verbal notarié, celui-ci doit être transcrit ou mentionné sur le registre spécial et sous la forme d'un procès-verbal dressé et signé par les gérants.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Les copies ou extraits des procès-verbaux des délibérations des associés sont valablement certifiés conformes par un gérant. Au cours de la liquidation de la société, leur certification est valablement effectuée par un seul liquidateur.</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20.5. – Les procès-verbaux prévus au paragraphe 20.4. ci-dessus sont établis sur un registre spécial tenu au siège social, et coté et paraphé par un juge du Tribunal de Commerce, dans la forme ordinaire et sans frais.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Ils peuvent toutefois être établis sur des feuilles mobiles numérotées sans discontinuité, paraphées dans les mêmes conditions prévues à l'alinéa précédent et revêtues du sceau de l'autorité qui les a paraphées. Dès qu'une feuille a été remplie, même partiellement, elle doit être jointe à celles précédemment utilisées. Toute addition, suppression, substitution ou interversion de feuilles est interdite.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21. – Décisions collectives. Conditions de majorité</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Les décisions relevant de la collectivité des associés sont prises dans les conditions de majorité suivantes :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à l'unanimité, s'il s'agit d'un changement de nationalité de la société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aux conditions visées à l'article 9 ci-dessus, s'agissant de l'agrément d'associés.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-aux conditions visées à l'article 10, 13 et 15 ci-dessus, s'agissant des éventuelles rémunérations, démission et révocation des gérants.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à l'unanimité des commandités, et à la majorité en nombre et en capital des associés commanditaires, dans tous les autres cas.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Titre VI. – Exercice social. Comptes sociaux Contrôle des comptes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22. – Exercice social</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L'exercice social commence le 1er janvier et finit le 31 décembre de chaque année.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Par exception, le premier exercice commencera à la constitution de la société, pour se terminer le [date_cloture_exercice_1].</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23. – Établissement et approbation des comptes sociaux</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23.1. – Les écritures de la société sont tenues conformément aux lois et usages du commerce. À la clôture de chaque exercice, la gérance dresse l'inventaire des divers éléments de l'actif et du passif existant à cette date, les comptes annuels conformément aux dispositions du titre II du livre 1er du Code de commerce, et un rapport de gestion écrit sur la situation de la société durant l'exercice écoulé, son évolution prévisible, les événements importants survenus entre la date de la clôture de l'exercice et la date à laquelle il est établi, ses activités en matière de recherche et de développement.</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présentation des comptes annuels, comme les méthodes d'évaluation retenues, ne peuvent être modifiées d'un exercice à l'autre, à moins qu'un changement exceptionnel intervienne dans la situation de la société ; dans ce dernier cas, les modifications intervenues devront être décrites et justifiées dans l'annexe, ainsi que dans le rapport de gestion.</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L'inventaire, les comptes annuels et le rapport de gestion sont soumis à l'approbation de l'assemblée des associés, dans le délai de six mois à compter de la clôture dudit exercice.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À cette fin, lesdits documents, ainsi que le texte des résolutions proposées, sont communiqués aux associés, lorsque tous les associés ne sont pas gérants, dans les conditions de l'</w:t>
      </w:r>
      <w:hyperlink r:id="rId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article  </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R 221-7 du Code de Commerce.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23.2. – Dans les sociétés venant à répondre à deux des critères définis par décret et dépendant du nombre de salariés, du chiffre d'affaires et éventuellement de la nature de l'activité, la gérance est tenue d'établir les documents suivants :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situation de l'actif réalisable et disponible, valeurs d'exploitation exclues, et du passif exigible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compte de résultat prévisionnel ;</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tableau de financement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plan de financement prévisionnel.</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Ces documents sont analysés dans les rapports écrits sur l'évolution de la société, établis par la gérance et communiqués, le cas échéant, au commissaire aux comptes et au comité social et économique.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En cas de non-observation de ces dispositions, ou si les informations données dans les rapports appellent des observations de sa part, le commissaire aux comptes le signale dans un rapport au gérant ou dans un rapport annuel. Il peut demander que son rapport soit adressé aux associés ou communiqué à l'assemblée. Il en est donné connaissance au comité social et économique, le cas échéant.</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24. – Contrôle par les associés et les commissaires aux comptes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24.1. – Tout associé non-gérant, s'il en existe, a le droit, deux fois par an, de prendre par lui-même, au siège social, connaissance des livres de commerce et de comptabilité, des contrats, factures, correspondances, procès-verbaux et, plus généralement, de tout document établi par la société ou reçu par elle. Ce droit emporte celui de prendre copie. L'associé peut se faire assister d'un expert, choisi sur une des listes établies par les cours et tribunaux.</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L'associé non-gérant peut également poser par écrit à la gérance, deux fois par an, des questions sur la gestion sociale auxquelles il doit être répondu également par écrit.</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Deux fois par exercice, tout associé non-gérant peut poser par écrit des questions au gérant sur tout fait de nature à compromettre la continuité de l'exploitation.</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réponse du gérant est communiquée, le cas échéant, au commissaire aux comptes.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24.2. – Par décision collective, les associés peuvent nommer un ou plusieurs commissaires aux comptes, titulaires et suppléants. Ils doivent désigner au moins un commissaire aux comptes titulaire et un suppléant, si la société vient à dépasser, à la clôture d'un exercice, des chiffres fixés par décret en Conseil d'État pour deux des critères suivants : le total du bilan, le montant hors taxes de son chiffre d'affaires ou le nombre moyen de ses salariés au cours d'un exercice.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Titre VII. – Affectation. Répartition des résultats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25. – Droits pécuniaires attachés aux parts sociales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t xml:space="preserve">Conformément à l’article L 222-4, 3° du Code de commerce, et eu égard aux risques assumés par les commandités, ainsi qu’à ce qui a été convenu entre les parties dans le préambule des présents statuts, la part globale des commandités et commanditaires dans les résultats, les réserves et le boni de liquidation sont répartis entre eux de la façon suivante :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Résultats courants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Associés commanditaires : 5% ;</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Associés commandités :   95% ; </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Résultats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exceptionnels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Associés commanditaires : 95% ;</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Associés commandités :       5%.</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Cette répartition a pour but de rémunérer chaque groupe d’associés en fonction de la valeur ajoutée qu’il amène aux opérations développées par la société. Plus précisément :</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46">
      <w:pPr>
        <w:ind w:right="141"/>
        <w:rPr>
          <w:b w:val="1"/>
          <w:bCs w:val="1"/>
        </w:rPr>
      </w:pPr>
      <w:r w:rsidDel="00000000" w:rsidR="00000000" w:rsidRPr="00000000">
        <w:rPr>
          <w:b w:val="1"/>
          <w:bCs w:val="1"/>
          <w:rtl w:val="0"/>
        </w:rPr>
        <w:t xml:space="preserve">- si les commanditaires ont droit à la quasi-totalité du résultat courant ; c’est en contrepartie de leurs apports financiers,</w:t>
      </w:r>
    </w:p>
    <w:p w:rsidR="00000000" w:rsidDel="00000000" w:rsidP="00000000" w:rsidRDefault="00000000" w:rsidRPr="00000000" w14:paraId="00000147">
      <w:pPr>
        <w:ind w:right="141"/>
        <w:rPr>
          <w:b w:val="1"/>
          <w:bCs w:val="1"/>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si les commandités ont droit à la quasi-totalité des résultats exceptionnels, c’est en contrepartie de leur engagement à gérer au mieux pour le compte des commanditaires, les opérations développées par la société tout en engageant au bénéfice de ces dernières leur responsabilité indéfinie et solidaire.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Chaque groupe d’associés assume sur sa part de résultat sa charge d’impôt sur les bénéfices.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Une fois cette répartition effectuée entre chaque groupe d’associés, la quote-part de résultat attribuée à chaque groupe est répartie entre les membres de chaque groupe au prorata de leur nombre de parts sociales dans le groupe. </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En outre, chaque part sociale donne droit au remboursement du capital non amorti qu'elle représente.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Les pertes, s'il en est constaté, sont supportées dans les mêmes proportions que la participation aux bénéfices.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26. – Détermination des sommes distribuables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 bénéfice distribuable est constitué par le bénéfice de l'exercice, diminué des pertes antérieures et augmenté des reports déficitaires.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Sont distribuables également toutes sommes portées en réserves ; toutefois, les dividendes sont prélevés par priorité sur les bénéfices distribuables de l'exercice.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27. – Affectation des sommes distribuables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Après approbation des comptes et constatation de sommes distribuables, l'assemblée détermine la part de ces sommes attribuées aux associés sous forme de dividendes.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S'il y a lieu, l'assemblée affecte la part non distribuée du bénéfice de l'exercice dans les proportions qu'elle détermine, soit à un ou plusieurs fonds de réserves généraux ou spéciaux, qui restent à sa disposition, soit au compte "report à nouveau".</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Les pertes, s'il en est constaté, sont affectées au compte "report à nouveau" ou compensées avec les réserves existantes.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28. – Mise en paiement des dividendes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Les dividendes sont mis en paiement sur décision des gérants, dans un délai maximum de neuf mois après la clôture de l'exercice. Ce délai peut être prorogé par décision du juge.</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Titre VIII. – Transformation – Dissolution – Liquidation</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29. – Transformation</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transformation de la société en société d'une autre forme est décidée avec le consentement de tous les associés commandités, et à la majorité en nombre et en capital des commanditaires, sans que cette opération entraîne la création d'un être moral nouveau.</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Toutefois, la transformation de la société en société en nom collectif nécessite l'accord unanime de tous les associés, commandités et commanditaires</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vertAlign w:val="baseline"/>
          <w:rtl w:val="0"/>
        </w:rPr>
        <w:t xml:space="preserve">.</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30. – Dissolution</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30.1. – La société est dissoute à l'arrivée du terme, à défaut de prorogation.</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Un an au moins avant la date d'expiration de la société, la gérance devra provoquer une réunion de l'assemblée générale extraordinaire à l'effet de décider si la société doit être prorogée.</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30.2. – Décision des associés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société peut également être dissoute par décision prise avec le consentement unanime des associés commandités, et la majorité en nombre et en capital des associés commanditaires.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30.3. – Décès ou invalidité permanente d'un associé</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société continue malgré le décès d'un commanditaire.</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En cas de décès d'un commandité, la société continue avec ses héritiers, comme indiqué à l'article 9.</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Si l'associé décédé était le seul commandité, et si ses héritiers sont tous mineurs non émancipés, il est procédé à son remplacement par un nouvel associé commandité ou à la transformation de la société en SARL (ou : SA ou : SAS), dans le délai d'un an à compter du décès. À défaut, la société est dissoute de plein droit à compter de ce délai.</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L'incapacité physique, permanente et dûment constatée de l'un des associés est assimilée au décès.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31. – Liquidation</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société est en liquidation dès l'instant de sa dissolution, pour quelque cause que ce soit. Sa dénomination sociale est alors suivie de la mention "société en liquidation".</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Cette mention, ainsi que le nom du liquidateur, doivent figurer sur tous les actes et documents émanant de la société et destinés aux tiers.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personnalité morale de la société subsiste pour les besoins de la liquidation jusqu'à la clôture de celle-ci.</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32. – Désignation du liquidateur</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liquidation est assurée par le ou les gérants en exercice, lors de l'intervention de la dissolution.</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Les associés, à la diligence de l'un d'eux et à la majorité en nombre et en capital, désignent un ou plusieurs liquidateurs, lorsque aucun gérant en exercice n'accepte le mandat de liquidateur, ou lorsque le liquidateur vient à décéder, à démissionner ou est révoqué de ses fonctions.</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Sauf décision contraire des associés prise à la même majorité, les liquidateurs exercent leurs fonctions jusqu'à la clôture de la liquidation, à moins qu'ils n'aient été désignés, en application des dispositions des </w:t>
      </w:r>
      <w:hyperlink r:id="rId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articles L. 237-14 et suivants du Code de commerce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auquel cas leurs fonctions ne peuvent excéder trois ans, sauf renouvellement dans les conditions fixées à l'article L. 237-21 du même code.</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Si la clôture de la liquidation n'est pas intervenue dans un délai de trois ans à compter de la dissolution, le Ministère Public ou tout intéressé est habilité à saisir le tribunal qui fait procéder à la liquidation, ou si celle-ci a été commencée, à son achèvement.</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33. – Produit de la liquidation</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 produit net de la liquidation, après extinction du passif et des charges sociales, s'il atteint au moins le montant non amorti du capital social, est employé à rembourser en numéraire le montant non amorti des parts sociales.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 solde, s'il en existe un, constituant le boni de liquidation, est réparti en numéraire entre les associés, comme il est indiqué à l'article 25 des présents statuts.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Si le produit net de la liquidation n'atteint pas au moins le montant non amorti du capital social, la différence constitue le mali de liquidation, lequel est entièrement supporté par les associés commandités.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Si la liquidation laisse un reliquat de passif non remboursé, ce reliquat, majoré de la perte du capital social non amorti, constitue le mali de liquidation qui est supporté par les associés, dans les conditions précitées.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Titre IX. – Divers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34. – Fiscalité</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Les associés commandités seront assujettis à l’impôt sur le revenu et les associés commanditaires à l’impôt sur les sociétés.</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35. – Personnalité morale</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société ne jouira de la personnalité morale qu'à dater de son immatriculation au registre du commerce et des sociétés.</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36. – Pouvoirs</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Tous pouvoirs sont conférés au porteur d'un original ou d'une copie des présentes, à l'effet d'accomplir toutes formalités auprès du greffe du tribunal de commerce de [ville_rcs].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37. – Contestations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Toutes les contestations concernant les affaires sociales, l'interprétation ou l'exécution des présents statuts, qui pourraient s'élever entre les associés, ou ces derniers et la société, pendant la durée de celle-ci et de sa liquidation, seront portées devant les tribunaux compétents du siège social. En conséquence, tout associé devra faire élection de domicile dans le ressort du tribunal compétent du lieu du siège social et toutes assignations et significations seront régulièrement faites à ce domicile.</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ab/>
        <w:tab/>
        <w:tab/>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Titre X. - Premier Gérant</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Conformément à l’article 10 des présents statuts, le premier gérant est : </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[civilite_personne_2] [prenom_personne_2] [nom_personne_2] qui dit que rien ne s’oppose à cette prise de fonction et qui accepte le mandat.</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Fait à [lieu_signature]</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 [date_signature]</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En [nombre_exemplaires] exemplaires.</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[prenom_personne_2] [nom_personne_2] en tant que [qualite_associe_personne_2] ;</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La [denomination_societe_associe_1] en tant que [qualite_associe_societe_1]</w:t>
        <w:tab/>
        <w:tab/>
        <w:tab/>
        <w:tab/>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Le Gérant</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[civilite_personne_1] [prenom_personne_1] [nom_personne_1]  en tant que [qualite_associe_personne_1]</w:t>
      </w:r>
      <w:r w:rsidDel="00000000" w:rsidR="00000000" w:rsidRPr="00000000">
        <w:rPr>
          <w:rtl w:val="0"/>
        </w:rPr>
      </w:r>
    </w:p>
    <w:sectPr>
      <w:footerReference r:id="rId12" w:type="default"/>
      <w:pgSz w:h="16838" w:w="11906" w:orient="portrait"/>
      <w:pgMar w:bottom="1124" w:top="1417" w:left="1417" w:right="56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5"/>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6"/>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widowControl w:val="0"/>
      <w:ind w:left="157"/>
    </w:pPr>
    <w:rPr>
      <w:rFonts w:ascii="Arial" w:cs="Arial" w:eastAsia="Arial" w:hAnsi="Arial"/>
      <w:b w:val="1"/>
      <w:bCs w:val="1"/>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lexisnexis.com/fr/droit/search/runRemoteLink.do?langcountry=FR&amp;linkInfo=F%23FR%23fr_code%23art%25L.+237-14%25article%25L.+237-14%25title%25Code+de+commerce%25&amp;risb=21_T17814380271&amp;bct=A&amp;service=citation&amp;A=0.7654550021251147" TargetMode="External"/><Relationship Id="rId10" Type="http://schemas.openxmlformats.org/officeDocument/2006/relationships/hyperlink" Target="http://www.lexisnexis.com/fr/droit/search/runRemoteLink.do?langcountry=FR&amp;linkInfo=F%23FR%23fr_acts%23enactdate%2519670323%25acttype%25D%C3%A9cret%25art%2512%25article%2512%25sel1%251967%25&amp;risb=21_T17814380271&amp;bct=A&amp;service=citation&amp;A=0.6603127027301221" TargetMode="External"/><Relationship Id="rId12" Type="http://schemas.openxmlformats.org/officeDocument/2006/relationships/footer" Target="footer1.xml"/><Relationship Id="rId9" Type="http://schemas.openxmlformats.org/officeDocument/2006/relationships/hyperlink" Target="http://www.lexisnexis.com/fr/droit/search/runRemoteLink.do?langcountry=FR&amp;linkInfo=F%23FR%23fr_code%23art%25L.+222-6%25article%25L.+222-6%25title%25Code+de+commerce%25&amp;risb=21_T17814380271&amp;bct=A&amp;service=citation&amp;A=0.386254103256545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lexisnexis.com/fr/droit/search/runRemoteLink.do?langcountry=FR&amp;linkInfo=F%23FR%23fr_code%23art%25L.+222-1%25article%25L.+222-1%25title%25Code+de+commerce%25&amp;risb=21_T17814380271&amp;bct=A&amp;service=citation&amp;A=0.6928433519136172" TargetMode="External"/><Relationship Id="rId8" Type="http://schemas.openxmlformats.org/officeDocument/2006/relationships/hyperlink" Target="https://www.dalloz-avocats.fr/documentation/FollowingDocument?id=CODE_CCIV_ARTI_1690&amp;ctxts=UGFzc3dvcmREaWdlc3Q9J051Ky92ZSsvdlRZUWRXOHR4SzN2djcwejc3Kzk3Nys5RHd2dnY3MUVXMk09JywgTm9uY2U9J3phMU83Nys5NzcrOUllKy92UndSNzcrOUVYb203Nys5NzcrOTc3KzlLbXBBUVE9PScsIENyZWF0ZWQ9JzA3LzAzLzIwMTggMTQ6MDk6NTcn&amp;FromId=Z5M162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LN32DzaQ6F1516cmvva7rObnnw==">CgMxLjA4AHIhMV9kaG9yQlFJS1hvUUdtU2ZzYzRrWGhTS2Y4VnRqTkls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2026-06-08T10:58:47Z</dcterms:modified>
  <dc:creator/>
  <dc:subject/>
  <dc:description/>
  <cp:keywords/>
  <cp:category/>
  <cp:contentStatus/>
  <dc:identifier/>
  <cp:version/>
</cp:coreProperties>
</file>