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[denomination_societe]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[forme_sociale]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Au capital de [capital_social]</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      Siège social : [adresse_siege]</w:t>
      </w:r>
      <w:r w:rsidDel="00000000" w:rsidR="00000000" w:rsidRPr="00000000">
        <w:rPr>
          <w:rtl w:val="0"/>
        </w:rPr>
      </w:r>
    </w:p>
    <w:p w:rsidR="00000000" w:rsidDel="00000000" w:rsidP="00000000" w:rsidRDefault="00000000" w:rsidRPr="00000000" w14:paraId="00000007">
      <w:pPr>
        <w:ind w:left="1416" w:firstLine="707.9999999999998"/>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Les soussignées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société [denomination_societe_associe_1], [forme_sociale_societe_associe_1], au capital de [capital_social_societe_associe_1], société sise [adresse_siege_societe_associe_1], immatriculée au RCS de [ville_rcs_societe_associe_1] sous le numéro [numero_rcs_societe_associe_1] représentée par son [fonction_representant_societe_associe_1], [civilite_personne_2] [prenom_personne_2] [nom_personne_2]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[civilite_personne_1] [prenom_personne_1] [nom_personne_1] né le [date_naissance_personne_1] à [ville_naissance_personne_1] ([departement_naissance_personne_1]), de nationalité [nationalite_personne_1], demeurant [adresse_personne_1], [situation_maritale_personne_1],</w:t>
      </w:r>
      <w:r w:rsidDel="00000000" w:rsidR="00000000" w:rsidRPr="00000000">
        <w:rPr>
          <w:rtl w:val="0"/>
        </w:rPr>
      </w:r>
    </w:p>
    <w:p w:rsidR="00000000" w:rsidDel="00000000" w:rsidP="00000000" w:rsidRDefault="00000000" w:rsidRPr="00000000" w14:paraId="00000010">
      <w:pPr>
        <w:ind w:left="709"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Agissant en qualité d’associés commanditaires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699"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[civilite_personne_2] [prenom_personne_2] [nom_personne_2], né le [date_naissance_personne_2] à [ville_naissance_personne_2] ([pays_naissance_personne_2]), de nationalité [nationalite_personne_2], demeurant [adresse_personne_2], [situation_maritale_personne_2],</w:t>
      </w: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Agissant en qualité d’associé commandité</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br w:type="textWrapping"/>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Ont établi, ainsi qu'il suit, les statuts d'une société en commandite simple qu'ils ont convenu de constituer entre eux.</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Il est rappelé que le choix de la forme de société en commandite a été retenue parce qu’elle permet un certain nombre d’avantages que ne procurent pas les autres formes de société en ce qu’elle permet de cumuler la sécurité financière pour les associés commanditaires et la confidentialité des comptes sociaux au bénéfice de tous les associés.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En outre, c’est la seule forme sociale qui permet aux associés dit commandités, une fois les statuts aménagés pour cela, de conserver la main sur l’outil social, tout en ne disposant pas de la majorité du capital.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[denomination_societe]</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[forme_sociale]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Au capital de [capital_social]</w:t>
      </w:r>
    </w:p>
    <w:p w:rsidR="00000000" w:rsidDel="00000000" w:rsidP="00000000" w:rsidRDefault="00000000" w:rsidRPr="00000000" w14:paraId="0000002C">
      <w:pPr>
        <w:rPr>
          <w:b w:val="1"/>
          <w:bCs w:val="1"/>
        </w:rPr>
      </w:pPr>
      <w:r w:rsidDel="00000000" w:rsidR="00000000" w:rsidRPr="00000000">
        <w:rPr>
          <w:b w:val="1"/>
          <w:bCs w:val="1"/>
          <w:rtl w:val="0"/>
        </w:rPr>
        <w:t xml:space="preserve">      </w:t>
        <w:tab/>
        <w:tab/>
        <w:tab/>
        <w:t xml:space="preserve">Siège social : [adresse_siege]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2E">
      <w:pPr>
        <w:ind w:left="1416" w:firstLine="707.9999999999998"/>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1" w:lineRule="auto"/>
        <w:ind w:left="1455" w:right="0" w:firstLine="669"/>
        <w:jc w:val="left"/>
        <w:rPr>
          <w:rFonts w:ascii="Times New Roman" w:cs="Times New Roman" w:eastAsia="Times New Roman" w:hAnsi="Times New Roman"/>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0">
      <w:pPr>
        <w:ind w:left="1416" w:firstLine="707.9999999999998"/>
        <w:rPr>
          <w:b w:val="1"/>
          <w:bCs w:val="1"/>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STATUTS</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Titre I. – Forme. Objet. Raison sociale. Siège. Durée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1. – Forme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Il est formé entre les soussignés, une société en commandite simple qui existera entre les propriétaires des parts ci-après créées, et de celles qui pourront l'être ultérieurement.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Cette société sera régie par les </w:t>
      </w:r>
      <w:hyperlink r:id="rId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articles L. 222-1 à L. 222-12  et R222-1 à R222-3 du Code de commerce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et par les dispositions non contraires des articles L. 221-1 à L. 221-16 du même code, ainsi que par les présents statuts.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2. – Objet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société a pour objet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les opérations d’acquisition, d'administration et de gestion par bail, location ou toute autre forme, de cession, de tous immeubles et biens immobiliers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toutes autres opérations financières, mobilières ou immobilières de caractère purement civil se rattachant directement ou indirectement à cet objet et susceptibles d'en favoriser la réalisation.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3. – Dénomination sociale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dénomination sociale est :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[denomination_societe]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Dans tous les actes et documents émanant de la Société et destinés aux tiers, notamment les lettres, factures, annonces et publications diverses, cette dénomination devra être immédiatement précédée ou suivie des mots « Société en commandite simple » ou des initiales « SCS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4. – Siège social</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t xml:space="preserve">Le siège social est fixé à : [adresse_siege].</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Il peut être transféré dans tout autre lieu du même département par simple décision de la gérance et partout ailleurs par décision collective extraordinaire des associés.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5. – Durée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durée de la société est fixée à 99 années à compter de son immatriculation au registre du commerce et des sociétés, sauf dans les cas de dissolution anticipée et de prorogation ci-après.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Titre Il. – Apports. Capital social. Parts sociales.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6. – Apports. Déclarations.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Les soussignés, tous susnommés, font à la société les apports suivants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426"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[denomination_societe_associe_1] la somme de [apport_lettres_societe_associe_1], ci               [apport_societe_associe_1]</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426"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[civilite_personne_1] [prenom_personne_1] [nom_personne_1] , la somme de [apport_lettres_personne_1], ci                                 [apport_personne_1]</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426"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426"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142"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[civilite_personne_2] [prenom_personne_2] [nom_personne_2], la somme de [apport_lettres_personne_2], ci</w:t>
        <w:tab/>
        <w:t xml:space="preserve">                            [apport_personne_2]</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142"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Total des apports en numéraire :  [capital_lettres], ci                                              [capital_social]</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ab/>
        <w:tab/>
        <w:tab/>
        <w:tab/>
        <w:tab/>
        <w:tab/>
        <w:tab/>
        <w:tab/>
        <w:t xml:space="preserve">                                    =====</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t xml:space="preserve">Ces sommes seront versées après l’immatriculation de la société au registre du commerce sur appel de fonds du gérant.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7. – Capital social</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Le capital social, formé par les apports constatés à l'article 6 ci-dessus, s'élève à la somme de [capital_lettres] (soit [capital_social]). Il est divisé en [nb_parts_total_lettres] parts sociales d’un [valeur_nominale_part_lettres] chacune, attribuées aux associés dans la proportion de leurs apports, à savoir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En tant qu'associé commandité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à [civilite_personne_2] [prenom_personne_2] [nom_personne_2], [nb_parts_lettres_personne_2] parts numérotées de [plage_parts_personne_2]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En tant qu'associé commanditaire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à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[denomination_societe_associe_1] [nb_parts_lettres_societe_associe_1] parts numérotées de [plage_parts_societe_associe_1]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à [civilite_personne_1] [prenom_personne_1] [nom_personne_1] [nb_parts_lettres_personne_1] parts numérotées de [plage_parts_personne_1].</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Total égal au nombre de parts sociales composant le capital social : [nb_parts_total_lettres] parts.</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Le capital social pourra être modifié, conformément aux prescriptions légales, mais à tout moment ce capital doit être entièrement souscrit par les associés.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8. – Constatation de la propriété des parts sociales., rompus et responsabilité de associes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8.1. – Les parts sociales ne sont pas négociables. Leur propriété résulte seulement des statuts de la société, des actes qui les modifient, des cessions et des mutations ultérieures, le tout régulièrement consenti, constaté et publié.</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Les cessions et mutations entre vifs sont constatées par acte authentique ou sous seings privés.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Pour être opposables à la société les actes de cessions de parts devront être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signifiées conformément à l'article </w:t>
      </w:r>
      <w:hyperlink r:id="rId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1690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du code civil ou acceptées par elle dans un acte authentique. Toutefois, la signification peut être remplacée par le dépôt d'un original de l'acte de cession au siège social contre remise par le gérant d'une attestation de ce dépôt.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Elles ne sont opposables aux tiers qu'après accomplissement des formalités qui précèdent, et après publication conformément à la loi.</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Chaque part de capital est indivisible à l'égard de la société. Dans les diverses manifestations de la vie sociale, les propriétaires indivis de parts sociales sont représentés par un mandataire unique.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8.2. – Si des parts sociales viennent à former rompus, à l'occasion d'une opération quelconque, les associés doivent faire leur affaire personnelle de toute acquisition ou cession de parts ou droits nécessaire pour supprimer les rompus.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gérance peut mettre en demeure les associés concernés de rendre les cessions nécessaires opposables à la société, dans un délai qu'elle fixe, et ceci sous peine d'astreinte à fixer par le juge.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8.3. – Les parts sociales représentatives d'apports en industrie, s'il en existe, sont incessibles. Elles ne concourent pas à la formation du capital.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Au décès, ou en cas de retrait de leur titulaire, pour quelque cause que ce soit, elles sont annulées purement et simplement avec les effets par ailleurs éventuellement stipulés.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8.4 - Les associés commanditaires ne sont responsables vis à vis des tiers et des créanciers sociaux qu'à concurrence des leurs apports. Mais chacun des associés commandités est tenu indéfiniment et solidairement, quel que soit le nombre de ses parts, des engagements pris par une délibération collective ou par le gérant lorsque les actes accomplis par lui entrent dans l'objet social. Cependant, les créanciers de la Société ne pourront poursuivre le paiement des dettes sociales contre un associé que huit jours après avoir vainement mis en demeure celle-ci par acte extrajudiciaire.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9. – Cessions et transmissions de parts sociales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Les parts sociales ne peuvent être cédées, soit entre associés, soit à des tiers, qu'avec le consentement de tous les associés.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Les cessions de parts doivent être constatées par écrit. Le prix de cession est fixé de gré à gré.</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Elles ne sont opposables à la Société qu'après lui avoir été signifiées par acte extrajudiciaire ou avoir été acceptées par elle dans un acte notarié, conformément aux stipulations de l'article 1690 du Code civil.</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Toutefois la signification peut être remplacée par le dépôt d'un original de l'acte de cession au siège social contre remise par le gérant d'une attestation de ce dépôt.</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cession n'est opposable aux tiers qu'après accomplissement de cette formalité et après publication conformément à la loi.</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En cas de dissolution de la communauté pouvant exister entre l'un des associés et son conjoint, du vivant de cet associé, ce dernier reste seul associé pour la totalité des parts communes.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Il fera son affaire personnelle du règlement des droits qui peuvent appartenir à son conjoint</w:t>
      </w:r>
      <w:r w:rsidDel="00000000" w:rsidR="00000000" w:rsidRPr="00000000">
        <w:rPr>
          <w:rFonts w:ascii="Times New Roman" w:cs="Times New Roman" w:eastAsia="Times New Roman" w:hAnsi="Times New Roman"/>
          <w:b w:val="0"/>
          <w:bCs w:val="0"/>
          <w:i w:val="0"/>
          <w:iCs w:val="0"/>
          <w:smallCaps w:val="0"/>
          <w:strike w:val="0"/>
          <w:color w:val="000000"/>
          <w:sz w:val="37"/>
          <w:szCs w:val="37"/>
          <w:u w:val="none"/>
          <w:vertAlign w:val="baseline"/>
          <w:rtl w:val="0"/>
        </w:rPr>
        <w:t xml:space="preserve">.</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7"/>
          <w:szCs w:val="37"/>
          <w:u w:val="none"/>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Société ne sera pas dissoute de plein droit par le décès d'un ou de plusieurs associés.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Elle continuera avec les associés survivants, et la Société sera débitrice envers les héritiers de l'associé décédé de la valeur de ses droits sociaux évalués conformément aux dispositions de l'article 1843-4 du Code civil.</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Titre III. – Administration de la société. Gérance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10. – Nomination et révocation des gérants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Société est gérée et administrée par tous les associés commandités. La révocation de l'un d'eux de ses fonctions de gérant ne pourra être décidée qu'à l'unanimité de tous les associés de la société. Elle entraînera la dissolution de la Société, à moins que les associés restants ne décident à l’unanimité de sa continuation. Dans ce dernier cas, le gérant révoqué pourra demander le remboursement de ses droits sociaux, dont la valeur sera déterminée conformément à l'article 1843-4 du Code civil.</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En cas de révocation, l'ancien gérant peut exiger par toute voie de droit la modification statutaire et requérir toute publicité rendue nécessaire, suite à l'évènement intervenu.</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11. – Pouvoirs des gérants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11.1. – Dans les rapports avec les tiers, le gérant ou chacun des gérants engage la société par les actes entrant dans l'objet social.</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L'opposition formée par un gérant aux actes d'un autre gérant est sans effet à l'égard des tiers, à moins qu'il ne soit établi qu'ils en ont eu connaissance.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12. – Responsabilité des gérants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responsabilité du gérant ou de chacun des gérants est engagée dans les conditions de droit commun pour toute société commerciale.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13. – Rémunération des gérants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Il peut être attribué une rémunération aux gérants ou à chaque gérant, par décision collective des associés prise à la majorité de plus de la moitié des voix dont dispose l'ensemble des associés membres de la société.</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Chacun des gérants a droit au remboursement de ses frais de représentation et de déplacement sur justification.</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14. – Assiduité des gérants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Chaque gérant consacre le temps et les soins nécessaires à la gestion sociale.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15. – Démission d'un gérant</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singl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15.1. – Démission</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démission d'un gérant ne met pas fin à la société.</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Elle n'est recevable que pour juste motif et doit être notifiée à chacun des associés, par lettre recommandée avec demande d'avis de réception, trois mois au moins avant la clôture d'un exercice ; si elle est agréée par l'unanimité des autres associés, elle prend effet à l'issue de cette clôture.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démission du gérant unique n'est effective que sous condition de la désignation d'un nouveau gérant.</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singl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15.2. – Modification des statuts corrélative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En cas de démission, l'ancien gérant peut exiger par toute voie de droit la modification statutaire et requérir toute publicité rendue nécessaire, suite à l'évènement intervenu.</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Titre IV. – Comptes courants d'associés Non-concurrence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16. – Avance de fonds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Dans le respect de la réglementation en vigueur, un associé ou un gérant peut, avec l'accord de la collectivité des associés, mettre des fonds à la disposition de la société.</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Sauf décision contraire des associés, ces fonds produisent des intérêts au taux légal, et les sommes ne sont restituables qu'avec un préavis minimum d’un mois.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17. – Non-concurrence</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Un gérant ou un associé commandité ne peut accomplir d'acte de concurrence, pendant l'exercice de son mandat ou son appartenance à la société, ni pendant les deux années consécutives à sa cessation.</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18. – Non-ingérence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L'associé commanditaire ne peut faire aucun acte de gestion externe, même en vertu d'un pouvoir, sauf à devenir responsable des dettes et engagements, dans les conditions prévues à l'</w:t>
      </w:r>
      <w:hyperlink r:id="rId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article L. 222-6 du Code de commerce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Titre V. – Décisions collectives d'associés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19. – Décisions collectives – Nature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Par décision collective, les associés : </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approuvent chaque année : le rapport de gestion, l'inventaire et les comptes annuels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fixent l’affectation du résultat ;</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donnent toutes autorisations à la gérance pour la réalisation de toutes opérations qui ne sont pas de la compétence de cette dernière ;</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désignent, quand il y a lieu, le ou les liquidateurs.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modifient les statuts dans toutes leurs dispositions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autorisent toutes cessions des parts sociales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nomment les gérants ; révoquent les gérants et fixent la rémunération des gérants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se prononcent sur la nationalité de la société, sur la transformation de la société en société d'une autre forme, civile ou commerciale ; sur la dissolution anticipée ou sur la prorogation de la société, sur toute opération de fusion, de scission ou d'apport partiel d'actif dans laquelle la société serait partie prenante, soit comme apporteur, soit comme bénéficiaire des apports.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20. – Décisions collectives. Mode d'intervention</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20.1. – Les décisions collectives des associés s'expriment : </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soit par la participation de tous les associés à un même acte ;</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soit par le moyen d'une consultation écrite ;</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soit en assemblée.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réunion d'une assemblée est obligatoire pour l'approbation des comptes annuels, ou encore lorsqu'elle est demandée soit par un associé commandité, soit par le quart en nombre et en capital des commanditaires, par lettre recommandée adressée à la gérance.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Sous ces réserves, la gérance décide de l'opportunité du mode d'intervention des décisions collectives ; toutefois, en cas de cessation des fonctions d'un gérant unique pour quelque cause que ce soit, l'assemblée est valablement convoquée par le plus diligent des associés en vue de pourvoir au remplacement.</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20.2. – En cas de consultation par écrit, la gérance adresse au dernier domicile connu de chacun des associés, par lettre recommandée, le rapport de gestion, le texte des résolutions proposées par elle ou par tout autre associé.</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Dans un délai de quinze jours à compter de l'envoi de la lettre recommandée, les associés doivent adresser à la gérance leur acceptation ou leur refus par pli recommandé. Le vote est formulé par l'inscription au bas de chaque résolution de la mention "adoptée" ou "rejetée".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Tout associé qui n'aura pas adressé sa réponse dans le délai ci-dessus sera considéré comme s'étant abstenu.</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20.3. – Les associés sont convoqués à l'assemblée quinze jours au moins à l'avance, par lettre recommandée adressée à leur dernier domicile connu.</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convocation fait connaître l'ordre du jour, les, lieu, jour et heure de la réunion. Il y est annexé le rapport de gestion et le texte des résolutions proposées par la gérance ou par tout associé.</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Lorsque l'assemblée doit se prononcer sur l'approbation des comptes annuels, il est en outre annexé à la convocation les comptes annuels. De plus, pendant le délai de quinze jours qui précède l'assemblée, l'inventaire est tenu, au siège social, à la disposition des associés qui peuvent en prendre copie. Les dispositions du présent alinéa, ainsi que celles relatives à l'envoi du rapport et du texte des résolutions proposées ne sont pas applicables lorsque tous les associés sont gérants.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Tout associé peut poser par écrit des questions, à compter de la communication des documents dont la mise à disposition est prévue en cas de réunion d'une assemblée ; la gérance doit y répondre au cours de l'assemblée.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L'assemblée est présidée par le gérant ou, s'ils sont plusieurs, par le plus âgé des gérants présents à la réunion. L'assemblée peut désigner un secrétaire associé ou non.</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Tout associé peut se faire représenter aux réunions par un autre associé justifiant d'un pouvoir spécial. Un associé ne peut représenter qu'un seul de ses coassociés. </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Lorsque les parts sociales sont grevées d’un usufruit le droit de vote appartient au nu propriétaire sauf pour les décisions relatives à l’affectation des résultats où il est exercé par l'usufruitier.</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20.4. – Toute délibération est constatée par un procès-verbal qui indique la date et le lieu de réunion, les nom et prénoms des associés présents, les documents et rapports soumis à discussion, un résumé des débats, le texte des résolutions mises aux voix et le résultat des votes. Le procès-verbal doit être signé par chacun des associés présents.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Lorsque tous les associés sont gérants, seules les délibérations dont l'objet excède les pouvoirs reconnus aux gérants sont soumises aux dispositions de l'alinéa précédent.</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En cas de consultation écrite, il en est fait mention dans le procès-verbal auquel est annexée la réponse de chaque associé et qui est signé par les gérants.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Lorsqu'une décision est constatée dans un acte ou un procès-verbal notarié, celui-ci doit être transcrit ou mentionné sur le registre spécial et sous la forme d'un procès-verbal dressé et signé par les gérants.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Les copies ou extraits des procès-verbaux des délibérations des associés sont valablement certifiés conformes par un gérant. Au cours de la liquidation de la société, leur certification est valablement effectuée par un seul liquidateur.</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20.5. – Les procès-verbaux prévus au paragraphe 20.4. ci-dessus sont établis sur un registre spécial tenu au siège social, et coté et paraphé par un juge du Tribunal de Commerce, dans la forme ordinaire et sans frais.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Ils peuvent toutefois être établis sur des feuilles mobiles numérotées sans discontinuité, paraphées dans les mêmes conditions prévues à l'alinéa précédent et revêtues du sceau de l'autorité qui les a paraphées. Dès qu'une feuille a été remplie, même partiellement, elle doit être jointe à celles précédemment utilisées. Toute addition, suppression, substitution ou interversion de feuilles est interdite.</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21. – Décisions collectives. Conditions de majorité</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Les décisions relevant de la collectivité des associés sont prises dans les conditions de majorité suivantes : </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à l'unanimité, s'il s'agit d'un changement de nationalité de la société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aux conditions visées à l'article 9 ci-dessus, s'agissant de l'agrément d'associés.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-aux conditions visées à l'article 10, 13 et 15 ci-dessus, s'agissant des éventuelles rémunérations, démission et révocation des gérants.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à l'unanimité des commandités, et à la majorité en nombre et en capital des associés commanditaires, dans tous les autres cas.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Titre VI. – Exercice social. Comptes sociaux Contrôle des comptes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22. – Exercice social</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L'exercice social commence le 1er janvier et finit le 31 décembre de chaque année.</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Par exception, le premier exercice commencera à la constitution de la société, pour se terminer le [date_cloture_exercice_1].</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23. – Établissement et approbation des comptes sociaux</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23.1. – Les écritures de la société sont tenues conformément aux lois et usages du commerce. À la clôture de chaque exercice, la gérance dresse l'inventaire des divers éléments de l'actif et du passif existant à cette date, les comptes annuels conformément aux dispositions du titre II du livre 1er du Code de commerce, et un rapport de gestion écrit sur la situation de la société durant l'exercice écoulé, son évolution prévisible, les événements importants survenus entre la date de la clôture de l'exercice et la date à laquelle il est établi, ses activités en matière de recherche et de développement.</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présentation des comptes annuels, comme les méthodes d'évaluation retenues, ne peuvent être modifiées d'un exercice à l'autre, à moins qu'un changement exceptionnel intervienne dans la situation de la société ; dans ce dernier cas, les modifications intervenues devront être décrites et justifiées dans l'annexe, ainsi que dans le rapport de gestion.</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L'inventaire, les comptes annuels et le rapport de gestion sont soumis à l'approbation de l'assemblée des associés, dans le délai de six mois à compter de la clôture dudit exercice.</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À cette fin, lesdits documents, ainsi que le texte des résolutions proposées, sont communiqués aux associés, lorsque tous les associés ne sont pas gérants, dans les conditions de l'</w:t>
      </w:r>
      <w:hyperlink r:id="rId1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article  </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R 221-7 du Code de Commerce.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23.2. – Dans les sociétés venant à répondre à deux des critères définis par décret et dépendant du nombre de salariés, du chiffre d'affaires et éventuellement de la nature de l'activité, la gérance est tenue d'établir les documents suivants : </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situation de l'actif réalisable et disponible, valeurs d'exploitation exclues, et du passif exigible ;</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compte de résultat prévisionnel ;</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tableau de financement ;</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plan de financement prévisionnel.</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Ces documents sont analysés dans les rapports écrits sur l'évolution de la société, établis par la gérance et communiqués, le cas échéant, au commissaire aux comptes et au comité social et économique.</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En cas de non-observation de ces dispositions, ou si les informations données dans les rapports appellent des observations de sa part, le commissaire aux comptes le signale dans un rapport au gérant ou dans un rapport annuel. Il peut demander que son rapport soit adressé aux associés ou communiqué à l'assemblée. Il en est donné connaissance au comité social et économique, le cas échéant.</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24. – Contrôle par les associés et les commissaires aux comptes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24.1. – Tout associé non-gérant, s'il en existe, a le droit, deux fois par an, de prendre par lui-même, au siège social, connaissance des livres de commerce et de comptabilité, des contrats, factures, correspondances, procès-verbaux et, plus généralement, de tout document établi par la société ou reçu par elle. Ce droit emporte celui de prendre copie. L'associé peut se faire assister d'un expert, choisi sur une des listes établies par les cours et tribunaux.</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L'associé non-gérant peut également poser par écrit à la gérance, deux fois par an, des questions sur la gestion sociale auxquelles il doit être répondu également par écrit.</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Deux fois par exercice, tout associé non-gérant peut poser par écrit des questions au gérant sur tout fait de nature à compromettre la continuité de l'exploitation.</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réponse du gérant est communiquée, le cas échéant, au commissaire aux comptes.</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24.2. – Par décision collective, les associés peuvent nommer un ou plusieurs commissaires aux comptes, titulaires et suppléants. Ils doivent désigner au moins un commissaire aux comptes titulaire et un suppléant, si la société vient à dépasser, à la clôture d'un exercice, des chiffres fixés par décret en Conseil d'État pour deux des critères suivants : le total du bilan, le montant hors taxes de son chiffre d'affaires ou le nombre moyen de ses salariés au cours d'un exercice.</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Titre VII. – Affectation. Répartition des résultats</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25. – Droits pécuniaires attachés aux parts sociales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37">
      <w:pPr>
        <w:jc w:val="both"/>
        <w:rPr/>
      </w:pPr>
      <w:r w:rsidDel="00000000" w:rsidR="00000000" w:rsidRPr="00000000">
        <w:rPr>
          <w:rtl w:val="0"/>
        </w:rPr>
        <w:t xml:space="preserve">Conformément à l’article L 222-4, 3° du Code de commerce, et eu égard aux risques assumés par les commandités, ainsi qu’à ce qui a été convenu entre les parties dans le préambule des présents statuts, la part globale des commandités et commanditaires dans les résultats, les réserves et le boni de liquidation sont répartis entre eux de la façon suivante :  </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Résultats courants :</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Associés commanditaires : 5% ;</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Associés commandités :   95% ; </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Résultats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exceptionnels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Associés commanditaires : 95% ;</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Associés commandités :       5%.</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Cette répartition a pour but de rémunérer chaque groupe d’associés en fonction de la valeur ajoutée qu’il amène aux opérations développées par la société. Plus précisément :</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46">
      <w:pPr>
        <w:ind w:right="141"/>
        <w:rPr>
          <w:b w:val="1"/>
          <w:bCs w:val="1"/>
        </w:rPr>
      </w:pPr>
      <w:r w:rsidDel="00000000" w:rsidR="00000000" w:rsidRPr="00000000">
        <w:rPr>
          <w:b w:val="1"/>
          <w:bCs w:val="1"/>
          <w:rtl w:val="0"/>
        </w:rPr>
        <w:t xml:space="preserve">- si les commanditaires ont droit à la quasi-totalité du résultat courant ; c’est en contrepartie de leurs apports financiers,</w:t>
      </w:r>
    </w:p>
    <w:p w:rsidR="00000000" w:rsidDel="00000000" w:rsidP="00000000" w:rsidRDefault="00000000" w:rsidRPr="00000000" w14:paraId="00000147">
      <w:pPr>
        <w:ind w:right="141"/>
        <w:rPr>
          <w:b w:val="1"/>
          <w:bCs w:val="1"/>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 si les commandités ont droit à la quasi-totalité des résultats exceptionnels, c’est en contrepartie de leur engagement à gérer au mieux pour le compte des commanditaires, les opérations développées par la société tout en engageant au bénéfice de ces dernières leur responsabilité indéfinie et solidaire.</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Chaque groupe d’associés assume sur sa part de résultat sa charge d’impôt sur les bénéfices. </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Une fois cette répartition effectuée entre chaque groupe d’associés, la quote-part de résultat attribuée à chaque groupe est répartie entre les membres de chaque groupe au prorata de leur nombre de parts sociales dans le groupe. </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En outre, chaque part sociale donne droit au remboursement du capital non amorti qu'elle représente.</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Les pertes, s'il en est constaté, sont supportées dans les mêmes proportions que la participation aux bénéfices.</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26. – Détermination des sommes distribuables</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Le bénéfice distribuable est constitué par le bénéfice de l'exercice, diminué des pertes antérieures et augmenté des reports déficitaires.</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Sont distribuables également toutes sommes portées en réserves ; toutefois, les dividendes sont prélevés par priorité sur les bénéfices distribuables de l'exercice.</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27. – Affectation des sommes distribuables</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Après approbation des comptes et constatation de sommes distribuables, l'assemblée détermine la part de ces sommes attribuées aux associés sous forme de dividendes.</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S'il y a lieu, l'assemblée affecte la part non distribuée du bénéfice de l'exercice dans les proportions qu'elle détermine, soit à un ou plusieurs fonds de réserves généraux ou spéciaux, qui restent à sa disposition, soit au compte "report à nouveau".</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Les pertes, s'il en est constaté, sont affectées au compte "report à nouveau" ou compensées avec les réserves existantes.</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28. – Mise en paiement des dividendes</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Les dividendes sont mis en paiement sur décision des gérants, dans un délai maximum de neuf mois après la clôture de l'exercice. Ce délai peut être prorogé par décision du juge.</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Titre VIII. – Transformation – Dissolution – Liquidation</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29. – Transformation</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transformation de la société en société d'une autre forme est décidée avec le consentement de tous les associés commandités, et à la majorité en nombre et en capital des commanditaires, sans que cette opération entraîne la création d'un être moral nouveau.</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Toutefois, la transformation de la société en société en nom collectif nécessite l'accord unanime de tous les associés, commandités et commanditaires</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vertAlign w:val="baseline"/>
          <w:rtl w:val="0"/>
        </w:rPr>
        <w:t xml:space="preserve">.</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30. – Dissolution</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30.1. – La société est dissoute à l'arrivée du terme, à défaut de prorogation.</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Un an au moins avant la date d'expiration de la société, la gérance devra provoquer une réunion de l'assemblée générale extraordinaire à l'effet de décider si la société doit être prorogée.</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30.2. – Décision des associés</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société peut également être dissoute par décision prise avec le consentement unanime des associés commandités, et la majorité en nombre et en capital des associés commanditaires.</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30.3. – Décès ou invalidité permanente d'un associé</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société continue malgré le décès d'un commanditaire.</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En cas de décès d'un commandité, la société continue avec ses héritiers, comme indiqué à l'article 9.</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Si l'associé décédé était le seul commandité, et si ses héritiers sont tous mineurs non émancipés, il est procédé à son remplacement par un nouvel associé commandité ou à la transformation de la société en SARL (ou : SA ou : SAS), dans le délai d'un an à compter du décès. À défaut, la société est dissoute de plein droit à compter de ce délai.</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L'incapacité physique, permanente et dûment constatée de l'un des associés est assimilée au décès.</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31. – Liquidation</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société est en liquidation dès l'instant de sa dissolution, pour quelque cause que ce soit. Sa dénomination sociale est alors suivie de la mention "société en liquidation".</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Cette mention, ainsi que le nom du liquidateur, doivent figurer sur tous les actes et documents émanant de la société et destinés aux tiers.</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personnalité morale de la société subsiste pour les besoins de la liquidation jusqu'à la clôture de celle-ci.</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32. – Désignation du liquidateur</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liquidation est assurée par le ou les gérants en exercice, lors de l'intervention de la dissolution.</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Les associés, à la diligence de l'un d'eux et à la majorité en nombre et en capital, désignent un ou plusieurs liquidateurs, lorsque aucun gérant en exercice n'accepte le mandat de liquidateur, ou lorsque le liquidateur vient à décéder, à démissionner ou est révoqué de ses fonctions.</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Sauf décision contraire des associés prise à la même majorité, les liquidateurs exercent leurs fonctions jusqu'à la clôture de la liquidation, à moins qu'ils n'aient été désignés, en application des dispositions des </w:t>
      </w:r>
      <w:hyperlink r:id="rId1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articles L. 237-14 et suivants du Code de commerce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auquel cas leurs fonctions ne peuvent excéder trois ans, sauf renouvellement dans les conditions fixées à l'article L. 237-21 du même code.</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Si la clôture de la liquidation n'est pas intervenue dans un délai de trois ans à compter de la dissolution, le Ministère Public ou tout intéressé est habilité à saisir le tribunal qui fait procéder à la liquidation, ou si celle-ci a été commencée, à son achèvement.</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33. – Produit de la liquidation</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Le produit net de la liquidation, après extinction du passif et des charges sociales, s'il atteint au moins le montant non amorti du capital social, est employé à rembourser en numéraire le montant non amorti des parts sociales.</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Le solde, s'il en existe un, constituant le boni de liquidation, est réparti en numéraire entre les associés, comme il est indiqué à l'article 25 des présents statuts.</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Si le produit net de la liquidation n'atteint pas au moins le montant non amorti du capital social, la différence constitue le mali de liquidation, lequel est entièrement supporté par les associés commandités.</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Si la liquidation laisse un reliquat de passif non remboursé, ce reliquat, majoré de la perte du capital social non amorti, constitue le mali de liquidation qui est supporté par les associés, dans les conditions précitées.</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Titre IX. – Divers</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34. – Fiscalité</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Les associés commandités seront assujettis à l’impôt sur le revenu et les associés commanditaires à l’impôt sur les sociétés.</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35. – Personnalité morale</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La société ne jouira de la personnalité morale qu'à dater de son immatriculation au registre du commerce et des sociétés.</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36. – Pouvoirs</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Tous pouvoirs sont conférés au porteur d'un original ou d'une copie des présentes, à l'effet d'accomplir toutes formalités auprès du greffe du tribunal de commerce de [ville_rcs].</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Article 37. – Contestations</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Toutes les contestations concernant les affaires sociales, l'interprétation ou l'exécution des présents statuts, qui pourraient s'élever entre les associés, ou ces derniers et la société, pendant la durée de celle-ci et de sa liquidation, seront portées devant les tribunaux compétents du siège social. En conséquence, tout associé devra faire élection de domicile dans le ressort du tribunal compétent du lieu du siège social et toutes assignations et significations seront régulièrement faites à ce domicile.</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ab/>
        <w:tab/>
        <w:tab/>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Titre X. - Premier Gérant</w:t>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Conformément à l’article 10 des présents statuts, le premier gérant est : </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[civilite_personne_2] [prenom_personne_2] [nom_personne_2] qui dit que rien ne s’oppose à cette prise de fonction et qui accepte le mandat.</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Fait à [lieu_signature]</w:t>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Le [date_signature]</w:t>
      </w: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En [nombre_exemplaires] exemplaires.</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[prenom_personne_2] [nom_personne_2] en tant que [qualite_associe_personne_2] ;</w:t>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La [denomination_societe_associe_1] en tant que [qualite_associe_societe_1]</w:t>
        <w:tab/>
        <w:tab/>
        <w:tab/>
        <w:tab/>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Le Gérant</w:t>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[civilite_personne_1] [prenom_personne_1] [nom_personne_1]  en tant que [qualite_associe_personne_1]</w:t>
      </w:r>
      <w:r w:rsidDel="00000000" w:rsidR="00000000" w:rsidRPr="00000000">
        <w:rPr>
          <w:rtl w:val="0"/>
        </w:rPr>
      </w:r>
    </w:p>
    <w:sectPr>
      <w:footerReference r:id="rId12" w:type="default"/>
      <w:pgSz w:h="16838" w:w="11906" w:orient="portrait"/>
      <w:pgMar w:bottom="1124" w:top="1417" w:left="1417" w:right="56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5"/>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6"/>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widowControl w:val="0"/>
      <w:ind w:left="157"/>
    </w:pPr>
    <w:rPr>
      <w:rFonts w:ascii="Arial" w:cs="Arial" w:eastAsia="Arial" w:hAnsi="Arial"/>
      <w:b w:val="1"/>
      <w:bCs w:val="1"/>
      <w:sz w:val="20"/>
      <w:szCs w:val="2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lexisnexis.com/fr/droit/search/runRemoteLink.do?langcountry=FR&amp;linkInfo=F%23FR%23fr_code%23art%25L.+237-14%25article%25L.+237-14%25title%25Code+de+commerce%25&amp;risb=21_T17814380271&amp;bct=A&amp;service=citation&amp;A=0.7654550021251147" TargetMode="External"/><Relationship Id="rId10" Type="http://schemas.openxmlformats.org/officeDocument/2006/relationships/hyperlink" Target="http://www.lexisnexis.com/fr/droit/search/runRemoteLink.do?langcountry=FR&amp;linkInfo=F%23FR%23fr_acts%23enactdate%2519670323%25acttype%25D%C3%A9cret%25art%2512%25article%2512%25sel1%251967%25&amp;risb=21_T17814380271&amp;bct=A&amp;service=citation&amp;A=0.6603127027301221" TargetMode="External"/><Relationship Id="rId12" Type="http://schemas.openxmlformats.org/officeDocument/2006/relationships/footer" Target="footer1.xml"/><Relationship Id="rId9" Type="http://schemas.openxmlformats.org/officeDocument/2006/relationships/hyperlink" Target="http://www.lexisnexis.com/fr/droit/search/runRemoteLink.do?langcountry=FR&amp;linkInfo=F%23FR%23fr_code%23art%25L.+222-6%25article%25L.+222-6%25title%25Code+de+commerce%25&amp;risb=21_T17814380271&amp;bct=A&amp;service=citation&amp;A=0.3862541032565454"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lexisnexis.com/fr/droit/search/runRemoteLink.do?langcountry=FR&amp;linkInfo=F%23FR%23fr_code%23art%25L.+222-1%25article%25L.+222-1%25title%25Code+de+commerce%25&amp;risb=21_T17814380271&amp;bct=A&amp;service=citation&amp;A=0.6928433519136172" TargetMode="External"/><Relationship Id="rId8" Type="http://schemas.openxmlformats.org/officeDocument/2006/relationships/hyperlink" Target="https://www.dalloz-avocats.fr/documentation/FollowingDocument?id=CODE_CCIV_ARTI_1690&amp;ctxts=UGFzc3dvcmREaWdlc3Q9J051Ky92ZSsvdlRZUWRXOHR4SzN2djcwejc3Kzk3Nys5RHd2dnY3MUVXMk09JywgTm9uY2U9J3phMU83Nys5NzcrOUllKy92UndSNzcrOUVYb203Nys5NzcrOTc3KzlLbXBBUVE9PScsIENyZWF0ZWQ9JzA3LzAzLzIwMTggMTQ6MDk6NTcn&amp;FromId=Z5M162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LN32DzaQ6F1516cmvva7rObnnw==">CgMxLjA4AHIhMV9kaG9yQlFJS1hvUUdtU2ZzYzRrWGhTS2Y4VnRqTkls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