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480" w:after="36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SUMÁRIO</w:t>
      </w:r>
    </w:p>
    <w:p>
      <w:pPr>
        <w:tabs>
          <w:tab w:val="left" w:pos="539" w:leader="none"/>
          <w:tab w:val="right" w:pos="9540" w:leader="dot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1. Introdução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left" w:pos="540" w:leader="none"/>
          <w:tab w:val="left" w:pos="960" w:leader="none"/>
          <w:tab w:val="left" w:pos="1200" w:leader="none"/>
          <w:tab w:val="right" w:pos="9540" w:leader="dot"/>
        </w:tabs>
        <w:spacing w:before="120" w:after="0" w:line="240"/>
        <w:ind w:right="0" w:left="53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1.1. Referências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left" w:pos="539" w:leader="none"/>
          <w:tab w:val="right" w:pos="9540" w:leader="dot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 Organização e Estilo do Código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left" w:pos="539" w:leader="none"/>
          <w:tab w:val="right" w:pos="9540" w:leader="dot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3. Comentários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left" w:pos="539" w:leader="none"/>
          <w:tab w:val="right" w:pos="9540" w:leader="dot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4. Nomeação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left" w:pos="539" w:leader="none"/>
          <w:tab w:val="right" w:pos="9540" w:leader="dot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5. Declaração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left" w:pos="539" w:leader="none"/>
          <w:tab w:val="right" w:pos="9540" w:leader="dot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6. Reutilização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left" w:pos="539" w:leader="none"/>
          <w:tab w:val="right" w:pos="9540" w:leader="dot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7. Tratamento de Erros e de Exceções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left" w:pos="539" w:leader="none"/>
          <w:tab w:val="right" w:pos="9540" w:leader="dot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9. Diretrizes Gerais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7"/>
        </w:numPr>
        <w:spacing w:before="480" w:after="360" w:line="240"/>
        <w:ind w:right="0" w:left="0" w:firstLine="0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numPr>
          <w:ilvl w:val="0"/>
          <w:numId w:val="7"/>
        </w:numPr>
        <w:spacing w:before="480" w:after="360" w:line="240"/>
        <w:ind w:right="0" w:left="0" w:firstLine="0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Este Guia de Desenvolvimento tem como objetivo fornecer uma referência clara e abrangente para os desenvolvedores que trabalham no projeto SVSA. Ele delineia as diretrizes, padrões e práticas recomendadas que devem ser seguidos durante o processo de desenvolvimento, assegurando a qualidade e a consistência do código.</w:t>
      </w:r>
    </w:p>
    <w:p>
      <w:pPr>
        <w:keepNext w:val="true"/>
        <w:numPr>
          <w:ilvl w:val="0"/>
          <w:numId w:val="9"/>
        </w:numPr>
        <w:spacing w:before="36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Referências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Guia - Oracle Java Code Conventions.pdf;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Guia - Padroes e Ferramentas para Projeto de Banco de Dados.pdf </w:t>
      </w:r>
    </w:p>
    <w:p>
      <w:pPr>
        <w:keepNext w:val="true"/>
        <w:numPr>
          <w:ilvl w:val="0"/>
          <w:numId w:val="9"/>
        </w:numPr>
        <w:spacing w:before="480" w:after="360" w:line="240"/>
        <w:ind w:right="0" w:left="0" w:firstLine="0"/>
        <w:jc w:val="both"/>
        <w:rPr>
          <w:rFonts w:ascii="Arial" w:hAnsi="Arial" w:cs="Arial" w:eastAsia="Arial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Organização e Estilo do Código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Tamanho de classe: não mais que 1000 linhas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Tamanho demétodo: não mais que 20 linhas</w:t>
      </w:r>
    </w:p>
    <w:p>
      <w:pPr>
        <w:keepNext w:val="true"/>
        <w:numPr>
          <w:ilvl w:val="0"/>
          <w:numId w:val="9"/>
        </w:numPr>
        <w:spacing w:before="480" w:after="360" w:line="240"/>
        <w:ind w:right="0" w:left="0" w:firstLine="0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Comentários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Java Doc de Classes</w:t>
      </w:r>
    </w:p>
    <w:p>
      <w:pPr>
        <w:spacing w:before="0" w:after="0" w:line="240"/>
        <w:ind w:right="0" w:left="708" w:firstLine="0"/>
        <w:jc w:val="both"/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</w:pPr>
      <w:r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  <w:t xml:space="preserve">/**</w:t>
      </w:r>
    </w:p>
    <w:p>
      <w:pPr>
        <w:spacing w:before="0" w:after="0" w:line="240"/>
        <w:ind w:right="0" w:left="708" w:firstLine="0"/>
        <w:jc w:val="both"/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</w:pPr>
      <w:r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  <w:t xml:space="preserve"> * &lt;Descrição da funcionalidade da Classe&gt;</w:t>
      </w:r>
    </w:p>
    <w:p>
      <w:pPr>
        <w:spacing w:before="0" w:after="0" w:line="240"/>
        <w:ind w:right="0" w:left="708" w:firstLine="0"/>
        <w:jc w:val="both"/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</w:pPr>
      <w:r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  <w:t xml:space="preserve"> * @author: &lt;Fulano da Silva&gt;</w:t>
      </w:r>
    </w:p>
    <w:p>
      <w:pPr>
        <w:spacing w:before="0" w:after="0" w:line="240"/>
        <w:ind w:right="0" w:left="708" w:firstLine="0"/>
        <w:jc w:val="both"/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</w:pPr>
      <w:r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  <w:t xml:space="preserve"> */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Java Doc de Métodos</w:t>
      </w:r>
    </w:p>
    <w:p>
      <w:pPr>
        <w:spacing w:before="0" w:after="0" w:line="240"/>
        <w:ind w:right="0" w:left="708" w:firstLine="0"/>
        <w:jc w:val="both"/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</w:pPr>
      <w:r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  <w:t xml:space="preserve">/**</w:t>
      </w:r>
    </w:p>
    <w:p>
      <w:pPr>
        <w:spacing w:before="0" w:after="0" w:line="240"/>
        <w:ind w:right="0" w:left="708" w:firstLine="0"/>
        <w:jc w:val="both"/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</w:pPr>
      <w:r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  <w:t xml:space="preserve"> * &lt;Descrição completa das funcionalidades do método&gt;</w:t>
      </w:r>
    </w:p>
    <w:p>
      <w:pPr>
        <w:spacing w:before="0" w:after="0" w:line="240"/>
        <w:ind w:right="0" w:left="708" w:firstLine="0"/>
        <w:jc w:val="both"/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</w:pPr>
      <w:r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  <w:t xml:space="preserve"> * @return &lt;tipo do retorno do método: String, int, etc&gt;</w:t>
      </w:r>
    </w:p>
    <w:p>
      <w:pPr>
        <w:spacing w:before="0" w:after="0" w:line="240"/>
        <w:ind w:right="0" w:left="708" w:firstLine="0"/>
        <w:jc w:val="both"/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</w:pPr>
      <w:r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  <w:t xml:space="preserve"> * @param &lt;parâmetro1&gt; &lt;Descrição do parâmetro&gt;</w:t>
      </w:r>
    </w:p>
    <w:p>
      <w:pPr>
        <w:spacing w:before="0" w:after="0" w:line="240"/>
        <w:ind w:right="0" w:left="708" w:firstLine="0"/>
        <w:jc w:val="both"/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</w:pPr>
      <w:r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  <w:t xml:space="preserve"> * @param &lt;parâmetro2&gt; &lt;Descrição do parâmetro&gt;</w:t>
      </w:r>
    </w:p>
    <w:p>
      <w:pPr>
        <w:spacing w:before="0" w:after="0" w:line="240"/>
        <w:ind w:right="0" w:left="708" w:firstLine="0"/>
        <w:jc w:val="both"/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</w:pPr>
      <w:r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  <w:t xml:space="preserve"> * @exception &lt;exceção retornada&gt; </w:t>
      </w: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Courier" w:hAnsi="Courier" w:cs="Courier" w:eastAsia="Courier"/>
          <w:color w:val="0070C0"/>
          <w:spacing w:val="0"/>
          <w:position w:val="0"/>
          <w:sz w:val="18"/>
          <w:shd w:fill="auto" w:val="clear"/>
        </w:rPr>
        <w:t xml:space="preserve"> */</w:t>
      </w:r>
    </w:p>
    <w:p>
      <w:pPr>
        <w:keepNext w:val="true"/>
        <w:numPr>
          <w:ilvl w:val="0"/>
          <w:numId w:val="18"/>
        </w:numPr>
        <w:spacing w:before="480" w:after="36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Nomeação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Arquivo Java</w:t>
      </w:r>
    </w:p>
    <w:p>
      <w:pPr>
        <w:numPr>
          <w:ilvl w:val="0"/>
          <w:numId w:val="20"/>
        </w:numPr>
        <w:spacing w:before="100" w:after="1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NomeClasse.java</w:t>
      </w:r>
    </w:p>
    <w:p>
      <w:pPr>
        <w:keepNext w:val="true"/>
        <w:numPr>
          <w:ilvl w:val="0"/>
          <w:numId w:val="20"/>
        </w:numPr>
        <w:spacing w:before="480" w:after="36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Declaração</w:t>
      </w:r>
    </w:p>
    <w:p>
      <w:pPr>
        <w:numPr>
          <w:ilvl w:val="0"/>
          <w:numId w:val="20"/>
        </w:numPr>
        <w:spacing w:before="100" w:after="1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Padrão de indentação de declaração de métodos:</w:t>
      </w:r>
    </w:p>
    <w:p>
      <w:pPr>
        <w:spacing w:before="0" w:after="0" w:line="240"/>
        <w:ind w:right="0" w:left="708" w:firstLine="0"/>
        <w:jc w:val="both"/>
        <w:rPr>
          <w:rFonts w:ascii="Courier" w:hAnsi="Courier" w:cs="Courier" w:eastAsia="Courier"/>
          <w:color w:val="auto"/>
          <w:spacing w:val="0"/>
          <w:position w:val="0"/>
          <w:sz w:val="18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18"/>
          <w:shd w:fill="auto" w:val="clear"/>
        </w:rPr>
        <w:t xml:space="preserve">someMethod(int anArg, Object anotherArg, String yetAnotherArg,</w:t>
      </w:r>
    </w:p>
    <w:p>
      <w:pPr>
        <w:spacing w:before="0" w:after="0" w:line="240"/>
        <w:ind w:right="0" w:left="1416" w:firstLine="0"/>
        <w:jc w:val="both"/>
        <w:rPr>
          <w:rFonts w:ascii="Courier" w:hAnsi="Courier" w:cs="Courier" w:eastAsia="Courier"/>
          <w:color w:val="auto"/>
          <w:spacing w:val="0"/>
          <w:position w:val="0"/>
          <w:sz w:val="18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18"/>
          <w:shd w:fill="auto" w:val="clear"/>
        </w:rPr>
        <w:t xml:space="preserve">     Object andStillAnother) {</w:t>
      </w:r>
    </w:p>
    <w:p>
      <w:pPr>
        <w:spacing w:before="0" w:after="0" w:line="240"/>
        <w:ind w:right="0" w:left="1416" w:firstLine="0"/>
        <w:jc w:val="both"/>
        <w:rPr>
          <w:rFonts w:ascii="Courier" w:hAnsi="Courier" w:cs="Courier" w:eastAsia="Courier"/>
          <w:color w:val="auto"/>
          <w:spacing w:val="0"/>
          <w:position w:val="0"/>
          <w:sz w:val="18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18"/>
          <w:shd w:fill="auto" w:val="clear"/>
        </w:rPr>
        <w:t xml:space="preserve">...</w:t>
      </w:r>
    </w:p>
    <w:p>
      <w:pPr>
        <w:spacing w:before="0" w:after="0" w:line="240"/>
        <w:ind w:right="0" w:left="0" w:firstLine="708"/>
        <w:jc w:val="both"/>
        <w:rPr>
          <w:rFonts w:ascii="Courier" w:hAnsi="Courier" w:cs="Courier" w:eastAsia="Courier"/>
          <w:color w:val="auto"/>
          <w:spacing w:val="0"/>
          <w:position w:val="0"/>
          <w:sz w:val="18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i/>
          <w:color w:val="0000FF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7"/>
        </w:numPr>
        <w:spacing w:before="480" w:after="360" w:line="240"/>
        <w:ind w:right="0" w:left="0" w:firstLine="0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Reutilização</w:t>
      </w:r>
    </w:p>
    <w:p>
      <w:pPr>
        <w:numPr>
          <w:ilvl w:val="0"/>
          <w:numId w:val="27"/>
        </w:numPr>
        <w:spacing w:before="100" w:after="1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Aplicar os padrões de atribuição de responsabilidade nas classes (ver padrões GRASP).</w:t>
      </w:r>
    </w:p>
    <w:p>
      <w:pPr>
        <w:keepNext w:val="true"/>
        <w:numPr>
          <w:ilvl w:val="0"/>
          <w:numId w:val="27"/>
        </w:numPr>
        <w:spacing w:before="480" w:after="360" w:line="240"/>
        <w:ind w:right="0" w:left="0" w:firstLine="0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Tratamento de Erros e de Exceções</w:t>
      </w:r>
    </w:p>
    <w:p>
      <w:pPr>
        <w:numPr>
          <w:ilvl w:val="0"/>
          <w:numId w:val="27"/>
        </w:numPr>
        <w:spacing w:before="100" w:after="10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Garantir que as exceções subam para a camada de apresentação, usando a clausula Trows nos métodos envolvidos.</w:t>
      </w:r>
    </w:p>
    <w:p>
      <w:pPr>
        <w:keepNext w:val="true"/>
        <w:spacing w:before="480" w:after="360" w:line="240"/>
        <w:ind w:right="0" w:left="0" w:firstLine="0"/>
        <w:jc w:val="both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Diretrizes Gerais</w:t>
      </w:r>
    </w:p>
    <w:p>
      <w:pPr>
        <w:keepNext w:val="true"/>
        <w:spacing w:before="480" w:after="36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 Padrões de Codificação: Adotar convenções de nomenclatura e estrutura de código consistentes com as diretrizes do projeto SVSA.</w:t>
      </w:r>
    </w:p>
    <w:p>
      <w:pPr>
        <w:keepNext w:val="true"/>
        <w:spacing w:before="480" w:after="36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 Controle de Versão: Utilizar o sistema de controle de versão para registrar alterações e facilitar a colaboração entre os desenvolvedores, seguindo as práticas do projeto SVSA.</w:t>
      </w:r>
    </w:p>
    <w:p>
      <w:pPr>
        <w:keepNext w:val="true"/>
        <w:spacing w:before="480" w:after="36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 Revisão de Código: Realizar revisões de código regulares para promover a qualidade e a troca de conhecimento entre a equipe.</w:t>
      </w:r>
    </w:p>
    <w:p>
      <w:pPr>
        <w:keepNext w:val="true"/>
        <w:spacing w:before="480" w:after="360" w:line="240"/>
        <w:ind w:right="0" w:left="0" w:firstLine="0"/>
        <w:jc w:val="both"/>
        <w:rPr>
          <w:rFonts w:ascii="Arial" w:hAnsi="Arial" w:cs="Arial" w:eastAsia="Arial"/>
          <w:i/>
          <w:color w:val="0000FF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9">
    <w:abstractNumId w:val="18"/>
  </w:num>
  <w:num w:numId="18">
    <w:abstractNumId w:val="12"/>
  </w:num>
  <w:num w:numId="20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