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№2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2022-02-05 14:33:48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2022-02-05 14:33:49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EPZ60V6VF+hwzWIfaGyHtE4OTN8=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nDxr0+FHGFaWy4FQ3QxuXm2UdUMYHyNqbJHwmoHe/+dFn+/beBQxUg==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EEZb/xEMrC42X08osicop50hNqM=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2022-02-05T14:33:55Z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EPZ60V6VF+hwzWIfaGyHtE4OTN8=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PJqiwSGtqWRVhh5nMEzIlKVUzNKnzoDAr/ptZwlkL49GTjTtSnm8K8JiXDEnH5Hs2W7RnskgFgi/pEzBesp0okKF+Ndnb+rqgDAt1Gm2tR07BsYG+z7PQw834lf137bao/pK4p6wZaKIp7joycj5jr7bxgnCjkh/DpvjNwD/DY0=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EEZb/xEMrC42X08osicop50hNqM=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2022-02-05T14:33:55Z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