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556B" w14:textId="77777777" w:rsidR="00746089" w:rsidRPr="00746089" w:rsidRDefault="00746089" w:rsidP="00746089">
      <w:pPr>
        <w:widowControl w:val="0"/>
        <w:autoSpaceDE w:val="0"/>
        <w:autoSpaceDN w:val="0"/>
        <w:spacing w:before="8" w:line="240" w:lineRule="auto"/>
        <w:rPr>
          <w:rFonts w:eastAsia="Times New Roman" w:cs="Times New Roman"/>
          <w:i/>
          <w:kern w:val="0"/>
          <w:sz w:val="24"/>
          <w14:ligatures w14:val="none"/>
        </w:rPr>
      </w:pPr>
    </w:p>
    <w:p w14:paraId="2625F145" w14:textId="77777777" w:rsidR="00746089" w:rsidRPr="000005A2" w:rsidRDefault="00746089" w:rsidP="00746089">
      <w:pPr>
        <w:widowControl w:val="0"/>
        <w:autoSpaceDE w:val="0"/>
        <w:autoSpaceDN w:val="0"/>
        <w:spacing w:line="240" w:lineRule="auto"/>
        <w:ind w:left="595" w:right="908"/>
        <w:jc w:val="center"/>
        <w:rPr>
          <w:rFonts w:eastAsia="Times New Roman" w:cs="Times New Roman"/>
          <w:b/>
          <w:spacing w:val="-2"/>
          <w:kern w:val="0"/>
          <w:sz w:val="24"/>
          <w14:ligatures w14:val="none"/>
        </w:rPr>
      </w:pPr>
      <w:r w:rsidRPr="00746089">
        <w:rPr>
          <w:rFonts w:eastAsia="Times New Roman" w:cs="Times New Roman" w:ascii="Times New Roman" w:hAnsi="Times New Roman"/>
          <w:b w:val="0"/>
          <w:kern w:val="0"/>
          <w:sz w:val="28"/>
          <w14:ligatures w14:val="none"/>
        </w:rPr>
        <w:t>МИНИСТЕРСТВО</w:t>
      </w:r>
      <w:r w:rsidRPr="00746089">
        <w:rPr>
          <w:rFonts w:eastAsia="Times New Roman" w:cs="Times New Roman" w:ascii="Times New Roman" w:hAnsi="Times New Roman"/>
          <w:b w:val="0"/>
          <w:spacing w:val="-12"/>
          <w:kern w:val="0"/>
          <w:sz w:val="28"/>
          <w14:ligatures w14:val="none"/>
        </w:rPr>
        <w:t xml:space="preserve"> </w:t>
      </w:r>
      <w:r w:rsidRPr="00746089">
        <w:rPr>
          <w:rFonts w:eastAsia="Times New Roman" w:cs="Times New Roman" w:ascii="Times New Roman" w:hAnsi="Times New Roman"/>
          <w:b w:val="0"/>
          <w:kern w:val="0"/>
          <w:sz w:val="28"/>
          <w14:ligatures w14:val="none"/>
        </w:rPr>
        <w:t>СЕЛЬСКОГО</w:t>
      </w:r>
      <w:r w:rsidRPr="00746089">
        <w:rPr>
          <w:rFonts w:eastAsia="Times New Roman" w:cs="Times New Roman" w:ascii="Times New Roman" w:hAnsi="Times New Roman"/>
          <w:b w:val="0"/>
          <w:spacing w:val="-11"/>
          <w:kern w:val="0"/>
          <w:sz w:val="28"/>
          <w14:ligatures w14:val="none"/>
        </w:rPr>
        <w:t xml:space="preserve"> </w:t>
      </w:r>
      <w:r w:rsidRPr="00746089">
        <w:rPr>
          <w:rFonts w:eastAsia="Times New Roman" w:cs="Times New Roman" w:ascii="Times New Roman" w:hAnsi="Times New Roman"/>
          <w:b w:val="0"/>
          <w:kern w:val="0"/>
          <w:sz w:val="28"/>
          <w14:ligatures w14:val="none"/>
        </w:rPr>
        <w:t>ХОЗЯЙСТВА</w:t>
      </w:r>
      <w:r w:rsidRPr="00746089">
        <w:rPr>
          <w:rFonts w:eastAsia="Times New Roman" w:cs="Times New Roman" w:ascii="Times New Roman" w:hAnsi="Times New Roman"/>
          <w:b w:val="0"/>
          <w:spacing w:val="-11"/>
          <w:kern w:val="0"/>
          <w:sz w:val="28"/>
          <w14:ligatures w14:val="none"/>
        </w:rPr>
        <w:t xml:space="preserve"> </w:t>
      </w:r>
      <w:r w:rsidRPr="00746089">
        <w:rPr>
          <w:rFonts w:eastAsia="Times New Roman" w:cs="Times New Roman" w:ascii="Times New Roman" w:hAnsi="Times New Roman"/>
          <w:b w:val="0"/>
          <w:kern w:val="0"/>
          <w:sz w:val="28"/>
          <w14:ligatures w14:val="none"/>
        </w:rPr>
        <w:t xml:space="preserve">РОССИЙСКОЙ </w:t>
      </w:r>
      <w:r w:rsidRPr="00746089">
        <w:rPr>
          <w:rFonts w:eastAsia="Times New Roman" w:cs="Times New Roman" w:ascii="Times New Roman" w:hAnsi="Times New Roman"/>
          <w:b w:val="0"/>
          <w:spacing w:val="-2"/>
          <w:kern w:val="0"/>
          <w:sz w:val="28"/>
          <w14:ligatures w14:val="none"/>
        </w:rPr>
        <w:t>ФЕДЕРАЦИИ</w:t>
      </w:r>
    </w:p>
    <w:p w14:paraId="28E367A9" w14:textId="77777777" w:rsidR="00746089" w:rsidRPr="000005A2" w:rsidRDefault="00746089" w:rsidP="00746089">
      <w:pPr>
        <w:widowControl w:val="0"/>
        <w:autoSpaceDE w:val="0"/>
        <w:autoSpaceDN w:val="0"/>
        <w:spacing w:line="240" w:lineRule="auto"/>
        <w:ind w:left="595" w:right="908"/>
        <w:jc w:val="center"/>
        <w:rPr>
          <w:rFonts w:eastAsia="Times New Roman" w:cs="Times New Roman"/>
          <w:b/>
          <w:kern w:val="0"/>
          <w:sz w:val="24"/>
          <w14:ligatures w14:val="none"/>
        </w:rPr>
      </w:pPr>
    </w:p>
    <w:p w14:paraId="18A5A03D" w14:textId="77777777" w:rsidR="00746089" w:rsidRPr="00746089" w:rsidRDefault="00746089" w:rsidP="00746089">
      <w:pPr>
        <w:widowControl w:val="0"/>
        <w:autoSpaceDE w:val="0"/>
        <w:autoSpaceDN w:val="0"/>
        <w:spacing w:before="202" w:line="240" w:lineRule="auto"/>
        <w:ind w:left="454" w:right="808"/>
        <w:jc w:val="center"/>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Федеральное</w:t>
      </w:r>
      <w:r w:rsidRPr="00746089">
        <w:rPr>
          <w:rFonts w:eastAsia="Times New Roman" w:cs="Times New Roman" w:ascii="Times New Roman" w:hAnsi="Times New Roman"/>
          <w:b w:val="0"/>
          <w:spacing w:val="-12"/>
          <w:kern w:val="0"/>
          <w:sz w:val="28"/>
          <w14:ligatures w14:val="none"/>
        </w:rPr>
        <w:t xml:space="preserve"> </w:t>
      </w:r>
      <w:r w:rsidRPr="00746089">
        <w:rPr>
          <w:rFonts w:eastAsia="Times New Roman" w:cs="Times New Roman" w:ascii="Times New Roman" w:hAnsi="Times New Roman"/>
          <w:b w:val="0"/>
          <w:kern w:val="0"/>
          <w:sz w:val="28"/>
          <w14:ligatures w14:val="none"/>
        </w:rPr>
        <w:t>государственное</w:t>
      </w:r>
      <w:r w:rsidRPr="00746089">
        <w:rPr>
          <w:rFonts w:eastAsia="Times New Roman" w:cs="Times New Roman" w:ascii="Times New Roman" w:hAnsi="Times New Roman"/>
          <w:b w:val="0"/>
          <w:spacing w:val="-12"/>
          <w:kern w:val="0"/>
          <w:sz w:val="28"/>
          <w14:ligatures w14:val="none"/>
        </w:rPr>
        <w:t xml:space="preserve"> </w:t>
      </w:r>
      <w:r w:rsidRPr="00746089">
        <w:rPr>
          <w:rFonts w:eastAsia="Times New Roman" w:cs="Times New Roman" w:ascii="Times New Roman" w:hAnsi="Times New Roman"/>
          <w:b w:val="0"/>
          <w:kern w:val="0"/>
          <w:sz w:val="28"/>
          <w14:ligatures w14:val="none"/>
        </w:rPr>
        <w:t>бюджетное</w:t>
      </w:r>
      <w:r w:rsidRPr="00746089">
        <w:rPr>
          <w:rFonts w:eastAsia="Times New Roman" w:cs="Times New Roman" w:ascii="Times New Roman" w:hAnsi="Times New Roman"/>
          <w:b w:val="0"/>
          <w:spacing w:val="-12"/>
          <w:kern w:val="0"/>
          <w:sz w:val="28"/>
          <w14:ligatures w14:val="none"/>
        </w:rPr>
        <w:t xml:space="preserve"> </w:t>
      </w:r>
      <w:r w:rsidRPr="00746089">
        <w:rPr>
          <w:rFonts w:eastAsia="Times New Roman" w:cs="Times New Roman" w:ascii="Times New Roman" w:hAnsi="Times New Roman"/>
          <w:b w:val="0"/>
          <w:kern w:val="0"/>
          <w:sz w:val="28"/>
          <w14:ligatures w14:val="none"/>
        </w:rPr>
        <w:t>образовательное учреждение</w:t>
      </w:r>
      <w:r w:rsidRPr="00746089">
        <w:rPr>
          <w:rFonts w:eastAsia="Times New Roman" w:cs="Times New Roman" w:ascii="Times New Roman" w:hAnsi="Times New Roman"/>
          <w:b w:val="0"/>
          <w:spacing w:val="80"/>
          <w:kern w:val="0"/>
          <w:sz w:val="28"/>
          <w14:ligatures w14:val="none"/>
        </w:rPr>
        <w:t xml:space="preserve"> </w:t>
      </w:r>
      <w:r w:rsidRPr="00746089">
        <w:rPr>
          <w:rFonts w:eastAsia="Times New Roman" w:cs="Times New Roman" w:ascii="Times New Roman" w:hAnsi="Times New Roman"/>
          <w:b w:val="0"/>
          <w:kern w:val="0"/>
          <w:sz w:val="28"/>
          <w14:ligatures w14:val="none"/>
        </w:rPr>
        <w:t>высшего образования</w:t>
      </w:r>
    </w:p>
    <w:p w14:paraId="2500F22B" w14:textId="77777777" w:rsidR="00746089" w:rsidRPr="00746089" w:rsidRDefault="00746089" w:rsidP="00746089">
      <w:pPr>
        <w:widowControl w:val="0"/>
        <w:autoSpaceDE w:val="0"/>
        <w:autoSpaceDN w:val="0"/>
        <w:spacing w:line="240" w:lineRule="auto"/>
        <w:ind w:left="534" w:right="893"/>
        <w:jc w:val="center"/>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«КУБАНСКИЙ</w:t>
      </w:r>
      <w:r w:rsidRPr="00746089">
        <w:rPr>
          <w:rFonts w:eastAsia="Times New Roman" w:cs="Times New Roman" w:ascii="Times New Roman" w:hAnsi="Times New Roman"/>
          <w:b w:val="0"/>
          <w:spacing w:val="-13"/>
          <w:kern w:val="0"/>
          <w:sz w:val="28"/>
          <w14:ligatures w14:val="none"/>
        </w:rPr>
        <w:t xml:space="preserve"> </w:t>
      </w:r>
      <w:r w:rsidRPr="00746089">
        <w:rPr>
          <w:rFonts w:eastAsia="Times New Roman" w:cs="Times New Roman" w:ascii="Times New Roman" w:hAnsi="Times New Roman"/>
          <w:b w:val="0"/>
          <w:kern w:val="0"/>
          <w:sz w:val="28"/>
          <w14:ligatures w14:val="none"/>
        </w:rPr>
        <w:t>ГОСУДАРСТВЕННЫЙ</w:t>
      </w:r>
      <w:r w:rsidRPr="00746089">
        <w:rPr>
          <w:rFonts w:eastAsia="Times New Roman" w:cs="Times New Roman" w:ascii="Times New Roman" w:hAnsi="Times New Roman"/>
          <w:b w:val="0"/>
          <w:spacing w:val="-12"/>
          <w:kern w:val="0"/>
          <w:sz w:val="28"/>
          <w14:ligatures w14:val="none"/>
        </w:rPr>
        <w:t xml:space="preserve"> </w:t>
      </w:r>
      <w:r w:rsidRPr="00746089">
        <w:rPr>
          <w:rFonts w:eastAsia="Times New Roman" w:cs="Times New Roman" w:ascii="Times New Roman" w:hAnsi="Times New Roman"/>
          <w:b w:val="0"/>
          <w:kern w:val="0"/>
          <w:sz w:val="28"/>
          <w14:ligatures w14:val="none"/>
        </w:rPr>
        <w:t>АГРАРНЫЙ УНИВЕРСИТЕТ</w:t>
      </w:r>
      <w:r w:rsidRPr="00746089">
        <w:rPr>
          <w:rFonts w:eastAsia="Times New Roman" w:cs="Times New Roman" w:ascii="Times New Roman" w:hAnsi="Times New Roman"/>
          <w:b w:val="0"/>
          <w:spacing w:val="40"/>
          <w:kern w:val="0"/>
          <w:sz w:val="28"/>
          <w14:ligatures w14:val="none"/>
        </w:rPr>
        <w:t xml:space="preserve"> </w:t>
      </w:r>
      <w:r w:rsidRPr="00746089">
        <w:rPr>
          <w:rFonts w:eastAsia="Times New Roman" w:cs="Times New Roman" w:ascii="Times New Roman" w:hAnsi="Times New Roman"/>
          <w:b w:val="0"/>
          <w:kern w:val="0"/>
          <w:sz w:val="28"/>
          <w14:ligatures w14:val="none"/>
        </w:rPr>
        <w:t>ИМЕНИ</w:t>
      </w:r>
      <w:r w:rsidRPr="00746089">
        <w:rPr>
          <w:rFonts w:eastAsia="Times New Roman" w:cs="Times New Roman" w:ascii="Times New Roman" w:hAnsi="Times New Roman"/>
          <w:b w:val="0"/>
          <w:spacing w:val="40"/>
          <w:kern w:val="0"/>
          <w:sz w:val="28"/>
          <w14:ligatures w14:val="none"/>
        </w:rPr>
        <w:t xml:space="preserve"> </w:t>
      </w:r>
      <w:r w:rsidRPr="00746089">
        <w:rPr>
          <w:rFonts w:eastAsia="Times New Roman" w:cs="Times New Roman" w:ascii="Times New Roman" w:hAnsi="Times New Roman"/>
          <w:b w:val="0"/>
          <w:kern w:val="0"/>
          <w:sz w:val="28"/>
          <w14:ligatures w14:val="none"/>
        </w:rPr>
        <w:t>И. Т. ТРУБИЛИНА»</w:t>
      </w:r>
    </w:p>
    <w:p w14:paraId="30572354" w14:textId="77777777" w:rsidR="00746089" w:rsidRPr="000005A2" w:rsidRDefault="00746089" w:rsidP="00746089">
      <w:pPr>
        <w:widowControl w:val="0"/>
        <w:autoSpaceDE w:val="0"/>
        <w:autoSpaceDN w:val="0"/>
        <w:spacing w:before="45" w:line="240" w:lineRule="auto"/>
        <w:rPr>
          <w:rFonts w:eastAsia="Times New Roman" w:cs="Times New Roman"/>
          <w:kern w:val="0"/>
          <w:sz w:val="24"/>
          <w14:ligatures w14:val="none"/>
        </w:rPr>
      </w:pPr>
    </w:p>
    <w:p w14:paraId="434D355B" w14:textId="77777777" w:rsidR="00746089" w:rsidRPr="000005A2" w:rsidRDefault="00746089" w:rsidP="00746089">
      <w:pPr>
        <w:widowControl w:val="0"/>
        <w:autoSpaceDE w:val="0"/>
        <w:autoSpaceDN w:val="0"/>
        <w:spacing w:before="45" w:line="240" w:lineRule="auto"/>
        <w:rPr>
          <w:rFonts w:eastAsia="Times New Roman" w:cs="Times New Roman"/>
          <w:kern w:val="0"/>
          <w:sz w:val="24"/>
          <w14:ligatures w14:val="none"/>
        </w:rPr>
      </w:pPr>
    </w:p>
    <w:p w14:paraId="19F320D7" w14:textId="77777777" w:rsidR="00746089" w:rsidRPr="00746089" w:rsidRDefault="00746089" w:rsidP="00746089">
      <w:pPr>
        <w:widowControl w:val="0"/>
        <w:autoSpaceDE w:val="0"/>
        <w:autoSpaceDN w:val="0"/>
        <w:spacing w:line="480" w:lineRule="auto"/>
        <w:ind w:left="1517" w:right="1874" w:hanging="4"/>
        <w:jc w:val="center"/>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Учетно-финансовый факультет Кафедра</w:t>
      </w:r>
      <w:r w:rsidRPr="00746089">
        <w:rPr>
          <w:rFonts w:eastAsia="Times New Roman" w:cs="Times New Roman" w:ascii="Times New Roman" w:hAnsi="Times New Roman"/>
          <w:b w:val="0"/>
          <w:spacing w:val="-15"/>
          <w:kern w:val="0"/>
          <w:sz w:val="28"/>
          <w14:ligatures w14:val="none"/>
        </w:rPr>
        <w:t xml:space="preserve"> </w:t>
      </w:r>
      <w:r w:rsidRPr="00746089">
        <w:rPr>
          <w:rFonts w:eastAsia="Times New Roman" w:cs="Times New Roman" w:ascii="Times New Roman" w:hAnsi="Times New Roman"/>
          <w:b w:val="0"/>
          <w:kern w:val="0"/>
          <w:sz w:val="28"/>
          <w14:ligatures w14:val="none"/>
        </w:rPr>
        <w:t>экономического</w:t>
      </w:r>
      <w:r w:rsidRPr="00746089">
        <w:rPr>
          <w:rFonts w:eastAsia="Times New Roman" w:cs="Times New Roman" w:ascii="Times New Roman" w:hAnsi="Times New Roman"/>
          <w:b w:val="0"/>
          <w:spacing w:val="-15"/>
          <w:kern w:val="0"/>
          <w:sz w:val="28"/>
          <w14:ligatures w14:val="none"/>
        </w:rPr>
        <w:t xml:space="preserve"> </w:t>
      </w:r>
      <w:r w:rsidRPr="00746089">
        <w:rPr>
          <w:rFonts w:eastAsia="Times New Roman" w:cs="Times New Roman" w:ascii="Times New Roman" w:hAnsi="Times New Roman"/>
          <w:b w:val="0"/>
          <w:kern w:val="0"/>
          <w:sz w:val="28"/>
          <w14:ligatures w14:val="none"/>
        </w:rPr>
        <w:t>анализа</w:t>
      </w:r>
    </w:p>
    <w:p w14:paraId="1F3F8AFC" w14:textId="77777777" w:rsidR="00746089" w:rsidRPr="00746089" w:rsidRDefault="00746089" w:rsidP="00746089">
      <w:pPr>
        <w:widowControl w:val="0"/>
        <w:autoSpaceDE w:val="0"/>
        <w:autoSpaceDN w:val="0"/>
        <w:spacing w:line="240" w:lineRule="auto"/>
        <w:rPr>
          <w:rFonts w:eastAsia="Times New Roman" w:cs="Times New Roman"/>
          <w:kern w:val="0"/>
          <w:sz w:val="24"/>
          <w14:ligatures w14:val="none"/>
        </w:rPr>
      </w:pPr>
    </w:p>
    <w:p w14:paraId="63C3A5D5"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0869AF63"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3EAD1530"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112C16B7"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0E8E6018"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63BDD6BC" w14:textId="77777777" w:rsidR="00746089" w:rsidRPr="00746089" w:rsidRDefault="00746089" w:rsidP="00746089">
      <w:pPr>
        <w:widowControl w:val="0"/>
        <w:autoSpaceDE w:val="0"/>
        <w:autoSpaceDN w:val="0"/>
        <w:spacing w:before="5" w:line="240" w:lineRule="auto"/>
        <w:rPr>
          <w:rFonts w:eastAsia="Times New Roman" w:cs="Times New Roman"/>
          <w:kern w:val="0"/>
          <w:sz w:val="24"/>
          <w14:ligatures w14:val="none"/>
        </w:rPr>
      </w:pPr>
    </w:p>
    <w:p w14:paraId="04E3DBE4" w14:textId="77777777" w:rsidR="00746089" w:rsidRPr="00746089" w:rsidRDefault="00746089" w:rsidP="00746089">
      <w:pPr>
        <w:widowControl w:val="0"/>
        <w:autoSpaceDE w:val="0"/>
        <w:autoSpaceDN w:val="0"/>
        <w:spacing w:line="240" w:lineRule="auto"/>
        <w:ind w:right="398"/>
        <w:jc w:val="center"/>
        <w:outlineLvl w:val="1"/>
        <w:rPr>
          <w:rFonts w:eastAsia="Times New Roman" w:cs="Times New Roman"/>
          <w:b/>
          <w:bCs/>
          <w:kern w:val="0"/>
          <w:sz w:val="24"/>
          <w14:ligatures w14:val="none"/>
        </w:rPr>
      </w:pPr>
      <w:r w:rsidRPr="00746089">
        <w:rPr>
          <w:rFonts w:eastAsia="Times New Roman" w:cs="Times New Roman" w:ascii="Times New Roman" w:hAnsi="Times New Roman"/>
          <w:b w:val="0"/>
          <w:bCs/>
          <w:kern w:val="0"/>
          <w:sz w:val="28"/>
          <w14:ligatures w14:val="none"/>
        </w:rPr>
        <w:t>КУРСОВАЯ</w:t>
      </w:r>
      <w:r w:rsidRPr="00746089">
        <w:rPr>
          <w:rFonts w:eastAsia="Times New Roman" w:cs="Times New Roman" w:ascii="Times New Roman" w:hAnsi="Times New Roman"/>
          <w:b w:val="0"/>
          <w:bCs/>
          <w:spacing w:val="58"/>
          <w:kern w:val="0"/>
          <w:sz w:val="28"/>
          <w14:ligatures w14:val="none"/>
        </w:rPr>
        <w:t xml:space="preserve"> </w:t>
      </w:r>
      <w:r w:rsidRPr="00746089">
        <w:rPr>
          <w:rFonts w:eastAsia="Times New Roman" w:cs="Times New Roman" w:ascii="Times New Roman" w:hAnsi="Times New Roman"/>
          <w:b w:val="0"/>
          <w:bCs/>
          <w:spacing w:val="-2"/>
          <w:kern w:val="0"/>
          <w:sz w:val="28"/>
          <w14:ligatures w14:val="none"/>
        </w:rPr>
        <w:t>РАБОТА</w:t>
      </w:r>
    </w:p>
    <w:p w14:paraId="34777B64" w14:textId="77777777" w:rsidR="00746089" w:rsidRPr="00746089" w:rsidRDefault="00746089" w:rsidP="00746089">
      <w:pPr>
        <w:widowControl w:val="0"/>
        <w:autoSpaceDE w:val="0"/>
        <w:autoSpaceDN w:val="0"/>
        <w:spacing w:line="240" w:lineRule="auto"/>
        <w:rPr>
          <w:rFonts w:eastAsia="Times New Roman" w:cs="Times New Roman"/>
          <w:b/>
          <w:kern w:val="0"/>
          <w:sz w:val="24"/>
          <w14:ligatures w14:val="none"/>
        </w:rPr>
      </w:pPr>
    </w:p>
    <w:p w14:paraId="66C582B1" w14:textId="77777777" w:rsidR="00746089" w:rsidRPr="00746089" w:rsidRDefault="00746089" w:rsidP="00746089">
      <w:pPr>
        <w:widowControl w:val="0"/>
        <w:autoSpaceDE w:val="0"/>
        <w:autoSpaceDN w:val="0"/>
        <w:spacing w:line="240" w:lineRule="auto"/>
        <w:rPr>
          <w:rFonts w:eastAsia="Times New Roman" w:cs="Times New Roman"/>
          <w:b/>
          <w:kern w:val="0"/>
          <w:sz w:val="24"/>
          <w14:ligatures w14:val="none"/>
        </w:rPr>
      </w:pPr>
    </w:p>
    <w:p w14:paraId="4233B890" w14:textId="77777777" w:rsidR="00746089" w:rsidRPr="00746089" w:rsidRDefault="00746089" w:rsidP="00746089">
      <w:pPr>
        <w:widowControl w:val="0"/>
        <w:autoSpaceDE w:val="0"/>
        <w:autoSpaceDN w:val="0"/>
        <w:spacing w:before="1" w:line="240" w:lineRule="auto"/>
        <w:ind w:left="534" w:right="891"/>
        <w:jc w:val="center"/>
        <w:rPr>
          <w:rFonts w:eastAsia="Times New Roman" w:cs="Times New Roman"/>
          <w:b/>
          <w:kern w:val="0"/>
          <w:sz w:val="24"/>
          <w14:ligatures w14:val="none"/>
        </w:rPr>
      </w:pPr>
      <w:r>
        <w:rPr>
          <w:rFonts w:ascii="Times New Roman" w:hAnsi="Times New Roman" w:eastAsia="Times New Roman"/>
          <w:b/>
          <w:sz w:val="36"/>
        </w:rPr>
        <w:t>АНАЛИЗ ФИНАНСОВОГО СОСТОЯНИЯ ОРГАНИЗАЦИИ</w:t>
      </w:r>
    </w:p>
    <w:p w14:paraId="553C343E" w14:textId="77777777" w:rsidR="00746089" w:rsidRPr="00746089" w:rsidRDefault="00746089" w:rsidP="00746089">
      <w:pPr>
        <w:widowControl w:val="0"/>
        <w:autoSpaceDE w:val="0"/>
        <w:autoSpaceDN w:val="0"/>
        <w:spacing w:line="240" w:lineRule="auto"/>
        <w:ind w:left="536" w:right="891"/>
        <w:jc w:val="center"/>
        <w:outlineLvl w:val="2"/>
        <w:rPr>
          <w:rFonts w:eastAsia="Times New Roman" w:cs="Times New Roman"/>
          <w:b/>
          <w:bCs/>
          <w:kern w:val="0"/>
          <w:sz w:val="24"/>
          <w14:ligatures w14:val="none"/>
        </w:rPr>
      </w:pPr>
      <w:r>
        <w:rPr>
          <w:rFonts w:ascii="Times New Roman" w:hAnsi="Times New Roman" w:eastAsia="Times New Roman"/>
          <w:b/>
          <w:sz w:val="36"/>
        </w:rPr>
        <w:t>(НА ПРИМЕРЕ ООО «МИЛЛАБ»)</w:t>
      </w:r>
    </w:p>
    <w:p w14:paraId="01AD16C1" w14:textId="77777777" w:rsidR="00746089" w:rsidRPr="00746089" w:rsidRDefault="00746089" w:rsidP="00746089">
      <w:pPr>
        <w:widowControl w:val="0"/>
        <w:autoSpaceDE w:val="0"/>
        <w:autoSpaceDN w:val="0"/>
        <w:spacing w:before="213" w:line="240" w:lineRule="auto"/>
        <w:rPr>
          <w:rFonts w:eastAsia="Times New Roman" w:cs="Times New Roman"/>
          <w:b/>
          <w:kern w:val="0"/>
          <w:sz w:val="24"/>
          <w14:ligatures w14:val="none"/>
        </w:rPr>
      </w:pPr>
    </w:p>
    <w:p w14:paraId="684E90A0" w14:textId="77777777" w:rsidR="00746089" w:rsidRPr="00746089" w:rsidRDefault="00746089" w:rsidP="00746089">
      <w:pPr>
        <w:widowControl w:val="0"/>
        <w:autoSpaceDE w:val="0"/>
        <w:autoSpaceDN w:val="0"/>
        <w:spacing w:line="240" w:lineRule="auto"/>
        <w:ind w:left="236" w:right="555"/>
        <w:jc w:val="center"/>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Специальность</w:t>
      </w:r>
      <w:r w:rsidRPr="00746089">
        <w:rPr>
          <w:rFonts w:eastAsia="Times New Roman" w:cs="Times New Roman" w:ascii="Times New Roman" w:hAnsi="Times New Roman"/>
          <w:b w:val="0"/>
          <w:spacing w:val="-13"/>
          <w:kern w:val="0"/>
          <w:sz w:val="28"/>
          <w14:ligatures w14:val="none"/>
        </w:rPr>
        <w:t xml:space="preserve"> </w:t>
      </w:r>
      <w:r w:rsidRPr="00746089">
        <w:rPr>
          <w:rFonts w:eastAsia="Times New Roman" w:cs="Times New Roman" w:ascii="Times New Roman" w:hAnsi="Times New Roman"/>
          <w:b w:val="0"/>
          <w:kern w:val="0"/>
          <w:sz w:val="28"/>
          <w14:ligatures w14:val="none"/>
        </w:rPr>
        <w:t>38.05.01</w:t>
      </w:r>
      <w:r w:rsidRPr="00746089">
        <w:rPr>
          <w:rFonts w:eastAsia="Times New Roman" w:cs="Times New Roman" w:ascii="Times New Roman" w:hAnsi="Times New Roman"/>
          <w:b w:val="0"/>
          <w:spacing w:val="-13"/>
          <w:kern w:val="0"/>
          <w:sz w:val="28"/>
          <w14:ligatures w14:val="none"/>
        </w:rPr>
        <w:t xml:space="preserve"> </w:t>
      </w:r>
      <w:r w:rsidRPr="00746089">
        <w:rPr>
          <w:rFonts w:eastAsia="Times New Roman" w:cs="Times New Roman" w:ascii="Times New Roman" w:hAnsi="Times New Roman"/>
          <w:b w:val="0"/>
          <w:kern w:val="0"/>
          <w:sz w:val="28"/>
          <w14:ligatures w14:val="none"/>
        </w:rPr>
        <w:t>Экономическая</w:t>
      </w:r>
      <w:r w:rsidRPr="00746089">
        <w:rPr>
          <w:rFonts w:eastAsia="Times New Roman" w:cs="Times New Roman" w:ascii="Times New Roman" w:hAnsi="Times New Roman"/>
          <w:b w:val="0"/>
          <w:spacing w:val="-13"/>
          <w:kern w:val="0"/>
          <w:sz w:val="28"/>
          <w14:ligatures w14:val="none"/>
        </w:rPr>
        <w:t xml:space="preserve"> </w:t>
      </w:r>
      <w:r w:rsidRPr="00746089">
        <w:rPr>
          <w:rFonts w:eastAsia="Times New Roman" w:cs="Times New Roman" w:ascii="Times New Roman" w:hAnsi="Times New Roman"/>
          <w:b w:val="0"/>
          <w:kern w:val="0"/>
          <w:sz w:val="28"/>
          <w14:ligatures w14:val="none"/>
        </w:rPr>
        <w:t xml:space="preserve">безопасность </w:t>
      </w:r>
      <w:r w:rsidRPr="00746089">
        <w:rPr>
          <w:rFonts w:eastAsia="Times New Roman" w:cs="Times New Roman" w:ascii="Times New Roman" w:hAnsi="Times New Roman"/>
          <w:b w:val="0"/>
          <w:spacing w:val="-2"/>
          <w:kern w:val="0"/>
          <w:sz w:val="28"/>
          <w14:ligatures w14:val="none"/>
        </w:rPr>
        <w:t>специализация</w:t>
      </w:r>
    </w:p>
    <w:p w14:paraId="290F31E8" w14:textId="77777777" w:rsidR="00746089" w:rsidRPr="00746089" w:rsidRDefault="00746089" w:rsidP="00746089">
      <w:pPr>
        <w:widowControl w:val="0"/>
        <w:autoSpaceDE w:val="0"/>
        <w:autoSpaceDN w:val="0"/>
        <w:spacing w:line="240" w:lineRule="auto"/>
        <w:ind w:left="631" w:right="949"/>
        <w:jc w:val="center"/>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«Экономико-правовое</w:t>
      </w:r>
      <w:r w:rsidRPr="00746089">
        <w:rPr>
          <w:rFonts w:eastAsia="Times New Roman" w:cs="Times New Roman" w:ascii="Times New Roman" w:hAnsi="Times New Roman"/>
          <w:b w:val="0"/>
          <w:spacing w:val="-15"/>
          <w:kern w:val="0"/>
          <w:sz w:val="28"/>
          <w14:ligatures w14:val="none"/>
        </w:rPr>
        <w:t xml:space="preserve"> </w:t>
      </w:r>
      <w:r w:rsidRPr="00746089">
        <w:rPr>
          <w:rFonts w:eastAsia="Times New Roman" w:cs="Times New Roman" w:ascii="Times New Roman" w:hAnsi="Times New Roman"/>
          <w:b w:val="0"/>
          <w:kern w:val="0"/>
          <w:sz w:val="28"/>
          <w14:ligatures w14:val="none"/>
        </w:rPr>
        <w:t>обеспечение</w:t>
      </w:r>
      <w:r w:rsidRPr="00746089">
        <w:rPr>
          <w:rFonts w:eastAsia="Times New Roman" w:cs="Times New Roman" w:ascii="Times New Roman" w:hAnsi="Times New Roman"/>
          <w:b w:val="0"/>
          <w:spacing w:val="-15"/>
          <w:kern w:val="0"/>
          <w:sz w:val="28"/>
          <w14:ligatures w14:val="none"/>
        </w:rPr>
        <w:t xml:space="preserve"> </w:t>
      </w:r>
      <w:r w:rsidRPr="00746089">
        <w:rPr>
          <w:rFonts w:eastAsia="Times New Roman" w:cs="Times New Roman" w:ascii="Times New Roman" w:hAnsi="Times New Roman"/>
          <w:b w:val="0"/>
          <w:kern w:val="0"/>
          <w:sz w:val="28"/>
          <w14:ligatures w14:val="none"/>
        </w:rPr>
        <w:t xml:space="preserve">экономической </w:t>
      </w:r>
      <w:r w:rsidRPr="00746089">
        <w:rPr>
          <w:rFonts w:eastAsia="Times New Roman" w:cs="Times New Roman" w:ascii="Times New Roman" w:hAnsi="Times New Roman"/>
          <w:b w:val="0"/>
          <w:spacing w:val="-2"/>
          <w:kern w:val="0"/>
          <w:sz w:val="28"/>
          <w14:ligatures w14:val="none"/>
        </w:rPr>
        <w:t>безопасности»</w:t>
      </w:r>
    </w:p>
    <w:p w14:paraId="46FA4B5A" w14:textId="77777777" w:rsidR="00746089" w:rsidRPr="00746089" w:rsidRDefault="00746089" w:rsidP="00746089">
      <w:pPr>
        <w:widowControl w:val="0"/>
        <w:autoSpaceDE w:val="0"/>
        <w:autoSpaceDN w:val="0"/>
        <w:spacing w:before="148" w:line="240" w:lineRule="auto"/>
        <w:ind w:left="3312"/>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Выполнил</w:t>
      </w:r>
      <w:r w:rsidRPr="00746089">
        <w:rPr>
          <w:rFonts w:eastAsia="Times New Roman" w:cs="Times New Roman" w:ascii="Times New Roman" w:hAnsi="Times New Roman"/>
          <w:b w:val="0"/>
          <w:spacing w:val="-6"/>
          <w:kern w:val="0"/>
          <w:sz w:val="28"/>
          <w14:ligatures w14:val="none"/>
        </w:rPr>
        <w:t xml:space="preserve"> </w:t>
      </w:r>
      <w:r w:rsidRPr="00746089">
        <w:rPr>
          <w:rFonts w:eastAsia="Times New Roman" w:cs="Times New Roman" w:ascii="Times New Roman" w:hAnsi="Times New Roman"/>
          <w:b w:val="0"/>
          <w:spacing w:val="-4"/>
          <w:kern w:val="0"/>
          <w:sz w:val="28"/>
          <w14:ligatures w14:val="none"/>
        </w:rPr>
        <w:t>(а):</w:t>
      </w:r>
    </w:p>
    <w:p w14:paraId="0B298CC5" w14:textId="77777777" w:rsidR="00746089" w:rsidRPr="00746089" w:rsidRDefault="00746089" w:rsidP="00746089">
      <w:pPr>
        <w:widowControl w:val="0"/>
        <w:tabs>
          <w:tab w:val="left" w:pos="6283"/>
        </w:tabs>
        <w:autoSpaceDE w:val="0"/>
        <w:autoSpaceDN w:val="0"/>
        <w:spacing w:line="240" w:lineRule="auto"/>
        <w:ind w:left="3276"/>
        <w:rPr>
          <w:rFonts w:eastAsia="Times New Roman" w:cs="Times New Roman"/>
          <w:kern w:val="0"/>
          <w:sz w:val="24"/>
          <w14:ligatures w14:val="none"/>
        </w:rPr>
      </w:pPr>
      <w:r w:rsidRPr="00746089">
        <w:rPr>
          <w:rFonts w:eastAsia="Times New Roman" w:cs="Times New Roman" w:ascii="Times New Roman" w:hAnsi="Times New Roman"/>
          <w:b w:val="0"/>
          <w:kern w:val="0"/>
          <w:sz w:val="28"/>
          <w14:ligatures w14:val="none"/>
        </w:rPr>
        <w:t xml:space="preserve">студент(ка) группы УФ </w:t>
      </w:r>
      <w:r w:rsidRPr="00746089">
        <w:rPr>
          <w:rFonts w:eastAsia="Times New Roman" w:cs="Times New Roman" w:ascii="Times New Roman" w:hAnsi="Times New Roman"/>
          <w:b w:val="0"/>
          <w:kern w:val="0"/>
          <w:sz w:val="28"/>
          <w:u w:val="single"/>
          <w14:ligatures w14:val="none"/>
        </w:rPr>
        <w:tab/>
      </w:r>
    </w:p>
    <w:p w14:paraId="540A2992" w14:textId="77777777" w:rsidR="00746089" w:rsidRPr="00746089" w:rsidRDefault="00746089" w:rsidP="00746089">
      <w:pPr>
        <w:widowControl w:val="0"/>
        <w:autoSpaceDE w:val="0"/>
        <w:autoSpaceDN w:val="0"/>
        <w:spacing w:before="3" w:line="240" w:lineRule="auto"/>
        <w:rPr>
          <w:rFonts w:eastAsia="Times New Roman" w:cs="Times New Roman"/>
          <w:kern w:val="0"/>
          <w:sz w:val="24"/>
          <w14:ligatures w14:val="none"/>
        </w:rPr>
      </w:pPr>
      <w:r w:rsidRPr="00746089">
        <w:rPr>
          <w:rFonts w:eastAsia="Times New Roman" w:cs="Times New Roman" w:ascii="Times New Roman" w:hAnsi="Times New Roman"/>
          <w:b w:val="0"/>
          <w:noProof/>
          <w:kern w:val="0"/>
          <w:sz w:val="28"/>
          <w14:ligatures w14:val="none"/>
        </w:rPr>
        <mc:AlternateContent>
          <mc:Choice Requires="wps">
            <w:drawing>
              <wp:anchor distT="0" distB="0" distL="0" distR="0" simplePos="0" relativeHeight="251659264" behindDoc="1" locked="0" layoutInCell="1" allowOverlap="1" wp14:anchorId="2813208E" wp14:editId="00D4B0A5">
                <wp:simplePos x="0" y="0"/>
                <wp:positionH relativeFrom="page">
                  <wp:posOffset>2570203</wp:posOffset>
                </wp:positionH>
                <wp:positionV relativeFrom="paragraph">
                  <wp:posOffset>148837</wp:posOffset>
                </wp:positionV>
                <wp:extent cx="1828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89334" id="Graphic 2" o:spid="_x0000_s1026" style="position:absolute;margin-left:202.4pt;margin-top:11.7pt;width:2in;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" path="m,l1828800,e" filled="f" strokeweight=".17183mm">
                <v:path arrowok="t"/>
                <w10:wrap type="topAndBottom" anchorx="page"/>
              </v:shape>
            </w:pict>
          </mc:Fallback>
        </mc:AlternateContent>
      </w:r>
    </w:p>
    <w:p w14:paraId="24E9B53C" w14:textId="77777777" w:rsidR="00746089" w:rsidRPr="00746089" w:rsidRDefault="00746089" w:rsidP="00746089">
      <w:pPr>
        <w:widowControl w:val="0"/>
        <w:autoSpaceDE w:val="0"/>
        <w:autoSpaceDN w:val="0"/>
        <w:spacing w:before="223" w:line="240" w:lineRule="auto"/>
        <w:ind w:left="662"/>
        <w:jc w:val="center"/>
        <w:rPr>
          <w:rFonts w:eastAsia="Times New Roman" w:cs="Times New Roman"/>
          <w:kern w:val="0"/>
          <w:sz w:val="24"/>
          <w14:ligatures w14:val="none"/>
        </w:rPr>
      </w:pPr>
      <w:r w:rsidRPr="00746089">
        <w:rPr>
          <w:rFonts w:eastAsia="Times New Roman" w:cs="Times New Roman" w:ascii="Times New Roman" w:hAnsi="Times New Roman"/>
          <w:b w:val="0"/>
          <w:spacing w:val="-2"/>
          <w:kern w:val="0"/>
          <w:sz w:val="28"/>
          <w14:ligatures w14:val="none"/>
        </w:rPr>
        <w:t>Проверил:</w:t>
      </w:r>
    </w:p>
    <w:p w14:paraId="34DA878E" w14:textId="77777777" w:rsidR="00746089" w:rsidRPr="000005A2" w:rsidRDefault="00746089" w:rsidP="00746089">
      <w:pPr>
        <w:widowControl w:val="0"/>
        <w:autoSpaceDE w:val="0"/>
        <w:autoSpaceDN w:val="0"/>
        <w:spacing w:before="17" w:line="240" w:lineRule="auto"/>
        <w:ind w:firstLine="0"/>
        <w:rPr>
          <w:rFonts w:eastAsia="Times New Roman" w:cs="Times New Roman"/>
          <w:kern w:val="0"/>
          <w:sz w:val="24"/>
          <w14:ligatures w14:val="none"/>
        </w:rPr>
      </w:pPr>
      <w:r w:rsidRPr="00746089">
        <w:rPr>
          <w:rFonts w:eastAsia="Times New Roman" w:cs="Times New Roman" w:ascii="Times New Roman" w:hAnsi="Times New Roman"/>
          <w:b w:val="0"/>
          <w:noProof/>
          <w:kern w:val="0"/>
          <w:sz w:val="28"/>
          <w14:ligatures w14:val="none"/>
        </w:rPr>
        <mc:AlternateContent>
          <mc:Choice Requires="wps">
            <w:drawing>
              <wp:anchor distT="0" distB="0" distL="0" distR="0" simplePos="0" relativeHeight="251660288" behindDoc="1" locked="0" layoutInCell="1" allowOverlap="1" wp14:anchorId="7A89613C" wp14:editId="03643CF4">
                <wp:simplePos x="0" y="0"/>
                <wp:positionH relativeFrom="page">
                  <wp:posOffset>2590164</wp:posOffset>
                </wp:positionH>
                <wp:positionV relativeFrom="paragraph">
                  <wp:posOffset>172570</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340E35" id="Graphic 3" o:spid="_x0000_s1026" style="position:absolute;margin-left:203.95pt;margin-top:13.6pt;width:2in;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" path="m,l1828800,e" filled="f" strokeweight=".17183mm">
                <v:path arrowok="t"/>
                <w10:wrap type="topAndBottom" anchorx="page"/>
              </v:shape>
            </w:pict>
          </mc:Fallback>
        </mc:AlternateContent>
      </w:r>
    </w:p>
    <w:p w14:paraId="3C640665"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5ECCD697"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0E6051AF"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14856E1F"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352632D5"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0DC91A2B" w14:textId="77777777" w:rsidR="00746089" w:rsidRPr="000005A2" w:rsidRDefault="00746089" w:rsidP="00746089">
      <w:pPr>
        <w:widowControl w:val="0"/>
        <w:autoSpaceDE w:val="0"/>
        <w:autoSpaceDN w:val="0"/>
        <w:spacing w:line="240" w:lineRule="auto"/>
        <w:ind w:left="2342" w:right="3064"/>
        <w:jc w:val="center"/>
        <w:rPr>
          <w:rFonts w:eastAsia="Times New Roman" w:cs="Times New Roman"/>
          <w:spacing w:val="-2"/>
          <w:kern w:val="0"/>
          <w:szCs w:val="28"/>
          <w14:ligatures w14:val="none"/>
        </w:rPr>
      </w:pPr>
      <w:r w:rsidRPr="00746089">
        <w:rPr>
          <w:rFonts w:eastAsia="Times New Roman" w:cs="Times New Roman" w:ascii="Times New Roman" w:hAnsi="Times New Roman"/>
          <w:b w:val="0"/>
          <w:spacing w:val="-2"/>
          <w:kern w:val="0"/>
          <w:sz w:val="28"/>
          <w:szCs w:val="28"/>
          <w14:ligatures w14:val="none"/>
        </w:rPr>
        <w:t xml:space="preserve">Краснодар </w:t>
      </w:r>
    </w:p>
    <w:p w14:paraId="120D6CC9" w14:textId="4BDD8F23" w:rsidR="00746089" w:rsidRPr="00746089" w:rsidRDefault="00746089" w:rsidP="00746089">
      <w:pPr>
        <w:widowControl w:val="0"/>
        <w:autoSpaceDE w:val="0"/>
        <w:autoSpaceDN w:val="0"/>
        <w:spacing w:line="240" w:lineRule="auto"/>
        <w:ind w:left="2342" w:right="3064"/>
        <w:jc w:val="center"/>
        <w:rPr>
          <w:rFonts w:eastAsia="Times New Roman" w:cs="Times New Roman"/>
          <w:kern w:val="0"/>
          <w:szCs w:val="28"/>
          <w14:ligatures w14:val="none"/>
        </w:rPr>
      </w:pPr>
      <w:r w:rsidRPr="00746089">
        <w:rPr>
          <w:rFonts w:eastAsia="Times New Roman" w:cs="Times New Roman" w:ascii="Times New Roman" w:hAnsi="Times New Roman"/>
          <w:b w:val="0"/>
          <w:spacing w:val="-4"/>
          <w:kern w:val="0"/>
          <w:sz w:val="28"/>
          <w:szCs w:val="28"/>
          <w14:ligatures w14:val="none"/>
        </w:rPr>
        <w:t>2026</w:t>
      </w:r>
    </w:p>
    <w:p>
      <w:pPr>
        <w:pageBreakBefore/>
        <w:spacing w:line="240" w:lineRule="auto" w:before="720" w:after="720"/>
        <w:ind w:left="0" w:firstLine="0"/>
        <w:jc w:val="center"/>
        <w:keepLines/>
        <w:keepNext/>
        <w:outlineLvl w:val="0"/>
      </w:pPr>
      <w:r>
        <w:rPr>
          <w:rFonts w:ascii="Times New Roman" w:hAnsi="Times New Roman" w:eastAsia="Times New Roman"/>
          <w:b/>
          <w:sz w:val="36"/>
        </w:rPr>
        <w:t>СОДЕРЖАНИЕ</w:t>
      </w:r>
    </w:p>
    <w:p>
      <w:pPr>
        <w:spacing w:after="0" w:line="360" w:lineRule="auto" w:before="0"/>
        <w:ind w:left="0" w:right="0" w:firstLine="0"/>
        <w:jc w:val="left"/>
      </w:pPr>
      <w:r>
        <w:rPr>
          <w:rFonts w:ascii="Times New Roman" w:hAnsi="Times New Roman" w:eastAsia="Times New Roman"/>
          <w:b w:val="0"/>
          <w:sz w:val="28"/>
        </w:rPr>
        <w:fldChar w:fldCharType="begin" w:dirty="true"/>
        <w:instrText xml:space="preserve"> TOC \o "1-2" \h \z \u </w:instrText>
        <w:fldChar w:fldCharType="separate"/>
        <w:t>Оглавление будет обновлено при открытии документа в Microsoft Word.</w:t>
        <w:fldChar w:fldCharType="end"/>
      </w:r>
    </w:p>
    <w:p>
      <w:pPr>
        <w:sectPr>
          <w:headerReference w:type="default" r:id="rId7"/>
          <w:pgSz w:w="11906" w:h="16838"/>
          <w:pgMar w:top="1134" w:right="567" w:bottom="1134" w:left="1701" w:header="567" w:footer="709" w:gutter="0"/>
          <w:cols w:space="708"/>
          <w:docGrid w:linePitch="360"/>
        </w:sectPr>
      </w:pPr>
    </w:p>
    <w:p w14:paraId="3954E497" w14:textId="77777777" w:rsidR="00904D48" w:rsidRPr="00904D48" w:rsidRDefault="00904D48" w:rsidP="00904D48">
      <w:pPr>
        <w:spacing w:before="720" w:after="720" w:line="240" w:lineRule="auto"/>
        <w:ind w:left="0" w:firstLine="0"/>
        <w:jc w:val="center"/>
        <w:keepNext/>
        <w:keepLines/>
        <w:outlineLvl w:val="0"/>
      </w:pPr>
      <w:r w:rsidRPr="00904D48">
        <w:rPr>
          <w:rFonts w:ascii="Times New Roman" w:hAnsi="Times New Roman" w:eastAsia="Times New Roman"/>
          <w:b/>
          <w:sz w:val="36"/>
        </w:rPr>
        <w:lastRenderedPageBreak/>
        <w:t>Введение</w:t>
      </w:r>
    </w:p>
    <w:p w14:paraId="08D23F43"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В современных условиях нестабильности экономики, изменения логистических цепочек и колебаний валютных курсов вопрос устойчивости коммерческих организаций приобретает стратегическое значение. Для компаний, специализирующихся на дистрибуции лабораторного и аналитического оборудования, финансово-экономическое состояние является индикатором надежности и конкурентоспособности. Своевременная диагностика ключевых показателей позволяет выявлять риски ликвидности, контролировать долговую нагрузку, управлять оборотным капиталом и находить резервы повышения рентабельности. Это определяет актуальность выбранной темы.</w:t>
      </w:r>
    </w:p>
    <w:p w14:paraId="04D1AEFB"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Объект исследования - финансово-хозяйственная деятельность ООО "МИЛЛАБ".</w:t>
      </w:r>
    </w:p>
    <w:p w14:paraId="7B328B27"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Предмет исследования - показатели, методы и инструменты диагностики финансово-экономического состояния организации и обоснования направлений его улучшения.</w:t>
      </w:r>
    </w:p>
    <w:p w14:paraId="5D114B4E"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Цель работы - провести диагностику финансово-экономического состояния ООО "МИЛЛАБ" по данным бухгалтерской отчетности за 2023-2025 гг. и обосновать направления повышения эффективности деятельности.</w:t>
      </w:r>
    </w:p>
    <w:p w14:paraId="7B82DE27"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Для достижения цели поставлены задачи:</w:t>
      </w:r>
    </w:p>
    <w:p w14:paraId="669170CE" w14:textId="77777777" w:rsidR="00904D48" w:rsidRPr="00904D48" w:rsidRDefault="00904D48" w:rsidP="00904D48">
      <w:pPr>
        <w:numPr>
          <w:ilvl w:val="0"/>
          <w:numId w:val="3"/>
        </w:numPr>
        <w:spacing w:before="0" w:after="0" w:line="360" w:lineRule="auto"/>
        <w:ind w:left="0" w:right="0" w:firstLine="709"/>
        <w:jc w:val="both"/>
      </w:pPr>
      <w:r>
        <w:rPr>
          <w:rFonts w:ascii="Times New Roman" w:hAnsi="Times New Roman" w:eastAsia="Times New Roman"/>
          <w:b w:val="0"/>
          <w:sz w:val="28"/>
        </w:rPr>
        <w:t>Дать организационно-экономическую характеристику ООО «МИЛЛАБ».</w:t>
      </w:r>
    </w:p>
    <w:p w14:paraId="74A18BBD" w14:textId="77777777" w:rsidR="00904D48" w:rsidRPr="00904D48" w:rsidRDefault="00904D48" w:rsidP="00904D48">
      <w:pPr>
        <w:numPr>
          <w:ilvl w:val="0"/>
          <w:numId w:val="3"/>
        </w:numPr>
        <w:spacing w:before="0" w:after="0" w:line="360" w:lineRule="auto"/>
        <w:ind w:left="0" w:right="0" w:firstLine="709"/>
        <w:jc w:val="both"/>
      </w:pPr>
      <w:r w:rsidRPr="00904D48">
        <w:rPr>
          <w:rFonts w:ascii="Times New Roman" w:hAnsi="Times New Roman" w:eastAsia="Times New Roman"/>
          <w:b w:val="0"/>
          <w:sz w:val="28"/>
        </w:rPr>
        <w:t>Проанализировать обеспеченность ресурсами и эффективность их использования.</w:t>
      </w:r>
    </w:p>
    <w:p w14:paraId="747AC9FE" w14:textId="77777777" w:rsidR="00904D48" w:rsidRPr="00904D48" w:rsidRDefault="00904D48" w:rsidP="00904D48">
      <w:pPr>
        <w:numPr>
          <w:ilvl w:val="0"/>
          <w:numId w:val="3"/>
        </w:numPr>
        <w:spacing w:before="0" w:after="0" w:line="360" w:lineRule="auto"/>
        <w:ind w:left="0" w:right="0" w:firstLine="709"/>
        <w:jc w:val="both"/>
      </w:pPr>
      <w:r w:rsidRPr="00904D48">
        <w:rPr>
          <w:rFonts w:ascii="Times New Roman" w:hAnsi="Times New Roman" w:eastAsia="Times New Roman"/>
          <w:b w:val="0"/>
          <w:sz w:val="28"/>
        </w:rPr>
        <w:t>Оценить ликвидность, платежеспособность и финансовую устойчивость.</w:t>
      </w:r>
    </w:p>
    <w:p w14:paraId="25A40AB0" w14:textId="77777777" w:rsidR="00904D48" w:rsidRPr="00904D48" w:rsidRDefault="00904D48" w:rsidP="00904D48">
      <w:pPr>
        <w:numPr>
          <w:ilvl w:val="0"/>
          <w:numId w:val="3"/>
        </w:numPr>
        <w:spacing w:before="0" w:after="0" w:line="360" w:lineRule="auto"/>
        <w:ind w:left="0" w:right="0" w:firstLine="709"/>
        <w:jc w:val="both"/>
      </w:pPr>
      <w:r w:rsidRPr="00904D48">
        <w:rPr>
          <w:rFonts w:ascii="Times New Roman" w:hAnsi="Times New Roman" w:eastAsia="Times New Roman"/>
          <w:b w:val="0"/>
          <w:sz w:val="28"/>
        </w:rPr>
        <w:t>Проанализировать деловую активность и рентабельность деятельности.</w:t>
      </w:r>
    </w:p>
    <w:p w14:paraId="213ACDB1" w14:textId="77777777" w:rsidR="00904D48" w:rsidRPr="00904D48" w:rsidRDefault="00904D48" w:rsidP="00904D48">
      <w:pPr>
        <w:numPr>
          <w:ilvl w:val="0"/>
          <w:numId w:val="3"/>
        </w:numPr>
        <w:spacing w:before="0" w:after="0" w:line="360" w:lineRule="auto"/>
        <w:ind w:left="0" w:right="0" w:firstLine="709"/>
        <w:jc w:val="both"/>
      </w:pPr>
      <w:r>
        <w:rPr>
          <w:rFonts w:ascii="Times New Roman" w:hAnsi="Times New Roman" w:eastAsia="Times New Roman"/>
          <w:b w:val="0"/>
          <w:sz w:val="28"/>
        </w:rPr>
        <w:t>Разработать основные направления улучшения финансового состояния организации.</w:t>
      </w:r>
    </w:p>
    <w:p w14:paraId="421043AD" w14:textId="77777777" w:rsidR="00904D48" w:rsidRPr="00904D48" w:rsidRDefault="00904D48" w:rsidP="00904D48">
      <w:pPr>
        <w:spacing w:before="0" w:after="0" w:line="360" w:lineRule="auto"/>
        <w:ind w:left="0" w:right="0" w:firstLine="709"/>
        <w:jc w:val="both"/>
      </w:pPr>
      <w:r>
        <w:rPr>
          <w:rFonts w:ascii="Times New Roman" w:hAnsi="Times New Roman" w:eastAsia="Times New Roman"/>
          <w:b w:val="0"/>
          <w:sz w:val="28"/>
        </w:rPr>
        <w:t>Методическая база исследования включает горизонтальный и вертикальный анализ отчетности, коэффициентный анализ, анализ ликвидности, финансовой устойчивости, деловой активности и рентабельности, а также факторный анализ по модели Дюпона.</w:t>
      </w:r>
    </w:p>
    <w:p w14:paraId="0501185F"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Информационная база - бухгалтерский баланс и отчет о финансовых результатах ООО "МИЛЛАБ" за 2023-2025 гг., нормативные документы и учебно-научная литература по экономическому анализу.</w:t>
      </w:r>
    </w:p>
    <w:p w14:paraId="1610A3CB" w14:textId="77777777" w:rsidR="00904D48" w:rsidRPr="00904D48" w:rsidRDefault="00904D48" w:rsidP="00904D48">
      <w:r w:rsidRPr="00904D48">
        <w:pict w14:anchorId="0C15BF34">
          <v:rect id="_x0000_i1031" style="width:0;height:0" o:hralign="center" o:hrstd="t" o:hr="t" fillcolor="#a0a0a0" stroked="f"/>
        </w:pict>
      </w:r>
    </w:p>
    <w:p w14:paraId="17686DD4" w14:textId="77777777" w:rsidR="00904D48" w:rsidRPr="00904D48" w:rsidRDefault="00904D48" w:rsidP="00904D48">
      <w:pPr>
        <w:pageBreakBefore/>
        <w:spacing w:before="720" w:after="720" w:line="240" w:lineRule="auto"/>
        <w:ind w:left="0" w:firstLine="0"/>
        <w:jc w:val="center"/>
        <w:keepNext/>
        <w:keepLines/>
        <w:outlineLvl w:val="0"/>
      </w:pPr>
      <w:r>
        <w:rPr>
          <w:rFonts w:ascii="Times New Roman" w:hAnsi="Times New Roman" w:eastAsia="Times New Roman"/>
          <w:b/>
          <w:sz w:val="36"/>
        </w:rPr>
        <w:t>1 Организационно-экономическая характеристика ООО «МИЛЛАБ»</w:t>
      </w:r>
    </w:p>
    <w:p w14:paraId="65373477"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Эффективность деятельности организации во многом определяется качеством ее ресурсной базы и способностью получать результат при минимально возможных затратах. Для оценки обеспеченности ресурсами анализируются трудовые ресурсы, основные средства и оборотные активы.</w:t>
      </w:r>
    </w:p>
    <w:p w14:paraId="11E49DDD"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Эффективность использования труда обычно оценивается через производительность труда и прибыль на одного работника. Рост выручки при более низких темпах роста численности персонала рассматривается как положительная тенденция. При этом важна не только выручка на работника, но и прибыль на работника, поскольку она отражает влияние затрат и маржинальности.</w:t>
      </w:r>
    </w:p>
    <w:p w14:paraId="0A88D897"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Основные средства характеризуют материально-техническую базу. Для оценки эффективности используются показатели фондоотдачи, фондоемкости и фондорентабельности. Снижение фондоотдачи при росте стоимости основных средств означает, что вложения в основные фонды не дают сопоставимого эффекта в виде выручки, а снижение фондорентабельности указывает на падение прибыльности бизнеса или недозагрузку материальной базы.</w:t>
      </w:r>
    </w:p>
    <w:p w14:paraId="3EE9E043"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Оборотные активы для торговой организации являются ключевым элементом имущества. Наиболее значимыми статьями выступают запасы и дебиторская задолженность. При росте запасов важно контролировать скорость их оборота, так как избыточные запасы замедляют оборот капитала, увеличивают операционный цикл и повышают потребность в финансировании.</w:t>
      </w:r>
    </w:p>
    <w:p w14:paraId="274B0E46" w14:textId="77777777" w:rsidR="00A01F31" w:rsidRPr="00A01F31" w:rsidRDefault="00A01F31" w:rsidP="00A01F31">
      <w:pPr>
        <w:spacing w:before="0" w:after="0" w:line="360" w:lineRule="auto"/>
        <w:ind w:left="0" w:right="0" w:firstLine="709"/>
        <w:jc w:val="both"/>
      </w:pPr>
      <w:r w:rsidRPr="00A01F31">
        <w:rPr>
          <w:rFonts w:ascii="Times New Roman" w:hAnsi="Times New Roman" w:eastAsia="Times New Roman"/>
          <w:b w:val="0"/>
          <w:sz w:val="28"/>
        </w:rPr>
        <w:t>ООО "МИЛЛАБ" осуществляет деятельность в сфере поставок лабораторного и аналитического оборудования, а также оказывает сервисное сопровождение. Для организаций данного профиля характерна высокая доля оборотных активов, значимый объем запасов и существенная роль расчетов с контрагентами.</w:t>
      </w:r>
    </w:p>
    <w:p w14:paraId="3485EC59" w14:textId="34952FAF" w:rsidR="00746089" w:rsidRPr="00A01F31" w:rsidRDefault="00A01F31" w:rsidP="00A01F31">
      <w:pPr>
        <w:spacing w:before="0" w:after="0" w:line="360" w:lineRule="auto"/>
        <w:ind w:left="0" w:right="0" w:firstLine="709"/>
        <w:jc w:val="both"/>
      </w:pPr>
      <w:r w:rsidRPr="00A01F31">
        <w:rPr>
          <w:rFonts w:ascii="Times New Roman" w:hAnsi="Times New Roman" w:eastAsia="Times New Roman"/>
          <w:b w:val="0"/>
          <w:sz w:val="28"/>
        </w:rPr>
        <w:t>Основные показатели деятельности ООО "МИЛЛАБ" за 2023-2025 гг. представлены в таблице 1.1.</w:t>
      </w:r>
    </w:p>
    <w:p w14:paraId="726A491A"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1.1 – Основные показатели деятельности ООО «МИЛЛАБ»</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75"/>
        <w:gridCol w:w="777"/>
        <w:gridCol w:w="777"/>
        <w:gridCol w:w="777"/>
        <w:gridCol w:w="2939"/>
        <w:gridCol w:w="1193"/>
      </w:tblGrid>
      <w:tr w:rsidR="000005A2" w:rsidRPr="000005A2" w14:paraId="63D52E54" w14:textId="77777777">
        <w:trPr>
          <w:tblHeader w:val="true"/>
          <w:tblCellSpacing w:w="15" w:type="dxa"/>
          <w:tblHeader w:val="true"/>
          <w:cantSplit/>
        </w:trPr>
        <w:tc>
          <w:tcPr>
            <w:tcW w:w="0" w:type="auto"/>
            <w:vAlign w:val="center"/>
            <w:hideMark/>
            <w:shd w:val="clear" w:color="auto" w:fill="auto"/>
          </w:tcPr>
          <w:p w14:paraId="72834C60"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3215E84D"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w:t>
            </w:r>
          </w:p>
        </w:tc>
        <w:tc>
          <w:tcPr>
            <w:tcW w:w="0" w:type="auto"/>
            <w:vAlign w:val="center"/>
            <w:hideMark/>
            <w:shd w:val="clear" w:color="auto" w:fill="auto"/>
          </w:tcPr>
          <w:p w14:paraId="0D7D9B55"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w:t>
            </w:r>
          </w:p>
        </w:tc>
        <w:tc>
          <w:tcPr>
            <w:tcW w:w="0" w:type="auto"/>
            <w:vAlign w:val="center"/>
            <w:hideMark/>
            <w:shd w:val="clear" w:color="auto" w:fill="auto"/>
          </w:tcPr>
          <w:p w14:paraId="26BCB8B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w:t>
            </w:r>
          </w:p>
        </w:tc>
        <w:tc>
          <w:tcPr>
            <w:tcW w:w="0" w:type="auto"/>
            <w:vAlign w:val="center"/>
            <w:hideMark/>
            <w:shd w:val="clear" w:color="auto" w:fill="auto"/>
          </w:tcPr>
          <w:p w14:paraId="3106033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Абсолютное отклонение 2025 г. от 2023 г.</w:t>
            </w:r>
          </w:p>
        </w:tc>
        <w:tc>
          <w:tcPr>
            <w:tcW w:w="0" w:type="auto"/>
            <w:vAlign w:val="center"/>
            <w:hideMark/>
            <w:shd w:val="clear" w:color="auto" w:fill="auto"/>
          </w:tcPr>
          <w:p w14:paraId="4EB72A0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Темп роста, %</w:t>
            </w:r>
          </w:p>
        </w:tc>
      </w:tr>
      <w:tr w:rsidR="000005A2" w:rsidRPr="000005A2" w14:paraId="62288060" w14:textId="77777777">
        <w:trPr>
          <w:tblCellSpacing w:w="15" w:type="dxa"/>
          <w:cantSplit/>
        </w:trPr>
        <w:tc>
          <w:tcPr>
            <w:tcW w:w="0" w:type="auto"/>
            <w:vAlign w:val="center"/>
            <w:hideMark/>
            <w:shd w:val="clear" w:color="auto" w:fill="auto"/>
          </w:tcPr>
          <w:p w14:paraId="045F452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Среднегодовая численность работников, чел.</w:t>
            </w:r>
          </w:p>
        </w:tc>
        <w:tc>
          <w:tcPr>
            <w:tcW w:w="0" w:type="auto"/>
            <w:vAlign w:val="center"/>
            <w:hideMark/>
            <w:shd w:val="clear" w:color="auto" w:fill="auto"/>
          </w:tcPr>
          <w:p w14:paraId="55ECAD9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76</w:t>
            </w:r>
          </w:p>
        </w:tc>
        <w:tc>
          <w:tcPr>
            <w:tcW w:w="0" w:type="auto"/>
            <w:vAlign w:val="center"/>
            <w:hideMark/>
            <w:shd w:val="clear" w:color="auto" w:fill="auto"/>
          </w:tcPr>
          <w:p w14:paraId="73CBDA6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106</w:t>
            </w:r>
          </w:p>
        </w:tc>
        <w:tc>
          <w:tcPr>
            <w:tcW w:w="0" w:type="auto"/>
            <w:vAlign w:val="center"/>
            <w:hideMark/>
            <w:shd w:val="clear" w:color="auto" w:fill="auto"/>
          </w:tcPr>
          <w:p w14:paraId="6E85D6B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117</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41</w:t>
            </w:r>
          </w:p>
        </w:tc>
        <w:tc>
          <w:tcPr>
            <w:tcW w:w="0" w:type="auto"/>
            <w:vAlign w:val="center"/>
            <w:hideMark/>
            <w:shd w:val="clear" w:color="auto" w:fill="auto"/>
          </w:tcPr>
          <w:p w14:paraId="32A795B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153,95</w:t>
            </w:r>
          </w:p>
        </w:tc>
      </w:tr>
      <w:tr w:rsidR="000005A2" w:rsidRPr="000005A2" w14:paraId="310EBFA3" w14:textId="77777777">
        <w:trPr>
          <w:tblCellSpacing w:w="15" w:type="dxa"/>
          <w:cantSplit/>
        </w:trPr>
        <w:tc>
          <w:tcPr>
            <w:tcW w:w="0" w:type="auto"/>
            <w:vAlign w:val="center"/>
            <w:hideMark/>
            <w:shd w:val="clear" w:color="auto" w:fill="auto"/>
          </w:tcPr>
          <w:p w14:paraId="46D1C15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Основные средства, тыс. руб.</w:t>
            </w:r>
          </w:p>
        </w:tc>
        <w:tc>
          <w:tcPr>
            <w:tcW w:w="0" w:type="auto"/>
            <w:vAlign w:val="center"/>
            <w:hideMark/>
            <w:shd w:val="clear" w:color="auto" w:fill="auto"/>
          </w:tcPr>
          <w:p w14:paraId="77F3C22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2 012</w:t>
            </w:r>
          </w:p>
        </w:tc>
        <w:tc>
          <w:tcPr>
            <w:tcW w:w="0" w:type="auto"/>
            <w:vAlign w:val="center"/>
            <w:hideMark/>
            <w:shd w:val="clear" w:color="auto" w:fill="auto"/>
          </w:tcPr>
          <w:p w14:paraId="5D6B78C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6 056</w:t>
            </w:r>
          </w:p>
        </w:tc>
        <w:tc>
          <w:tcPr>
            <w:tcW w:w="0" w:type="auto"/>
            <w:vAlign w:val="center"/>
            <w:hideMark/>
            <w:shd w:val="clear" w:color="auto" w:fill="auto"/>
          </w:tcPr>
          <w:p w14:paraId="7F054FD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7 506</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5 494</w:t>
            </w:r>
          </w:p>
        </w:tc>
        <w:tc>
          <w:tcPr>
            <w:tcW w:w="0" w:type="auto"/>
            <w:vAlign w:val="center"/>
            <w:hideMark/>
            <w:shd w:val="clear" w:color="auto" w:fill="auto"/>
          </w:tcPr>
          <w:p w14:paraId="268AACA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373,06</w:t>
            </w:r>
          </w:p>
        </w:tc>
      </w:tr>
      <w:tr w:rsidR="000005A2" w:rsidRPr="000005A2" w14:paraId="4BAC8B56" w14:textId="77777777">
        <w:trPr>
          <w:tblCellSpacing w:w="15" w:type="dxa"/>
          <w:cantSplit/>
        </w:trPr>
        <w:tc>
          <w:tcPr>
            <w:tcW w:w="0" w:type="auto"/>
            <w:vAlign w:val="center"/>
            <w:hideMark/>
            <w:shd w:val="clear" w:color="auto" w:fill="auto"/>
          </w:tcPr>
          <w:p w14:paraId="1DDAADC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Запасы, тыс. руб.</w:t>
            </w:r>
          </w:p>
        </w:tc>
        <w:tc>
          <w:tcPr>
            <w:tcW w:w="0" w:type="auto"/>
            <w:vAlign w:val="center"/>
            <w:hideMark/>
            <w:shd w:val="clear" w:color="auto" w:fill="auto"/>
          </w:tcPr>
          <w:p w14:paraId="694A664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336 168</w:t>
            </w:r>
          </w:p>
        </w:tc>
        <w:tc>
          <w:tcPr>
            <w:tcW w:w="0" w:type="auto"/>
            <w:vAlign w:val="center"/>
            <w:hideMark/>
            <w:shd w:val="clear" w:color="auto" w:fill="auto"/>
          </w:tcPr>
          <w:p w14:paraId="6643166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465 614</w:t>
            </w:r>
          </w:p>
        </w:tc>
        <w:tc>
          <w:tcPr>
            <w:tcW w:w="0" w:type="auto"/>
            <w:vAlign w:val="center"/>
            <w:hideMark/>
            <w:shd w:val="clear" w:color="auto" w:fill="auto"/>
          </w:tcPr>
          <w:p w14:paraId="36BF280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534 588</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198 420</w:t>
            </w:r>
          </w:p>
        </w:tc>
        <w:tc>
          <w:tcPr>
            <w:tcW w:w="0" w:type="auto"/>
            <w:vAlign w:val="center"/>
            <w:hideMark/>
            <w:shd w:val="clear" w:color="auto" w:fill="auto"/>
          </w:tcPr>
          <w:p w14:paraId="5D2ABD4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159,02</w:t>
            </w:r>
          </w:p>
        </w:tc>
      </w:tr>
      <w:tr w:rsidR="000005A2" w:rsidRPr="000005A2" w14:paraId="04472F5A" w14:textId="77777777">
        <w:trPr>
          <w:tblCellSpacing w:w="15" w:type="dxa"/>
          <w:cantSplit/>
        </w:trPr>
        <w:tc>
          <w:tcPr>
            <w:tcW w:w="0" w:type="auto"/>
            <w:vAlign w:val="center"/>
            <w:hideMark/>
            <w:shd w:val="clear" w:color="auto" w:fill="auto"/>
          </w:tcPr>
          <w:p w14:paraId="356A38B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lastRenderedPageBreak/>
              <w:t>Дебиторская задолженность, тыс. руб.</w:t>
            </w:r>
          </w:p>
        </w:tc>
        <w:tc>
          <w:tcPr>
            <w:tcW w:w="0" w:type="auto"/>
            <w:vAlign w:val="center"/>
            <w:hideMark/>
            <w:shd w:val="clear" w:color="auto" w:fill="auto"/>
          </w:tcPr>
          <w:p w14:paraId="470E691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538 221</w:t>
            </w:r>
          </w:p>
        </w:tc>
        <w:tc>
          <w:tcPr>
            <w:tcW w:w="0" w:type="auto"/>
            <w:vAlign w:val="center"/>
            <w:hideMark/>
            <w:shd w:val="clear" w:color="auto" w:fill="auto"/>
          </w:tcPr>
          <w:p w14:paraId="0EE39D4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715 982</w:t>
            </w:r>
          </w:p>
        </w:tc>
        <w:tc>
          <w:tcPr>
            <w:tcW w:w="0" w:type="auto"/>
            <w:vAlign w:val="center"/>
            <w:hideMark/>
            <w:shd w:val="clear" w:color="auto" w:fill="auto"/>
          </w:tcPr>
          <w:p w14:paraId="4D15B6E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533 390</w:t>
            </w:r>
          </w:p>
        </w:tc>
        <w:tc>
          <w:tcPr>
            <w:tcW w:w="0" w:type="auto"/>
            <w:vAlign w:val="center"/>
            <w:hideMark/>
            <w:shd w:val="clear" w:color="auto" w:fill="auto"/>
          </w:tcPr>
          <w:p w14:paraId="5515F33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-4 831</w:t>
            </w:r>
          </w:p>
        </w:tc>
        <w:tc>
          <w:tcPr>
            <w:tcW w:w="0" w:type="auto"/>
            <w:vAlign w:val="center"/>
            <w:hideMark/>
            <w:shd w:val="clear" w:color="auto" w:fill="auto"/>
          </w:tcPr>
          <w:p w14:paraId="46213DA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99,10</w:t>
            </w:r>
          </w:p>
        </w:tc>
      </w:tr>
      <w:tr w:rsidR="000005A2" w:rsidRPr="000005A2" w14:paraId="449F313D" w14:textId="77777777">
        <w:trPr>
          <w:tblCellSpacing w:w="15" w:type="dxa"/>
          <w:cantSplit/>
        </w:trPr>
        <w:tc>
          <w:tcPr>
            <w:tcW w:w="0" w:type="auto"/>
            <w:vAlign w:val="center"/>
            <w:hideMark/>
            <w:shd w:val="clear" w:color="auto" w:fill="auto"/>
          </w:tcPr>
          <w:p w14:paraId="39F0309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Кредиторская задолженность, тыс. руб.</w:t>
            </w:r>
          </w:p>
        </w:tc>
        <w:tc>
          <w:tcPr>
            <w:tcW w:w="0" w:type="auto"/>
            <w:vAlign w:val="center"/>
            <w:hideMark/>
            <w:shd w:val="clear" w:color="auto" w:fill="auto"/>
          </w:tcPr>
          <w:p w14:paraId="4E84E0B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633 915</w:t>
            </w:r>
          </w:p>
        </w:tc>
        <w:tc>
          <w:tcPr>
            <w:tcW w:w="0" w:type="auto"/>
            <w:vAlign w:val="center"/>
            <w:hideMark/>
            <w:shd w:val="clear" w:color="auto" w:fill="auto"/>
          </w:tcPr>
          <w:p w14:paraId="5AAE318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764 495</w:t>
            </w:r>
          </w:p>
        </w:tc>
        <w:tc>
          <w:tcPr>
            <w:tcW w:w="0" w:type="auto"/>
            <w:vAlign w:val="center"/>
            <w:hideMark/>
            <w:shd w:val="clear" w:color="auto" w:fill="auto"/>
          </w:tcPr>
          <w:p w14:paraId="67AF392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596 079</w:t>
            </w:r>
          </w:p>
        </w:tc>
        <w:tc>
          <w:tcPr>
            <w:tcW w:w="0" w:type="auto"/>
            <w:vAlign w:val="center"/>
            <w:hideMark/>
            <w:shd w:val="clear" w:color="auto" w:fill="auto"/>
          </w:tcPr>
          <w:p w14:paraId="4831361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-37 836</w:t>
            </w:r>
          </w:p>
        </w:tc>
        <w:tc>
          <w:tcPr>
            <w:tcW w:w="0" w:type="auto"/>
            <w:vAlign w:val="center"/>
            <w:hideMark/>
            <w:shd w:val="clear" w:color="auto" w:fill="auto"/>
          </w:tcPr>
          <w:p w14:paraId="22F5A3F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94,03</w:t>
            </w:r>
          </w:p>
        </w:tc>
      </w:tr>
      <w:tr w:rsidR="000005A2" w:rsidRPr="000005A2" w14:paraId="62E9EC93" w14:textId="77777777">
        <w:trPr>
          <w:tblCellSpacing w:w="15" w:type="dxa"/>
          <w:cantSplit/>
        </w:trPr>
        <w:tc>
          <w:tcPr>
            <w:tcW w:w="0" w:type="auto"/>
            <w:vAlign w:val="center"/>
            <w:hideMark/>
            <w:shd w:val="clear" w:color="auto" w:fill="auto"/>
          </w:tcPr>
          <w:p w14:paraId="2A30BF1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Выручка, тыс. руб.</w:t>
            </w:r>
          </w:p>
        </w:tc>
        <w:tc>
          <w:tcPr>
            <w:tcW w:w="0" w:type="auto"/>
            <w:vAlign w:val="center"/>
            <w:hideMark/>
            <w:shd w:val="clear" w:color="auto" w:fill="auto"/>
          </w:tcPr>
          <w:p w14:paraId="2B1F853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1 148 812</w:t>
            </w:r>
          </w:p>
        </w:tc>
        <w:tc>
          <w:tcPr>
            <w:tcW w:w="0" w:type="auto"/>
            <w:vAlign w:val="center"/>
            <w:hideMark/>
            <w:shd w:val="clear" w:color="auto" w:fill="auto"/>
          </w:tcPr>
          <w:p w14:paraId="73472B4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1 870 351</w:t>
            </w:r>
          </w:p>
        </w:tc>
        <w:tc>
          <w:tcPr>
            <w:tcW w:w="0" w:type="auto"/>
            <w:vAlign w:val="center"/>
            <w:hideMark/>
            <w:shd w:val="clear" w:color="auto" w:fill="auto"/>
          </w:tcPr>
          <w:p w14:paraId="0C53625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1 940 248</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791 436</w:t>
            </w:r>
          </w:p>
        </w:tc>
        <w:tc>
          <w:tcPr>
            <w:tcW w:w="0" w:type="auto"/>
            <w:vAlign w:val="center"/>
            <w:hideMark/>
            <w:shd w:val="clear" w:color="auto" w:fill="auto"/>
          </w:tcPr>
          <w:p w14:paraId="441B35C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168,89</w:t>
            </w:r>
          </w:p>
        </w:tc>
      </w:tr>
      <w:tr w:rsidR="000005A2" w:rsidRPr="000005A2" w14:paraId="07BA4691" w14:textId="77777777">
        <w:trPr>
          <w:tblCellSpacing w:w="15" w:type="dxa"/>
          <w:cantSplit/>
        </w:trPr>
        <w:tc>
          <w:tcPr>
            <w:tcW w:w="0" w:type="auto"/>
            <w:vAlign w:val="center"/>
            <w:hideMark/>
            <w:shd w:val="clear" w:color="auto" w:fill="auto"/>
          </w:tcPr>
          <w:p w14:paraId="4325BDD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Чистая прибыль, тыс. руб.</w:t>
            </w:r>
          </w:p>
        </w:tc>
        <w:tc>
          <w:tcPr>
            <w:tcW w:w="0" w:type="auto"/>
            <w:vAlign w:val="center"/>
            <w:hideMark/>
            <w:shd w:val="clear" w:color="auto" w:fill="auto"/>
          </w:tcPr>
          <w:p w14:paraId="19F08CF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187 443</w:t>
            </w:r>
          </w:p>
        </w:tc>
        <w:tc>
          <w:tcPr>
            <w:tcW w:w="0" w:type="auto"/>
            <w:vAlign w:val="center"/>
            <w:hideMark/>
            <w:shd w:val="clear" w:color="auto" w:fill="auto"/>
          </w:tcPr>
          <w:p w14:paraId="3C5BB6F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162 784</w:t>
            </w:r>
          </w:p>
        </w:tc>
        <w:tc>
          <w:tcPr>
            <w:tcW w:w="0" w:type="auto"/>
            <w:vAlign w:val="center"/>
            <w:hideMark/>
            <w:shd w:val="clear" w:color="auto" w:fill="auto"/>
          </w:tcPr>
          <w:p w14:paraId="2588060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150 088</w:t>
            </w:r>
          </w:p>
        </w:tc>
        <w:tc>
          <w:tcPr>
            <w:tcW w:w="0" w:type="auto"/>
            <w:vAlign w:val="center"/>
            <w:hideMark/>
            <w:shd w:val="clear" w:color="auto" w:fill="auto"/>
          </w:tcPr>
          <w:p w14:paraId="6E5B95D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-37 355</w:t>
            </w:r>
          </w:p>
        </w:tc>
        <w:tc>
          <w:tcPr>
            <w:tcW w:w="0" w:type="auto"/>
            <w:vAlign w:val="center"/>
            <w:hideMark/>
            <w:shd w:val="clear" w:color="auto" w:fill="auto"/>
          </w:tcPr>
          <w:p w14:paraId="4A8FBFB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80,07</w:t>
            </w:r>
          </w:p>
        </w:tc>
      </w:tr>
      <w:tr w:rsidR="000005A2" w:rsidRPr="000005A2" w14:paraId="6ECC167B" w14:textId="77777777">
        <w:trPr>
          <w:tblCellSpacing w:w="15" w:type="dxa"/>
          <w:cantSplit/>
        </w:trPr>
        <w:tc>
          <w:tcPr>
            <w:tcW w:w="0" w:type="auto"/>
            <w:vAlign w:val="center"/>
            <w:hideMark/>
            <w:shd w:val="clear" w:color="auto" w:fill="auto"/>
          </w:tcPr>
          <w:p w14:paraId="1031EAE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Налоговая нагрузка по налогу на прибыль, %</w:t>
            </w:r>
          </w:p>
        </w:tc>
        <w:tc>
          <w:tcPr>
            <w:tcW w:w="0" w:type="auto"/>
            <w:vAlign w:val="center"/>
            <w:hideMark/>
            <w:shd w:val="clear" w:color="auto" w:fill="auto"/>
          </w:tcPr>
          <w:p w14:paraId="660DDC5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4,20</w:t>
            </w:r>
          </w:p>
        </w:tc>
        <w:tc>
          <w:tcPr>
            <w:tcW w:w="0" w:type="auto"/>
            <w:vAlign w:val="center"/>
            <w:hideMark/>
            <w:shd w:val="clear" w:color="auto" w:fill="auto"/>
          </w:tcPr>
          <w:p w14:paraId="3CCBAEF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2,19</w:t>
            </w:r>
          </w:p>
        </w:tc>
        <w:tc>
          <w:tcPr>
            <w:tcW w:w="0" w:type="auto"/>
            <w:vAlign w:val="center"/>
            <w:hideMark/>
            <w:shd w:val="clear" w:color="auto" w:fill="auto"/>
          </w:tcPr>
          <w:p w14:paraId="6D03B84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2,74</w:t>
            </w:r>
          </w:p>
        </w:tc>
        <w:tc>
          <w:tcPr>
            <w:tcW w:w="0" w:type="auto"/>
            <w:vAlign w:val="center"/>
            <w:hideMark/>
            <w:shd w:val="clear" w:color="auto" w:fill="auto"/>
          </w:tcPr>
          <w:p w14:paraId="42C2773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-1,46</w:t>
            </w:r>
          </w:p>
        </w:tc>
        <w:tc>
          <w:tcPr>
            <w:tcW w:w="0" w:type="auto"/>
            <w:vAlign w:val="center"/>
            <w:hideMark/>
            <w:shd w:val="clear" w:color="auto" w:fill="auto"/>
          </w:tcPr>
          <w:p w14:paraId="3964E5A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65,24</w:t>
            </w:r>
          </w:p>
        </w:tc>
      </w:tr>
    </w:tbl>
    <w:p w14:paraId="41AAF10D"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35571AEE" w14:textId="77777777" w:rsidR="00A8405D" w:rsidRPr="00A8405D" w:rsidRDefault="00A8405D" w:rsidP="00A8405D">
      <w:pPr>
        <w:spacing w:before="0" w:after="0" w:line="360" w:lineRule="auto"/>
        <w:ind w:left="0" w:right="0" w:firstLine="709"/>
        <w:jc w:val="both"/>
        <w:rPr>
          <w:lang w:eastAsia="ru-RU"/>
        </w:rPr>
      </w:pPr>
      <w:r w:rsidRPr="00A8405D">
        <w:rPr>
          <w:rFonts w:ascii="Times New Roman" w:hAnsi="Times New Roman" w:eastAsia="Times New Roman"/>
          <w:b w:val="0"/>
          <w:sz w:val="28"/>
          <w:lang w:eastAsia="ru-RU"/>
        </w:rPr>
        <w:t>Анализ табл. 1.1 показывает расширение деятельности ООО "МИЛЛАБ" в 2023-2025 гг. Прежде всего это видно по росту выручки, а также по увеличению численности персонала. Численность работников выросла на 53,95%, что отражает увеличение объема операций и нагрузки на коммерческие и сервисные функции.</w:t>
      </w:r>
    </w:p>
    <w:p w14:paraId="69B0EA9C" w14:textId="77777777" w:rsidR="00A8405D" w:rsidRPr="00A8405D" w:rsidRDefault="00A8405D" w:rsidP="00A8405D">
      <w:pPr>
        <w:spacing w:before="0" w:after="0" w:line="360" w:lineRule="auto"/>
        <w:ind w:left="0" w:right="0" w:firstLine="709"/>
        <w:jc w:val="both"/>
        <w:rPr>
          <w:lang w:eastAsia="ru-RU"/>
        </w:rPr>
      </w:pPr>
      <w:r w:rsidRPr="00A8405D">
        <w:rPr>
          <w:rFonts w:ascii="Times New Roman" w:hAnsi="Times New Roman" w:eastAsia="Times New Roman"/>
          <w:b w:val="0"/>
          <w:sz w:val="28"/>
          <w:lang w:eastAsia="ru-RU"/>
        </w:rPr>
        <w:t>Далее важно оценить, как рост масштабов подкреплялся ресурсами. Основные средства увеличились на 273,06%, то есть компания заметно усилила материально техническую базу. Одновременно выросли запасы на 59,02%. Для дистрибьютора оборудования это может быть связано с расширением ассортимента и формированием складского резерва, однако рост запасов всегда требует контроля оборачиваемости, иначе увеличивается доля замороженных средств.</w:t>
      </w:r>
    </w:p>
    <w:p w14:paraId="43254DD2" w14:textId="77777777" w:rsidR="00A8405D" w:rsidRPr="00A8405D" w:rsidRDefault="00A8405D" w:rsidP="00A8405D">
      <w:pPr>
        <w:spacing w:before="0" w:after="0" w:line="360" w:lineRule="auto"/>
        <w:ind w:left="0" w:right="0" w:firstLine="709"/>
        <w:jc w:val="both"/>
        <w:rPr>
          <w:lang w:eastAsia="ru-RU"/>
        </w:rPr>
      </w:pPr>
      <w:r w:rsidRPr="00A8405D">
        <w:rPr>
          <w:rFonts w:ascii="Times New Roman" w:hAnsi="Times New Roman" w:eastAsia="Times New Roman"/>
          <w:b w:val="0"/>
          <w:sz w:val="28"/>
          <w:lang w:eastAsia="ru-RU"/>
        </w:rPr>
        <w:t xml:space="preserve">Переходя к расчетам с контрагентами, можно отметить, что дебиторская задолженность в 2025 г. составила 99,10% к уровню 2023 г. Внутри периода был рост в 2024 г. и снижение в 2025 г., что похоже на усиление контроля </w:t>
      </w:r>
      <w:proofErr w:type="spellStart"/>
      <w:r w:rsidRPr="00A8405D">
        <w:rPr>
          <w:rFonts w:ascii="Times New Roman" w:hAnsi="Times New Roman" w:eastAsia="Times New Roman"/>
          <w:b w:val="0"/>
          <w:sz w:val="28"/>
          <w:lang w:eastAsia="ru-RU"/>
        </w:rPr>
        <w:t>дебиторки</w:t>
      </w:r>
      <w:proofErr w:type="spellEnd"/>
      <w:r w:rsidRPr="00A8405D">
        <w:rPr>
          <w:rFonts w:ascii="Times New Roman" w:hAnsi="Times New Roman" w:eastAsia="Times New Roman"/>
          <w:b w:val="0"/>
          <w:sz w:val="28"/>
          <w:lang w:eastAsia="ru-RU"/>
        </w:rPr>
        <w:t xml:space="preserve">. Кредиторская задолженность сократилась и составила 94,03% к уровню 2023 г. Это снижает зависимость от поставщиков, но одновременно уменьшает объем финансирования оборота за счет </w:t>
      </w:r>
      <w:proofErr w:type="spellStart"/>
      <w:r w:rsidRPr="00A8405D">
        <w:rPr>
          <w:rFonts w:ascii="Times New Roman" w:hAnsi="Times New Roman" w:eastAsia="Times New Roman"/>
          <w:b w:val="0"/>
          <w:sz w:val="28"/>
          <w:lang w:eastAsia="ru-RU"/>
        </w:rPr>
        <w:t>кредиторки</w:t>
      </w:r>
      <w:proofErr w:type="spellEnd"/>
      <w:r w:rsidRPr="00A8405D">
        <w:rPr>
          <w:rFonts w:ascii="Times New Roman" w:hAnsi="Times New Roman" w:eastAsia="Times New Roman"/>
          <w:b w:val="0"/>
          <w:sz w:val="28"/>
          <w:lang w:eastAsia="ru-RU"/>
        </w:rPr>
        <w:t>, что особенно чувствительно при росте запасов.</w:t>
      </w:r>
    </w:p>
    <w:p w14:paraId="09274164" w14:textId="77777777" w:rsidR="00A8405D" w:rsidRPr="00A8405D" w:rsidRDefault="00A8405D" w:rsidP="00A8405D">
      <w:pPr>
        <w:spacing w:before="0" w:after="0" w:line="360" w:lineRule="auto"/>
        <w:ind w:left="0" w:right="0" w:firstLine="709"/>
        <w:jc w:val="both"/>
        <w:rPr>
          <w:lang w:eastAsia="ru-RU"/>
        </w:rPr>
      </w:pPr>
      <w:r w:rsidRPr="00A8405D">
        <w:rPr>
          <w:rFonts w:ascii="Times New Roman" w:hAnsi="Times New Roman" w:eastAsia="Times New Roman"/>
          <w:b w:val="0"/>
          <w:sz w:val="28"/>
          <w:lang w:eastAsia="ru-RU"/>
        </w:rPr>
        <w:lastRenderedPageBreak/>
        <w:t>На этом фоне финансовый результат ухудшился. Чистая прибыль в 2025 г. составила 80,07% к уровню 2023 г., то есть прибыль снижается при росте оборота. Дополнительно видно, что налоговая нагрузка по налогу на прибыль снизилась с 4,20% до 2,74%. Следовательно, основной источник снижения чистой прибыли связан не с налогами, а с операционными причинами и затратами, что далее подтверждают показатели следующих таблиц.</w:t>
      </w:r>
    </w:p>
    <w:p w14:paraId="5F2BDAD5" w14:textId="77777777" w:rsidR="00A01F31" w:rsidRPr="00A01F31" w:rsidRDefault="00A01F31" w:rsidP="00A01F31">
      <w:pPr>
        <w:rPr>
          <w:lang w:eastAsia="ru-RU"/>
        </w:rPr>
      </w:pPr>
    </w:p>
    <w:p w14:paraId="26875775" w14:textId="0046D44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1.2 – Показатели обеспеченности и эффективности использования основных средств ООО «МИЛЛАБ»</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29"/>
        <w:gridCol w:w="861"/>
        <w:gridCol w:w="861"/>
        <w:gridCol w:w="861"/>
        <w:gridCol w:w="2471"/>
        <w:gridCol w:w="1055"/>
      </w:tblGrid>
      <w:tr w:rsidR="000005A2" w:rsidRPr="000005A2" w14:paraId="39B7D02D" w14:textId="77777777">
        <w:trPr>
          <w:tblHeader w:val="true"/>
          <w:tblCellSpacing w:w="15" w:type="dxa"/>
          <w:tblHeader w:val="true"/>
          <w:cantSplit/>
        </w:trPr>
        <w:tc>
          <w:tcPr>
            <w:tcW w:w="0" w:type="auto"/>
            <w:vAlign w:val="center"/>
            <w:hideMark/>
            <w:shd w:val="clear" w:color="auto" w:fill="auto"/>
          </w:tcPr>
          <w:p w14:paraId="3132F733"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0B42354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w:t>
            </w:r>
          </w:p>
        </w:tc>
        <w:tc>
          <w:tcPr>
            <w:tcW w:w="0" w:type="auto"/>
            <w:vAlign w:val="center"/>
            <w:hideMark/>
            <w:shd w:val="clear" w:color="auto" w:fill="auto"/>
          </w:tcPr>
          <w:p w14:paraId="060183F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w:t>
            </w:r>
          </w:p>
        </w:tc>
        <w:tc>
          <w:tcPr>
            <w:tcW w:w="0" w:type="auto"/>
            <w:vAlign w:val="center"/>
            <w:hideMark/>
            <w:shd w:val="clear" w:color="auto" w:fill="auto"/>
          </w:tcPr>
          <w:p w14:paraId="032F3DB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w:t>
            </w:r>
          </w:p>
        </w:tc>
        <w:tc>
          <w:tcPr>
            <w:tcW w:w="0" w:type="auto"/>
            <w:vAlign w:val="center"/>
            <w:hideMark/>
            <w:shd w:val="clear" w:color="auto" w:fill="auto"/>
          </w:tcPr>
          <w:p w14:paraId="465E8F4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Абсолютное отклонение 2025 г. от 2023 г.</w:t>
            </w:r>
          </w:p>
        </w:tc>
        <w:tc>
          <w:tcPr>
            <w:tcW w:w="0" w:type="auto"/>
            <w:vAlign w:val="center"/>
            <w:hideMark/>
            <w:shd w:val="clear" w:color="auto" w:fill="auto"/>
          </w:tcPr>
          <w:p w14:paraId="34ABB126"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Темп роста, %</w:t>
            </w:r>
          </w:p>
        </w:tc>
      </w:tr>
      <w:tr w:rsidR="000005A2" w:rsidRPr="000005A2" w14:paraId="4C015D90" w14:textId="77777777">
        <w:trPr>
          <w:tblCellSpacing w:w="15" w:type="dxa"/>
          <w:cantSplit/>
        </w:trPr>
        <w:tc>
          <w:tcPr>
            <w:tcW w:w="0" w:type="auto"/>
            <w:vAlign w:val="center"/>
            <w:hideMark/>
            <w:shd w:val="clear" w:color="auto" w:fill="auto"/>
          </w:tcPr>
          <w:p w14:paraId="5BBA323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Среднегодовая стоимость основных средств, тыс. руб.</w:t>
            </w:r>
          </w:p>
        </w:tc>
        <w:tc>
          <w:tcPr>
            <w:tcW w:w="0" w:type="auto"/>
            <w:vAlign w:val="center"/>
            <w:hideMark/>
            <w:shd w:val="clear" w:color="auto" w:fill="auto"/>
          </w:tcPr>
          <w:p w14:paraId="1125B9C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2 342</w:t>
            </w:r>
          </w:p>
        </w:tc>
        <w:tc>
          <w:tcPr>
            <w:tcW w:w="0" w:type="auto"/>
            <w:vAlign w:val="center"/>
            <w:hideMark/>
            <w:shd w:val="clear" w:color="auto" w:fill="auto"/>
          </w:tcPr>
          <w:p w14:paraId="6F54F7E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4 034</w:t>
            </w:r>
          </w:p>
        </w:tc>
        <w:tc>
          <w:tcPr>
            <w:tcW w:w="0" w:type="auto"/>
            <w:vAlign w:val="center"/>
            <w:hideMark/>
            <w:shd w:val="clear" w:color="auto" w:fill="auto"/>
          </w:tcPr>
          <w:p w14:paraId="29B77FB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6 781</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4 439</w:t>
            </w:r>
          </w:p>
        </w:tc>
        <w:tc>
          <w:tcPr>
            <w:tcW w:w="0" w:type="auto"/>
            <w:vAlign w:val="center"/>
            <w:hideMark/>
            <w:shd w:val="clear" w:color="auto" w:fill="auto"/>
          </w:tcPr>
          <w:p w14:paraId="64632EA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289,54</w:t>
            </w:r>
          </w:p>
        </w:tc>
      </w:tr>
      <w:tr w:rsidR="000005A2" w:rsidRPr="000005A2" w14:paraId="569B1DE1" w14:textId="77777777">
        <w:trPr>
          <w:tblCellSpacing w:w="15" w:type="dxa"/>
          <w:cantSplit/>
        </w:trPr>
        <w:tc>
          <w:tcPr>
            <w:tcW w:w="0" w:type="auto"/>
            <w:vAlign w:val="center"/>
            <w:hideMark/>
            <w:shd w:val="clear" w:color="auto" w:fill="auto"/>
          </w:tcPr>
          <w:p w14:paraId="6B6F2D2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Фондовооружённость, тыс. руб./чел.</w:t>
            </w:r>
          </w:p>
        </w:tc>
        <w:tc>
          <w:tcPr>
            <w:tcW w:w="0" w:type="auto"/>
            <w:vAlign w:val="center"/>
            <w:hideMark/>
            <w:shd w:val="clear" w:color="auto" w:fill="auto"/>
          </w:tcPr>
          <w:p w14:paraId="2325560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30,82</w:t>
            </w:r>
          </w:p>
        </w:tc>
        <w:tc>
          <w:tcPr>
            <w:tcW w:w="0" w:type="auto"/>
            <w:vAlign w:val="center"/>
            <w:hideMark/>
            <w:shd w:val="clear" w:color="auto" w:fill="auto"/>
          </w:tcPr>
          <w:p w14:paraId="6A62A21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38,06</w:t>
            </w:r>
          </w:p>
        </w:tc>
        <w:tc>
          <w:tcPr>
            <w:tcW w:w="0" w:type="auto"/>
            <w:vAlign w:val="center"/>
            <w:hideMark/>
            <w:shd w:val="clear" w:color="auto" w:fill="auto"/>
          </w:tcPr>
          <w:p w14:paraId="64F1FC4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57,96</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27,14</w:t>
            </w:r>
          </w:p>
        </w:tc>
        <w:tc>
          <w:tcPr>
            <w:tcW w:w="0" w:type="auto"/>
            <w:vAlign w:val="center"/>
            <w:hideMark/>
            <w:shd w:val="clear" w:color="auto" w:fill="auto"/>
          </w:tcPr>
          <w:p w14:paraId="498035C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188,06</w:t>
            </w:r>
          </w:p>
        </w:tc>
      </w:tr>
      <w:tr w:rsidR="000005A2" w:rsidRPr="000005A2" w14:paraId="1289BDE5" w14:textId="77777777">
        <w:trPr>
          <w:tblCellSpacing w:w="15" w:type="dxa"/>
          <w:cantSplit/>
        </w:trPr>
        <w:tc>
          <w:tcPr>
            <w:tcW w:w="0" w:type="auto"/>
            <w:vAlign w:val="center"/>
            <w:hideMark/>
            <w:shd w:val="clear" w:color="auto" w:fill="auto"/>
          </w:tcPr>
          <w:p w14:paraId="17D628B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Фондоотдача, руб./руб.</w:t>
            </w:r>
          </w:p>
        </w:tc>
        <w:tc>
          <w:tcPr>
            <w:tcW w:w="0" w:type="auto"/>
            <w:vAlign w:val="center"/>
            <w:hideMark/>
            <w:shd w:val="clear" w:color="auto" w:fill="auto"/>
          </w:tcPr>
          <w:p w14:paraId="0DE5B90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490,53</w:t>
            </w:r>
          </w:p>
        </w:tc>
        <w:tc>
          <w:tcPr>
            <w:tcW w:w="0" w:type="auto"/>
            <w:vAlign w:val="center"/>
            <w:hideMark/>
            <w:shd w:val="clear" w:color="auto" w:fill="auto"/>
          </w:tcPr>
          <w:p w14:paraId="40F6DC6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463,65</w:t>
            </w:r>
          </w:p>
        </w:tc>
        <w:tc>
          <w:tcPr>
            <w:tcW w:w="0" w:type="auto"/>
            <w:vAlign w:val="center"/>
            <w:hideMark/>
            <w:shd w:val="clear" w:color="auto" w:fill="auto"/>
          </w:tcPr>
          <w:p w14:paraId="597296D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286,13</w:t>
            </w:r>
          </w:p>
        </w:tc>
        <w:tc>
          <w:tcPr>
            <w:tcW w:w="0" w:type="auto"/>
            <w:vAlign w:val="center"/>
            <w:hideMark/>
            <w:shd w:val="clear" w:color="auto" w:fill="auto"/>
          </w:tcPr>
          <w:p w14:paraId="1C108E4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-204,40</w:t>
            </w:r>
          </w:p>
        </w:tc>
        <w:tc>
          <w:tcPr>
            <w:tcW w:w="0" w:type="auto"/>
            <w:vAlign w:val="center"/>
            <w:hideMark/>
            <w:shd w:val="clear" w:color="auto" w:fill="auto"/>
          </w:tcPr>
          <w:p w14:paraId="422EA55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58,33</w:t>
            </w:r>
          </w:p>
        </w:tc>
      </w:tr>
      <w:tr w:rsidR="000005A2" w:rsidRPr="000005A2" w14:paraId="7DEC4AD5" w14:textId="77777777">
        <w:trPr>
          <w:tblCellSpacing w:w="15" w:type="dxa"/>
          <w:cantSplit/>
        </w:trPr>
        <w:tc>
          <w:tcPr>
            <w:tcW w:w="0" w:type="auto"/>
            <w:vAlign w:val="center"/>
            <w:hideMark/>
            <w:shd w:val="clear" w:color="auto" w:fill="auto"/>
          </w:tcPr>
          <w:p w14:paraId="4946B20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proofErr w:type="spellStart"/>
            <w:r w:rsidRPr="000005A2">
              <w:rPr>
                <w:rFonts w:eastAsia="Times New Roman" w:cs="Times New Roman" w:ascii="Times New Roman" w:hAnsi="Times New Roman"/>
                <w:b w:val="0"/>
                <w:i w:val="0"/>
                <w:kern w:val="0"/>
                <w:sz w:val="24"/>
                <w:lang w:eastAsia="ru-RU"/>
                <w14:ligatures w14:val="none"/>
              </w:rPr>
              <w:t>Фондоёмкость</w:t>
            </w:r>
            <w:proofErr w:type="spellEnd"/>
            <w:r w:rsidRPr="000005A2">
              <w:rPr>
                <w:rFonts w:eastAsia="Times New Roman" w:cs="Times New Roman" w:ascii="Times New Roman" w:hAnsi="Times New Roman"/>
                <w:b w:val="0"/>
                <w:i w:val="0"/>
                <w:kern w:val="0"/>
                <w:sz w:val="24"/>
                <w:lang w:eastAsia="ru-RU"/>
                <w14:ligatures w14:val="none"/>
              </w:rPr>
              <w:t>, руб./руб.</w:t>
            </w:r>
          </w:p>
        </w:tc>
        <w:tc>
          <w:tcPr>
            <w:tcW w:w="0" w:type="auto"/>
            <w:vAlign w:val="center"/>
            <w:hideMark/>
            <w:shd w:val="clear" w:color="auto" w:fill="auto"/>
          </w:tcPr>
          <w:p w14:paraId="3828034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0,00204</w:t>
            </w:r>
          </w:p>
        </w:tc>
        <w:tc>
          <w:tcPr>
            <w:tcW w:w="0" w:type="auto"/>
            <w:vAlign w:val="center"/>
            <w:hideMark/>
            <w:shd w:val="clear" w:color="auto" w:fill="auto"/>
          </w:tcPr>
          <w:p w14:paraId="721324C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0,00216</w:t>
            </w:r>
          </w:p>
        </w:tc>
        <w:tc>
          <w:tcPr>
            <w:tcW w:w="0" w:type="auto"/>
            <w:vAlign w:val="center"/>
            <w:hideMark/>
            <w:shd w:val="clear" w:color="auto" w:fill="auto"/>
          </w:tcPr>
          <w:p w14:paraId="637763B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0,00349</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0,00145</w:t>
            </w:r>
          </w:p>
        </w:tc>
        <w:tc>
          <w:tcPr>
            <w:tcW w:w="0" w:type="auto"/>
            <w:vAlign w:val="center"/>
            <w:hideMark/>
            <w:shd w:val="clear" w:color="auto" w:fill="auto"/>
          </w:tcPr>
          <w:p w14:paraId="77BF38A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171,08</w:t>
            </w:r>
          </w:p>
        </w:tc>
      </w:tr>
      <w:tr w:rsidR="000005A2" w:rsidRPr="000005A2" w14:paraId="31B7286B" w14:textId="77777777">
        <w:trPr>
          <w:tblCellSpacing w:w="15" w:type="dxa"/>
          <w:cantSplit/>
        </w:trPr>
        <w:tc>
          <w:tcPr>
            <w:tcW w:w="0" w:type="auto"/>
            <w:vAlign w:val="center"/>
            <w:hideMark/>
            <w:shd w:val="clear" w:color="auto" w:fill="auto"/>
          </w:tcPr>
          <w:p w14:paraId="6CFFBF3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Фондорентабельность, %</w:t>
            </w:r>
          </w:p>
        </w:tc>
        <w:tc>
          <w:tcPr>
            <w:tcW w:w="0" w:type="auto"/>
            <w:vAlign w:val="center"/>
            <w:hideMark/>
            <w:shd w:val="clear" w:color="auto" w:fill="auto"/>
          </w:tcPr>
          <w:p w14:paraId="2A56B7B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9 885,35</w:t>
            </w:r>
          </w:p>
        </w:tc>
        <w:tc>
          <w:tcPr>
            <w:tcW w:w="0" w:type="auto"/>
            <w:vAlign w:val="center"/>
            <w:hideMark/>
            <w:shd w:val="clear" w:color="auto" w:fill="auto"/>
          </w:tcPr>
          <w:p w14:paraId="5BD26CC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5 691,50</w:t>
            </w:r>
          </w:p>
        </w:tc>
        <w:tc>
          <w:tcPr>
            <w:tcW w:w="0" w:type="auto"/>
            <w:vAlign w:val="center"/>
            <w:hideMark/>
            <w:shd w:val="clear" w:color="auto" w:fill="auto"/>
          </w:tcPr>
          <w:p w14:paraId="32A4CA5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3 297,58</w:t>
            </w:r>
          </w:p>
        </w:tc>
        <w:tc>
          <w:tcPr>
            <w:tcW w:w="0" w:type="auto"/>
            <w:vAlign w:val="center"/>
            <w:hideMark/>
            <w:shd w:val="clear" w:color="auto" w:fill="auto"/>
          </w:tcPr>
          <w:p w14:paraId="76F34B9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-6 587,77</w:t>
            </w:r>
          </w:p>
        </w:tc>
        <w:tc>
          <w:tcPr>
            <w:tcW w:w="0" w:type="auto"/>
            <w:vAlign w:val="center"/>
            <w:hideMark/>
            <w:shd w:val="clear" w:color="auto" w:fill="auto"/>
          </w:tcPr>
          <w:p w14:paraId="6EA7AD7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33,36</w:t>
            </w:r>
          </w:p>
        </w:tc>
      </w:tr>
      <w:tr w:rsidR="00A01F31" w:rsidRPr="000005A2" w14:paraId="74DFE72F" w14:textId="77777777" w:rsidTr="00A01F31">
        <w:trPr>
          <w:trHeight w:val="50"/>
          <w:tblCellSpacing w:w="15" w:type="dxa"/>
          <w:cantSplit/>
        </w:trPr>
        <w:tc>
          <w:tcPr>
            <w:tcW w:w="0" w:type="auto"/>
            <w:vAlign w:val="center"/>
            <w:shd w:val="clear" w:color="auto" w:fill="auto"/>
          </w:tcPr>
          <w:p w14:paraId="4A46B289" w14:textId="77777777" w:rsidR="00A01F31" w:rsidRPr="000005A2" w:rsidRDefault="00A01F31" w:rsidP="000005A2">
            <w:pPr>
              <w:spacing w:line="240" w:lineRule="auto" w:before="0" w:after="0"/>
              <w:ind w:left="0" w:right="0" w:firstLine="0"/>
              <w:jc w:val="left"/>
              <w:rPr>
                <w:rFonts w:eastAsia="Times New Roman" w:cs="Times New Roman"/>
                <w:kern w:val="0"/>
                <w:sz w:val="24"/>
                <w:lang w:eastAsia="ru-RU"/>
                <w14:ligatures w14:val="none"/>
              </w:rPr>
            </w:pPr>
          </w:p>
        </w:tc>
        <w:tc>
          <w:tcPr>
            <w:tcW w:w="0" w:type="auto"/>
            <w:vAlign w:val="center"/>
            <w:shd w:val="clear" w:color="auto" w:fill="auto"/>
          </w:tcPr>
          <w:p w14:paraId="153C0FCF" w14:textId="77777777" w:rsidR="00A01F31" w:rsidRPr="000005A2" w:rsidRDefault="00A01F31" w:rsidP="000005A2">
            <w:pPr>
              <w:spacing w:line="240" w:lineRule="auto" w:before="0" w:after="0"/>
              <w:ind w:left="0" w:right="0" w:firstLine="0"/>
              <w:jc w:val="center"/>
              <w:rPr>
                <w:rFonts w:eastAsia="Times New Roman" w:cs="Times New Roman"/>
                <w:kern w:val="0"/>
                <w:sz w:val="24"/>
                <w:lang w:eastAsia="ru-RU"/>
                <w14:ligatures w14:val="none"/>
              </w:rPr>
            </w:pPr>
          </w:p>
        </w:tc>
        <w:tc>
          <w:tcPr>
            <w:tcW w:w="0" w:type="auto"/>
            <w:vAlign w:val="center"/>
            <w:shd w:val="clear" w:color="auto" w:fill="auto"/>
          </w:tcPr>
          <w:p w14:paraId="3C372A1A" w14:textId="77777777" w:rsidR="00A01F31" w:rsidRPr="000005A2" w:rsidRDefault="00A01F31" w:rsidP="000005A2">
            <w:pPr>
              <w:spacing w:line="240" w:lineRule="auto" w:before="0" w:after="0"/>
              <w:ind w:left="0" w:right="0" w:firstLine="0"/>
              <w:jc w:val="center"/>
              <w:rPr>
                <w:rFonts w:eastAsia="Times New Roman" w:cs="Times New Roman"/>
                <w:kern w:val="0"/>
                <w:sz w:val="24"/>
                <w:lang w:eastAsia="ru-RU"/>
                <w14:ligatures w14:val="none"/>
              </w:rPr>
            </w:pPr>
          </w:p>
        </w:tc>
        <w:tc>
          <w:tcPr>
            <w:tcW w:w="0" w:type="auto"/>
            <w:vAlign w:val="center"/>
            <w:shd w:val="clear" w:color="auto" w:fill="auto"/>
          </w:tcPr>
          <w:p w14:paraId="2B57003D" w14:textId="77777777" w:rsidR="00A01F31" w:rsidRPr="000005A2" w:rsidRDefault="00A01F31" w:rsidP="000005A2">
            <w:pPr>
              <w:spacing w:line="240" w:lineRule="auto" w:before="0" w:after="0"/>
              <w:ind w:left="0" w:right="0" w:firstLine="0"/>
              <w:jc w:val="center"/>
              <w:rPr>
                <w:rFonts w:eastAsia="Times New Roman" w:cs="Times New Roman"/>
                <w:kern w:val="0"/>
                <w:sz w:val="24"/>
                <w:lang w:eastAsia="ru-RU"/>
                <w14:ligatures w14:val="none"/>
              </w:rPr>
            </w:pPr>
          </w:p>
        </w:tc>
        <w:tc>
          <w:tcPr>
            <w:tcW w:w="0" w:type="auto"/>
            <w:vAlign w:val="center"/>
            <w:shd w:val="clear" w:color="auto" w:fill="auto"/>
          </w:tcPr>
          <w:p w14:paraId="43B0E101" w14:textId="77777777" w:rsidR="00A01F31" w:rsidRPr="000005A2" w:rsidRDefault="00A01F31" w:rsidP="000005A2">
            <w:pPr>
              <w:spacing w:line="240" w:lineRule="auto" w:before="0" w:after="0"/>
              <w:ind w:left="0" w:right="0" w:firstLine="0"/>
              <w:jc w:val="center"/>
              <w:rPr>
                <w:rFonts w:eastAsia="Times New Roman" w:cs="Times New Roman"/>
                <w:kern w:val="0"/>
                <w:sz w:val="24"/>
                <w:lang w:eastAsia="ru-RU"/>
                <w14:ligatures w14:val="none"/>
              </w:rPr>
            </w:pPr>
          </w:p>
        </w:tc>
        <w:tc>
          <w:tcPr>
            <w:tcW w:w="0" w:type="auto"/>
            <w:vAlign w:val="center"/>
            <w:shd w:val="clear" w:color="auto" w:fill="auto"/>
          </w:tcPr>
          <w:p w14:paraId="73B4A9B8" w14:textId="77777777" w:rsidR="00A01F31" w:rsidRPr="000005A2" w:rsidRDefault="00A01F31" w:rsidP="000005A2">
            <w:pPr>
              <w:spacing w:line="240" w:lineRule="auto" w:before="0" w:after="0"/>
              <w:ind w:left="0" w:right="0" w:firstLine="0"/>
              <w:jc w:val="center"/>
              <w:rPr>
                <w:rFonts w:eastAsia="Times New Roman" w:cs="Times New Roman"/>
                <w:kern w:val="0"/>
                <w:sz w:val="24"/>
                <w:lang w:eastAsia="ru-RU"/>
                <w14:ligatures w14:val="none"/>
              </w:rPr>
            </w:pPr>
          </w:p>
        </w:tc>
      </w:tr>
    </w:tbl>
    <w:p w14:paraId="56DC59BC"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Переходя к оценке основных средств, по данным табл. 1.2 видно, что среднегодовая стоимость основных средств в 2025 г. составила 289,54% к уровню 2023 г. Одновременно фондовооруженность выросла до 188,06% к 2023 г. Это означает, что техническая обеспеченность труда усилилась и компания последовательно инвестировала в инфраструктуру.</w:t>
      </w:r>
    </w:p>
    <w:p w14:paraId="5E6B6673"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 xml:space="preserve">Далее необходимо сопоставить рост базы с ее отдачей. Фондоотдача снизилась и в 2025 г. составила 58,33% к уровню 2023 г. В результате </w:t>
      </w:r>
      <w:proofErr w:type="spellStart"/>
      <w:r w:rsidRPr="00A8405D">
        <w:rPr>
          <w:rFonts w:ascii="Times New Roman" w:hAnsi="Times New Roman" w:eastAsia="Times New Roman"/>
          <w:b w:val="0"/>
          <w:sz w:val="28"/>
          <w:lang w:eastAsia="ru-RU"/>
        </w:rPr>
        <w:t>фондоемкость</w:t>
      </w:r>
      <w:proofErr w:type="spellEnd"/>
      <w:r w:rsidRPr="00A8405D">
        <w:rPr>
          <w:rFonts w:ascii="Times New Roman" w:hAnsi="Times New Roman" w:eastAsia="Times New Roman"/>
          <w:b w:val="0"/>
          <w:sz w:val="28"/>
          <w:lang w:eastAsia="ru-RU"/>
        </w:rPr>
        <w:t xml:space="preserve"> выросла до 171,08% к уровню 2023 г. Экономический смысл показателей заключается в том, что выручка на 1 руб. основных средств снизилась, а капиталоемкость, напротив, выросла.</w:t>
      </w:r>
    </w:p>
    <w:p w14:paraId="59462BDB"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Эту же тенденцию подтверждает фондорентабельность. В 2025 г. показатель составил 33,36% к уровню 2023 г. Снижение объясняется сочетанием роста стоимости основных средств и падения прибыли от продаж. Следовательно, вложения в основные средства пока не обеспечивают сопоставимого эффекта по прибыли, а повышение эффективности возможно только при восстановлении маржи и более полной загрузке инфраструктуры.</w:t>
      </w:r>
    </w:p>
    <w:p w14:paraId="60D1A88A"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5A965787" w14:textId="613246C4"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1.3 – Показатели эффективности использования трудовых ресурсов ООО «МИЛЛАБ»</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30"/>
        <w:gridCol w:w="830"/>
        <w:gridCol w:w="830"/>
        <w:gridCol w:w="830"/>
        <w:gridCol w:w="2542"/>
        <w:gridCol w:w="1076"/>
      </w:tblGrid>
      <w:tr w:rsidR="000005A2" w:rsidRPr="000005A2" w14:paraId="24882C06" w14:textId="77777777">
        <w:trPr>
          <w:tblHeader w:val="true"/>
          <w:tblCellSpacing w:w="15" w:type="dxa"/>
          <w:tblHeader w:val="true"/>
          <w:cantSplit/>
        </w:trPr>
        <w:tc>
          <w:tcPr>
            <w:tcW w:w="0" w:type="auto"/>
            <w:vAlign w:val="center"/>
            <w:hideMark/>
            <w:shd w:val="clear" w:color="auto" w:fill="auto"/>
          </w:tcPr>
          <w:p w14:paraId="54A8BAE5"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6816CFC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w:t>
            </w:r>
          </w:p>
        </w:tc>
        <w:tc>
          <w:tcPr>
            <w:tcW w:w="0" w:type="auto"/>
            <w:vAlign w:val="center"/>
            <w:hideMark/>
            <w:shd w:val="clear" w:color="auto" w:fill="auto"/>
          </w:tcPr>
          <w:p w14:paraId="4E2D4D3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w:t>
            </w:r>
          </w:p>
        </w:tc>
        <w:tc>
          <w:tcPr>
            <w:tcW w:w="0" w:type="auto"/>
            <w:vAlign w:val="center"/>
            <w:hideMark/>
            <w:shd w:val="clear" w:color="auto" w:fill="auto"/>
          </w:tcPr>
          <w:p w14:paraId="3AF948D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w:t>
            </w:r>
          </w:p>
        </w:tc>
        <w:tc>
          <w:tcPr>
            <w:tcW w:w="0" w:type="auto"/>
            <w:vAlign w:val="center"/>
            <w:hideMark/>
            <w:shd w:val="clear" w:color="auto" w:fill="auto"/>
          </w:tcPr>
          <w:p w14:paraId="086B7F74"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Абсолютное отклонение 2025 г. от 2023 г.</w:t>
            </w:r>
          </w:p>
        </w:tc>
        <w:tc>
          <w:tcPr>
            <w:tcW w:w="0" w:type="auto"/>
            <w:vAlign w:val="center"/>
            <w:hideMark/>
            <w:shd w:val="clear" w:color="auto" w:fill="auto"/>
          </w:tcPr>
          <w:p w14:paraId="1F052C7B"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Темп роста, %</w:t>
            </w:r>
          </w:p>
        </w:tc>
      </w:tr>
      <w:tr w:rsidR="000005A2" w:rsidRPr="000005A2" w14:paraId="5D75C2B9" w14:textId="77777777">
        <w:trPr>
          <w:tblCellSpacing w:w="15" w:type="dxa"/>
          <w:cantSplit/>
        </w:trPr>
        <w:tc>
          <w:tcPr>
            <w:tcW w:w="0" w:type="auto"/>
            <w:vAlign w:val="center"/>
            <w:hideMark/>
            <w:shd w:val="clear" w:color="auto" w:fill="auto"/>
          </w:tcPr>
          <w:p w14:paraId="170DA4A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Среднегодовая численность работников, чел.</w:t>
            </w:r>
          </w:p>
        </w:tc>
        <w:tc>
          <w:tcPr>
            <w:tcW w:w="0" w:type="auto"/>
            <w:vAlign w:val="center"/>
            <w:hideMark/>
            <w:shd w:val="clear" w:color="auto" w:fill="auto"/>
          </w:tcPr>
          <w:p w14:paraId="017205D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76</w:t>
            </w:r>
          </w:p>
        </w:tc>
        <w:tc>
          <w:tcPr>
            <w:tcW w:w="0" w:type="auto"/>
            <w:vAlign w:val="center"/>
            <w:hideMark/>
            <w:shd w:val="clear" w:color="auto" w:fill="auto"/>
          </w:tcPr>
          <w:p w14:paraId="0E56CFE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106</w:t>
            </w:r>
          </w:p>
        </w:tc>
        <w:tc>
          <w:tcPr>
            <w:tcW w:w="0" w:type="auto"/>
            <w:vAlign w:val="center"/>
            <w:hideMark/>
            <w:shd w:val="clear" w:color="auto" w:fill="auto"/>
          </w:tcPr>
          <w:p w14:paraId="3373107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117</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41</w:t>
            </w:r>
          </w:p>
        </w:tc>
        <w:tc>
          <w:tcPr>
            <w:tcW w:w="0" w:type="auto"/>
            <w:vAlign w:val="center"/>
            <w:hideMark/>
            <w:shd w:val="clear" w:color="auto" w:fill="auto"/>
          </w:tcPr>
          <w:p w14:paraId="20A462F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153,95</w:t>
            </w:r>
          </w:p>
        </w:tc>
      </w:tr>
      <w:tr w:rsidR="000005A2" w:rsidRPr="000005A2" w14:paraId="05E38C42" w14:textId="77777777">
        <w:trPr>
          <w:tblCellSpacing w:w="15" w:type="dxa"/>
          <w:cantSplit/>
        </w:trPr>
        <w:tc>
          <w:tcPr>
            <w:tcW w:w="0" w:type="auto"/>
            <w:vAlign w:val="center"/>
            <w:hideMark/>
            <w:shd w:val="clear" w:color="auto" w:fill="auto"/>
          </w:tcPr>
          <w:p w14:paraId="09BC0C0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Производительность труда, тыс. руб./чел.</w:t>
            </w:r>
          </w:p>
        </w:tc>
        <w:tc>
          <w:tcPr>
            <w:tcW w:w="0" w:type="auto"/>
            <w:vAlign w:val="center"/>
            <w:hideMark/>
            <w:shd w:val="clear" w:color="auto" w:fill="auto"/>
          </w:tcPr>
          <w:p w14:paraId="0E2518D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15 115,95</w:t>
            </w:r>
          </w:p>
        </w:tc>
        <w:tc>
          <w:tcPr>
            <w:tcW w:w="0" w:type="auto"/>
            <w:vAlign w:val="center"/>
            <w:hideMark/>
            <w:shd w:val="clear" w:color="auto" w:fill="auto"/>
          </w:tcPr>
          <w:p w14:paraId="4036DCD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17 644,82</w:t>
            </w:r>
          </w:p>
        </w:tc>
        <w:tc>
          <w:tcPr>
            <w:tcW w:w="0" w:type="auto"/>
            <w:vAlign w:val="center"/>
            <w:hideMark/>
            <w:shd w:val="clear" w:color="auto" w:fill="auto"/>
          </w:tcPr>
          <w:p w14:paraId="13C27A0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16 583,32</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1 467,37</w:t>
            </w:r>
          </w:p>
        </w:tc>
        <w:tc>
          <w:tcPr>
            <w:tcW w:w="0" w:type="auto"/>
            <w:vAlign w:val="center"/>
            <w:hideMark/>
            <w:shd w:val="clear" w:color="auto" w:fill="auto"/>
          </w:tcPr>
          <w:p w14:paraId="6E99306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109,71</w:t>
            </w:r>
          </w:p>
        </w:tc>
      </w:tr>
      <w:tr w:rsidR="000005A2" w:rsidRPr="000005A2" w14:paraId="2737A56F" w14:textId="77777777">
        <w:trPr>
          <w:tblCellSpacing w:w="15" w:type="dxa"/>
          <w:cantSplit/>
        </w:trPr>
        <w:tc>
          <w:tcPr>
            <w:tcW w:w="0" w:type="auto"/>
            <w:vAlign w:val="center"/>
            <w:hideMark/>
            <w:shd w:val="clear" w:color="auto" w:fill="auto"/>
          </w:tcPr>
          <w:p w14:paraId="05887E8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Прибыль от продаж на одного работника, тыс. руб./чел.</w:t>
            </w:r>
          </w:p>
        </w:tc>
        <w:tc>
          <w:tcPr>
            <w:tcW w:w="0" w:type="auto"/>
            <w:vAlign w:val="center"/>
            <w:hideMark/>
            <w:shd w:val="clear" w:color="auto" w:fill="auto"/>
          </w:tcPr>
          <w:p w14:paraId="606B67A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3 046,25</w:t>
            </w:r>
          </w:p>
        </w:tc>
        <w:tc>
          <w:tcPr>
            <w:tcW w:w="0" w:type="auto"/>
            <w:vAlign w:val="center"/>
            <w:hideMark/>
            <w:shd w:val="clear" w:color="auto" w:fill="auto"/>
          </w:tcPr>
          <w:p w14:paraId="13750EC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2 165,99</w:t>
            </w:r>
          </w:p>
        </w:tc>
        <w:tc>
          <w:tcPr>
            <w:tcW w:w="0" w:type="auto"/>
            <w:vAlign w:val="center"/>
            <w:hideMark/>
            <w:shd w:val="clear" w:color="auto" w:fill="auto"/>
          </w:tcPr>
          <w:p w14:paraId="0CC47AE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1 911,19</w:t>
            </w:r>
          </w:p>
        </w:tc>
        <w:tc>
          <w:tcPr>
            <w:tcW w:w="0" w:type="auto"/>
            <w:vAlign w:val="center"/>
            <w:hideMark/>
            <w:shd w:val="clear" w:color="auto" w:fill="auto"/>
          </w:tcPr>
          <w:p w14:paraId="68AABF0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-1 135,06</w:t>
            </w:r>
          </w:p>
        </w:tc>
        <w:tc>
          <w:tcPr>
            <w:tcW w:w="0" w:type="auto"/>
            <w:vAlign w:val="center"/>
            <w:hideMark/>
            <w:shd w:val="clear" w:color="auto" w:fill="auto"/>
          </w:tcPr>
          <w:p w14:paraId="796EB58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62,74</w:t>
            </w:r>
          </w:p>
        </w:tc>
      </w:tr>
    </w:tbl>
    <w:p w14:paraId="562D742C"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После оценки основных средств логично рассмотреть эффективность использования персонала. По данным табл. 1.3 производительность труда в 2025 г. составила 109,71% к уровню 2023 г. Это означает, что выручка на 1 работника в целом выросла, хотя в 2025 г. темп роста выручки уже не поддерживал прежний эффект от расширения штата.</w:t>
      </w:r>
    </w:p>
    <w:p w14:paraId="28CEB020"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Далее показатель прибыли от продаж на 1 работника дает более точную оценку качества роста. В 2025 г. он составил 62,74% к уровню 2023 г. Следовательно, организация получает заметно меньше операционной прибыли на каждого работника, чем в начале периода. На практике это обычно связано с падением маржинальности продаж и ростом коммерческих расходов.</w:t>
      </w:r>
    </w:p>
    <w:p w14:paraId="1C4783EF"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Таким образом, по трудовым ресурсам наблюдается типичная для периода масштабирования ситуация. Выручка на 1 работника удерживается, а прибыльность труда снижается. Это означает, что приоритетом становится не столько дальнейший рост численности, сколько повышение эффективности затрат и восстановление рентабельности продаж.</w:t>
      </w:r>
    </w:p>
    <w:p w14:paraId="201D54F1"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1CD26A9E" w14:textId="49AD803C"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1.4 – Результаты деятельности ООО «МИЛЛАБ»</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9"/>
        <w:gridCol w:w="838"/>
        <w:gridCol w:w="838"/>
        <w:gridCol w:w="838"/>
        <w:gridCol w:w="3166"/>
        <w:gridCol w:w="1259"/>
      </w:tblGrid>
      <w:tr w:rsidR="000005A2" w:rsidRPr="000005A2" w14:paraId="0466C0E0" w14:textId="77777777">
        <w:trPr>
          <w:tblHeader w:val="true"/>
          <w:tblCellSpacing w:w="15" w:type="dxa"/>
          <w:tblHeader w:val="true"/>
          <w:cantSplit/>
        </w:trPr>
        <w:tc>
          <w:tcPr>
            <w:tcW w:w="0" w:type="auto"/>
            <w:vAlign w:val="center"/>
            <w:hideMark/>
            <w:shd w:val="clear" w:color="auto" w:fill="auto"/>
          </w:tcPr>
          <w:p w14:paraId="4F50FA53"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70A03491"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w:t>
            </w:r>
          </w:p>
        </w:tc>
        <w:tc>
          <w:tcPr>
            <w:tcW w:w="0" w:type="auto"/>
            <w:vAlign w:val="center"/>
            <w:hideMark/>
            <w:shd w:val="clear" w:color="auto" w:fill="auto"/>
          </w:tcPr>
          <w:p w14:paraId="4D0D868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w:t>
            </w:r>
          </w:p>
        </w:tc>
        <w:tc>
          <w:tcPr>
            <w:tcW w:w="0" w:type="auto"/>
            <w:vAlign w:val="center"/>
            <w:hideMark/>
            <w:shd w:val="clear" w:color="auto" w:fill="auto"/>
          </w:tcPr>
          <w:p w14:paraId="1AEEB998"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w:t>
            </w:r>
          </w:p>
        </w:tc>
        <w:tc>
          <w:tcPr>
            <w:tcW w:w="0" w:type="auto"/>
            <w:vAlign w:val="center"/>
            <w:hideMark/>
            <w:shd w:val="clear" w:color="auto" w:fill="auto"/>
          </w:tcPr>
          <w:p w14:paraId="5352B9C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Абсолютное отклонение 2025 г. от 2023 г.</w:t>
            </w:r>
          </w:p>
        </w:tc>
        <w:tc>
          <w:tcPr>
            <w:tcW w:w="0" w:type="auto"/>
            <w:vAlign w:val="center"/>
            <w:hideMark/>
            <w:shd w:val="clear" w:color="auto" w:fill="auto"/>
          </w:tcPr>
          <w:p w14:paraId="27AF1FE1"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Темп роста, %</w:t>
            </w:r>
          </w:p>
        </w:tc>
      </w:tr>
      <w:tr w:rsidR="000005A2" w:rsidRPr="000005A2" w14:paraId="60205182" w14:textId="77777777">
        <w:trPr>
          <w:tblCellSpacing w:w="15" w:type="dxa"/>
          <w:cantSplit/>
        </w:trPr>
        <w:tc>
          <w:tcPr>
            <w:tcW w:w="0" w:type="auto"/>
            <w:vAlign w:val="center"/>
            <w:hideMark/>
            <w:shd w:val="clear" w:color="auto" w:fill="auto"/>
          </w:tcPr>
          <w:p w14:paraId="7502057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Выручка, тыс. руб.</w:t>
            </w:r>
          </w:p>
        </w:tc>
        <w:tc>
          <w:tcPr>
            <w:tcW w:w="0" w:type="auto"/>
            <w:vAlign w:val="center"/>
            <w:hideMark/>
            <w:shd w:val="clear" w:color="auto" w:fill="auto"/>
          </w:tcPr>
          <w:p w14:paraId="6997EFD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1 148 812</w:t>
            </w:r>
          </w:p>
        </w:tc>
        <w:tc>
          <w:tcPr>
            <w:tcW w:w="0" w:type="auto"/>
            <w:vAlign w:val="center"/>
            <w:hideMark/>
            <w:shd w:val="clear" w:color="auto" w:fill="auto"/>
          </w:tcPr>
          <w:p w14:paraId="04D89D5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1 870 351</w:t>
            </w:r>
          </w:p>
        </w:tc>
        <w:tc>
          <w:tcPr>
            <w:tcW w:w="0" w:type="auto"/>
            <w:vAlign w:val="center"/>
            <w:hideMark/>
            <w:shd w:val="clear" w:color="auto" w:fill="auto"/>
          </w:tcPr>
          <w:p w14:paraId="0517E53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1 940 248</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791 436</w:t>
            </w:r>
          </w:p>
        </w:tc>
        <w:tc>
          <w:tcPr>
            <w:tcW w:w="0" w:type="auto"/>
            <w:vAlign w:val="center"/>
            <w:hideMark/>
            <w:shd w:val="clear" w:color="auto" w:fill="auto"/>
          </w:tcPr>
          <w:p w14:paraId="1BC1427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168,89</w:t>
            </w:r>
          </w:p>
        </w:tc>
      </w:tr>
      <w:tr w:rsidR="000005A2" w:rsidRPr="000005A2" w14:paraId="371A2B47" w14:textId="77777777">
        <w:trPr>
          <w:tblCellSpacing w:w="15" w:type="dxa"/>
          <w:cantSplit/>
        </w:trPr>
        <w:tc>
          <w:tcPr>
            <w:tcW w:w="0" w:type="auto"/>
            <w:vAlign w:val="center"/>
            <w:hideMark/>
            <w:shd w:val="clear" w:color="auto" w:fill="auto"/>
          </w:tcPr>
          <w:p w14:paraId="52E3D1F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Себестоимость продаж, тыс. руб.</w:t>
            </w:r>
          </w:p>
        </w:tc>
        <w:tc>
          <w:tcPr>
            <w:tcW w:w="0" w:type="auto"/>
            <w:vAlign w:val="center"/>
            <w:hideMark/>
            <w:shd w:val="clear" w:color="auto" w:fill="auto"/>
          </w:tcPr>
          <w:p w14:paraId="08FBAC5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662 437</w:t>
            </w:r>
          </w:p>
        </w:tc>
        <w:tc>
          <w:tcPr>
            <w:tcW w:w="0" w:type="auto"/>
            <w:vAlign w:val="center"/>
            <w:hideMark/>
            <w:shd w:val="clear" w:color="auto" w:fill="auto"/>
          </w:tcPr>
          <w:p w14:paraId="3A0EEF0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1 153 396</w:t>
            </w:r>
          </w:p>
        </w:tc>
        <w:tc>
          <w:tcPr>
            <w:tcW w:w="0" w:type="auto"/>
            <w:vAlign w:val="center"/>
            <w:hideMark/>
            <w:shd w:val="clear" w:color="auto" w:fill="auto"/>
          </w:tcPr>
          <w:p w14:paraId="69F5AC1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1 199 477</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537 040</w:t>
            </w:r>
          </w:p>
        </w:tc>
        <w:tc>
          <w:tcPr>
            <w:tcW w:w="0" w:type="auto"/>
            <w:vAlign w:val="center"/>
            <w:hideMark/>
            <w:shd w:val="clear" w:color="auto" w:fill="auto"/>
          </w:tcPr>
          <w:p w14:paraId="2ADB38A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181,07</w:t>
            </w:r>
          </w:p>
        </w:tc>
      </w:tr>
      <w:tr w:rsidR="000005A2" w:rsidRPr="000005A2" w14:paraId="2D5AAB2D" w14:textId="77777777">
        <w:trPr>
          <w:tblCellSpacing w:w="15" w:type="dxa"/>
          <w:cantSplit/>
        </w:trPr>
        <w:tc>
          <w:tcPr>
            <w:tcW w:w="0" w:type="auto"/>
            <w:vAlign w:val="center"/>
            <w:hideMark/>
            <w:shd w:val="clear" w:color="auto" w:fill="auto"/>
          </w:tcPr>
          <w:p w14:paraId="01FB01E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Прибыль от продаж, тыс. руб.</w:t>
            </w:r>
          </w:p>
        </w:tc>
        <w:tc>
          <w:tcPr>
            <w:tcW w:w="0" w:type="auto"/>
            <w:vAlign w:val="center"/>
            <w:hideMark/>
            <w:shd w:val="clear" w:color="auto" w:fill="auto"/>
          </w:tcPr>
          <w:p w14:paraId="158412B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231 515</w:t>
            </w:r>
          </w:p>
        </w:tc>
        <w:tc>
          <w:tcPr>
            <w:tcW w:w="0" w:type="auto"/>
            <w:vAlign w:val="center"/>
            <w:hideMark/>
            <w:shd w:val="clear" w:color="auto" w:fill="auto"/>
          </w:tcPr>
          <w:p w14:paraId="06CDF71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229 595</w:t>
            </w:r>
          </w:p>
        </w:tc>
        <w:tc>
          <w:tcPr>
            <w:tcW w:w="0" w:type="auto"/>
            <w:vAlign w:val="center"/>
            <w:hideMark/>
            <w:shd w:val="clear" w:color="auto" w:fill="auto"/>
          </w:tcPr>
          <w:p w14:paraId="268D996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223 609</w:t>
            </w:r>
          </w:p>
        </w:tc>
        <w:tc>
          <w:tcPr>
            <w:tcW w:w="0" w:type="auto"/>
            <w:vAlign w:val="center"/>
            <w:hideMark/>
            <w:shd w:val="clear" w:color="auto" w:fill="auto"/>
          </w:tcPr>
          <w:p w14:paraId="2141FE8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-7 906</w:t>
            </w:r>
          </w:p>
        </w:tc>
        <w:tc>
          <w:tcPr>
            <w:tcW w:w="0" w:type="auto"/>
            <w:vAlign w:val="center"/>
            <w:hideMark/>
            <w:shd w:val="clear" w:color="auto" w:fill="auto"/>
          </w:tcPr>
          <w:p w14:paraId="7BCE1DD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96,59</w:t>
            </w:r>
          </w:p>
        </w:tc>
      </w:tr>
      <w:tr w:rsidR="000005A2" w:rsidRPr="000005A2" w14:paraId="4CB417C2" w14:textId="77777777">
        <w:trPr>
          <w:tblCellSpacing w:w="15" w:type="dxa"/>
          <w:cantSplit/>
        </w:trPr>
        <w:tc>
          <w:tcPr>
            <w:tcW w:w="0" w:type="auto"/>
            <w:vAlign w:val="center"/>
            <w:hideMark/>
            <w:shd w:val="clear" w:color="auto" w:fill="auto"/>
          </w:tcPr>
          <w:p w14:paraId="0A65A58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lastRenderedPageBreak/>
              <w:t>Чистая прибыль, тыс. руб.</w:t>
            </w:r>
          </w:p>
        </w:tc>
        <w:tc>
          <w:tcPr>
            <w:tcW w:w="0" w:type="auto"/>
            <w:vAlign w:val="center"/>
            <w:hideMark/>
            <w:shd w:val="clear" w:color="auto" w:fill="auto"/>
          </w:tcPr>
          <w:p w14:paraId="788B1CA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187 443</w:t>
            </w:r>
          </w:p>
        </w:tc>
        <w:tc>
          <w:tcPr>
            <w:tcW w:w="0" w:type="auto"/>
            <w:vAlign w:val="center"/>
            <w:hideMark/>
            <w:shd w:val="clear" w:color="auto" w:fill="auto"/>
          </w:tcPr>
          <w:p w14:paraId="0BD6335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162 784</w:t>
            </w:r>
          </w:p>
        </w:tc>
        <w:tc>
          <w:tcPr>
            <w:tcW w:w="0" w:type="auto"/>
            <w:vAlign w:val="center"/>
            <w:hideMark/>
            <w:shd w:val="clear" w:color="auto" w:fill="auto"/>
          </w:tcPr>
          <w:p w14:paraId="337D5FC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150 088</w:t>
            </w:r>
          </w:p>
        </w:tc>
        <w:tc>
          <w:tcPr>
            <w:tcW w:w="0" w:type="auto"/>
            <w:vAlign w:val="center"/>
            <w:hideMark/>
            <w:shd w:val="clear" w:color="auto" w:fill="auto"/>
          </w:tcPr>
          <w:p w14:paraId="6BCF81A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-37 355</w:t>
            </w:r>
          </w:p>
        </w:tc>
        <w:tc>
          <w:tcPr>
            <w:tcW w:w="0" w:type="auto"/>
            <w:vAlign w:val="center"/>
            <w:hideMark/>
            <w:shd w:val="clear" w:color="auto" w:fill="auto"/>
          </w:tcPr>
          <w:p w14:paraId="12AE886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80,07</w:t>
            </w:r>
          </w:p>
        </w:tc>
      </w:tr>
      <w:tr w:rsidR="000005A2" w:rsidRPr="000005A2" w14:paraId="672AE471" w14:textId="77777777">
        <w:trPr>
          <w:tblCellSpacing w:w="15" w:type="dxa"/>
          <w:cantSplit/>
        </w:trPr>
        <w:tc>
          <w:tcPr>
            <w:tcW w:w="0" w:type="auto"/>
            <w:vAlign w:val="center"/>
            <w:hideMark/>
            <w:shd w:val="clear" w:color="auto" w:fill="auto"/>
          </w:tcPr>
          <w:p w14:paraId="340051B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Рентабельность продаж, %</w:t>
            </w:r>
          </w:p>
        </w:tc>
        <w:tc>
          <w:tcPr>
            <w:tcW w:w="0" w:type="auto"/>
            <w:vAlign w:val="center"/>
            <w:hideMark/>
            <w:shd w:val="clear" w:color="auto" w:fill="auto"/>
          </w:tcPr>
          <w:p w14:paraId="0B4C4E2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20,15</w:t>
            </w:r>
          </w:p>
        </w:tc>
        <w:tc>
          <w:tcPr>
            <w:tcW w:w="0" w:type="auto"/>
            <w:vAlign w:val="center"/>
            <w:hideMark/>
            <w:shd w:val="clear" w:color="auto" w:fill="auto"/>
          </w:tcPr>
          <w:p w14:paraId="095DD74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12,28</w:t>
            </w:r>
          </w:p>
        </w:tc>
        <w:tc>
          <w:tcPr>
            <w:tcW w:w="0" w:type="auto"/>
            <w:vAlign w:val="center"/>
            <w:hideMark/>
            <w:shd w:val="clear" w:color="auto" w:fill="auto"/>
          </w:tcPr>
          <w:p w14:paraId="7018745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11,52</w:t>
            </w:r>
          </w:p>
        </w:tc>
        <w:tc>
          <w:tcPr>
            <w:tcW w:w="0" w:type="auto"/>
            <w:vAlign w:val="center"/>
            <w:hideMark/>
            <w:shd w:val="clear" w:color="auto" w:fill="auto"/>
          </w:tcPr>
          <w:p w14:paraId="75350F1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-8,63</w:t>
            </w:r>
          </w:p>
        </w:tc>
        <w:tc>
          <w:tcPr>
            <w:tcW w:w="0" w:type="auto"/>
            <w:vAlign w:val="center"/>
            <w:hideMark/>
            <w:shd w:val="clear" w:color="auto" w:fill="auto"/>
          </w:tcPr>
          <w:p w14:paraId="0F91CB2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57,17</w:t>
            </w:r>
          </w:p>
        </w:tc>
      </w:tr>
    </w:tbl>
    <w:p w14:paraId="383D78FA"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Переходя к оценке результатов деятельности, по данным табл. 1.4 выручка в 2025 г. составила 168,89% к уровню 2023 г. Однако себестоимость продаж выросла быстрее и достигла 181,07% к уровню 2023 г. Опережающий рост себестоимости означает сжатие валовой маржи и снижение эффективности основной деятельности.</w:t>
      </w:r>
    </w:p>
    <w:p w14:paraId="2956D481"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Далее это отражается на прибыли. Прибыль от продаж в 2025 г. составила 96,59% к уровню 2023 г., то есть показатель снизился, несмотря на рост выручки. Чистая прибыль снизилась еще сильнее и в 2025 г. составила 80,07% к уровню 2023 г. Следовательно, рост оборота не трансформируется в рост конечного результата, а дополнительная выручка поглощается затратами.</w:t>
      </w:r>
    </w:p>
    <w:p w14:paraId="03232FDC"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 xml:space="preserve">Снижение эффективности хорошо видно и по рентабельности продаж. Рентабельность продаж снизилась с 20,15% до 11,53%, снижение составило 8,62 </w:t>
      </w:r>
      <w:proofErr w:type="spellStart"/>
      <w:r w:rsidRPr="00A8405D">
        <w:rPr>
          <w:rFonts w:ascii="Times New Roman" w:hAnsi="Times New Roman" w:eastAsia="Times New Roman"/>
          <w:b w:val="0"/>
          <w:sz w:val="28"/>
          <w:lang w:eastAsia="ru-RU"/>
        </w:rPr>
        <w:t>п.п</w:t>
      </w:r>
      <w:proofErr w:type="spellEnd"/>
      <w:r w:rsidRPr="00A8405D">
        <w:rPr>
          <w:rFonts w:ascii="Times New Roman" w:hAnsi="Times New Roman" w:eastAsia="Times New Roman"/>
          <w:b w:val="0"/>
          <w:sz w:val="28"/>
          <w:lang w:eastAsia="ru-RU"/>
        </w:rPr>
        <w:t>. В относительном выражении рентабельность продаж в 2025 г. составляет 57,22% от уровня 2023 г. Это подтверждает существенное падение маржинальности, которое далее логично связать с динамикой полной себестоимости и коммерческих расходов.</w:t>
      </w:r>
    </w:p>
    <w:p w14:paraId="20E55818"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738A9E03" w14:textId="729D8ADE"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1.5 – Окупаемость затрат ООО «МИЛЛАБ»</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15"/>
        <w:gridCol w:w="828"/>
        <w:gridCol w:w="829"/>
        <w:gridCol w:w="829"/>
        <w:gridCol w:w="3098"/>
        <w:gridCol w:w="1239"/>
      </w:tblGrid>
      <w:tr w:rsidR="000005A2" w:rsidRPr="000005A2" w14:paraId="3F108C9B" w14:textId="77777777">
        <w:trPr>
          <w:tblHeader w:val="true"/>
          <w:tblCellSpacing w:w="15" w:type="dxa"/>
          <w:tblHeader w:val="true"/>
          <w:cantSplit/>
        </w:trPr>
        <w:tc>
          <w:tcPr>
            <w:tcW w:w="0" w:type="auto"/>
            <w:vAlign w:val="center"/>
            <w:hideMark/>
            <w:shd w:val="clear" w:color="auto" w:fill="auto"/>
          </w:tcPr>
          <w:p w14:paraId="27DCC690"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5BBA445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w:t>
            </w:r>
          </w:p>
        </w:tc>
        <w:tc>
          <w:tcPr>
            <w:tcW w:w="0" w:type="auto"/>
            <w:vAlign w:val="center"/>
            <w:hideMark/>
            <w:shd w:val="clear" w:color="auto" w:fill="auto"/>
          </w:tcPr>
          <w:p w14:paraId="13DBFEF8"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w:t>
            </w:r>
          </w:p>
        </w:tc>
        <w:tc>
          <w:tcPr>
            <w:tcW w:w="0" w:type="auto"/>
            <w:vAlign w:val="center"/>
            <w:hideMark/>
            <w:shd w:val="clear" w:color="auto" w:fill="auto"/>
          </w:tcPr>
          <w:p w14:paraId="79D1294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w:t>
            </w:r>
          </w:p>
        </w:tc>
        <w:tc>
          <w:tcPr>
            <w:tcW w:w="0" w:type="auto"/>
            <w:vAlign w:val="center"/>
            <w:hideMark/>
            <w:shd w:val="clear" w:color="auto" w:fill="auto"/>
          </w:tcPr>
          <w:p w14:paraId="6828DFE1"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Абсолютное отклонение 2025 г. от 2023 г.</w:t>
            </w:r>
          </w:p>
        </w:tc>
        <w:tc>
          <w:tcPr>
            <w:tcW w:w="0" w:type="auto"/>
            <w:vAlign w:val="center"/>
            <w:hideMark/>
            <w:shd w:val="clear" w:color="auto" w:fill="auto"/>
          </w:tcPr>
          <w:p w14:paraId="0321B45A"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Темп роста, %</w:t>
            </w:r>
          </w:p>
        </w:tc>
      </w:tr>
      <w:tr w:rsidR="000005A2" w:rsidRPr="000005A2" w14:paraId="73AC7D85" w14:textId="77777777">
        <w:trPr>
          <w:tblCellSpacing w:w="15" w:type="dxa"/>
          <w:cantSplit/>
        </w:trPr>
        <w:tc>
          <w:tcPr>
            <w:tcW w:w="0" w:type="auto"/>
            <w:vAlign w:val="center"/>
            <w:hideMark/>
            <w:shd w:val="clear" w:color="auto" w:fill="auto"/>
          </w:tcPr>
          <w:p w14:paraId="78EEDAB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Выручка, тыс. руб.</w:t>
            </w:r>
          </w:p>
        </w:tc>
        <w:tc>
          <w:tcPr>
            <w:tcW w:w="0" w:type="auto"/>
            <w:vAlign w:val="center"/>
            <w:hideMark/>
            <w:shd w:val="clear" w:color="auto" w:fill="auto"/>
          </w:tcPr>
          <w:p w14:paraId="7E49AF7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1 148 812</w:t>
            </w:r>
          </w:p>
        </w:tc>
        <w:tc>
          <w:tcPr>
            <w:tcW w:w="0" w:type="auto"/>
            <w:vAlign w:val="center"/>
            <w:hideMark/>
            <w:shd w:val="clear" w:color="auto" w:fill="auto"/>
          </w:tcPr>
          <w:p w14:paraId="6BDD545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1 870 351</w:t>
            </w:r>
          </w:p>
        </w:tc>
        <w:tc>
          <w:tcPr>
            <w:tcW w:w="0" w:type="auto"/>
            <w:vAlign w:val="center"/>
            <w:hideMark/>
            <w:shd w:val="clear" w:color="auto" w:fill="auto"/>
          </w:tcPr>
          <w:p w14:paraId="24F9DEB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1 940 248</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791 436</w:t>
            </w:r>
          </w:p>
        </w:tc>
        <w:tc>
          <w:tcPr>
            <w:tcW w:w="0" w:type="auto"/>
            <w:vAlign w:val="center"/>
            <w:hideMark/>
            <w:shd w:val="clear" w:color="auto" w:fill="auto"/>
          </w:tcPr>
          <w:p w14:paraId="2CF9513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168,89</w:t>
            </w:r>
          </w:p>
        </w:tc>
      </w:tr>
      <w:tr w:rsidR="000005A2" w:rsidRPr="000005A2" w14:paraId="18FD3CDA" w14:textId="77777777">
        <w:trPr>
          <w:tblCellSpacing w:w="15" w:type="dxa"/>
          <w:cantSplit/>
        </w:trPr>
        <w:tc>
          <w:tcPr>
            <w:tcW w:w="0" w:type="auto"/>
            <w:vAlign w:val="center"/>
            <w:hideMark/>
            <w:shd w:val="clear" w:color="auto" w:fill="auto"/>
          </w:tcPr>
          <w:p w14:paraId="3B58446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Себестоимость продаж, тыс. руб.</w:t>
            </w:r>
          </w:p>
        </w:tc>
        <w:tc>
          <w:tcPr>
            <w:tcW w:w="0" w:type="auto"/>
            <w:vAlign w:val="center"/>
            <w:hideMark/>
            <w:shd w:val="clear" w:color="auto" w:fill="auto"/>
          </w:tcPr>
          <w:p w14:paraId="44455BF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662 437</w:t>
            </w:r>
          </w:p>
        </w:tc>
        <w:tc>
          <w:tcPr>
            <w:tcW w:w="0" w:type="auto"/>
            <w:vAlign w:val="center"/>
            <w:hideMark/>
            <w:shd w:val="clear" w:color="auto" w:fill="auto"/>
          </w:tcPr>
          <w:p w14:paraId="33E5FB2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1 153 396</w:t>
            </w:r>
          </w:p>
        </w:tc>
        <w:tc>
          <w:tcPr>
            <w:tcW w:w="0" w:type="auto"/>
            <w:vAlign w:val="center"/>
            <w:hideMark/>
            <w:shd w:val="clear" w:color="auto" w:fill="auto"/>
          </w:tcPr>
          <w:p w14:paraId="18E1F57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1 199 477</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537 040</w:t>
            </w:r>
          </w:p>
        </w:tc>
        <w:tc>
          <w:tcPr>
            <w:tcW w:w="0" w:type="auto"/>
            <w:vAlign w:val="center"/>
            <w:hideMark/>
            <w:shd w:val="clear" w:color="auto" w:fill="auto"/>
          </w:tcPr>
          <w:p w14:paraId="51F401F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181,07</w:t>
            </w:r>
          </w:p>
        </w:tc>
      </w:tr>
      <w:tr w:rsidR="000005A2" w:rsidRPr="000005A2" w14:paraId="17C56B53" w14:textId="77777777">
        <w:trPr>
          <w:tblCellSpacing w:w="15" w:type="dxa"/>
          <w:cantSplit/>
        </w:trPr>
        <w:tc>
          <w:tcPr>
            <w:tcW w:w="0" w:type="auto"/>
            <w:vAlign w:val="center"/>
            <w:hideMark/>
            <w:shd w:val="clear" w:color="auto" w:fill="auto"/>
          </w:tcPr>
          <w:p w14:paraId="461426E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Коммерческие расходы, тыс. руб.</w:t>
            </w:r>
          </w:p>
        </w:tc>
        <w:tc>
          <w:tcPr>
            <w:tcW w:w="0" w:type="auto"/>
            <w:vAlign w:val="center"/>
            <w:hideMark/>
            <w:shd w:val="clear" w:color="auto" w:fill="auto"/>
          </w:tcPr>
          <w:p w14:paraId="0E2620A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254 860</w:t>
            </w:r>
          </w:p>
        </w:tc>
        <w:tc>
          <w:tcPr>
            <w:tcW w:w="0" w:type="auto"/>
            <w:vAlign w:val="center"/>
            <w:hideMark/>
            <w:shd w:val="clear" w:color="auto" w:fill="auto"/>
          </w:tcPr>
          <w:p w14:paraId="67BE5B6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487 360</w:t>
            </w:r>
          </w:p>
        </w:tc>
        <w:tc>
          <w:tcPr>
            <w:tcW w:w="0" w:type="auto"/>
            <w:vAlign w:val="center"/>
            <w:hideMark/>
            <w:shd w:val="clear" w:color="auto" w:fill="auto"/>
          </w:tcPr>
          <w:p w14:paraId="0CC4C6D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517 162</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262 302</w:t>
            </w:r>
          </w:p>
        </w:tc>
        <w:tc>
          <w:tcPr>
            <w:tcW w:w="0" w:type="auto"/>
            <w:vAlign w:val="center"/>
            <w:hideMark/>
            <w:shd w:val="clear" w:color="auto" w:fill="auto"/>
          </w:tcPr>
          <w:p w14:paraId="164CB4E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202,92</w:t>
            </w:r>
          </w:p>
        </w:tc>
      </w:tr>
      <w:tr w:rsidR="000005A2" w:rsidRPr="000005A2" w14:paraId="4AF11759" w14:textId="77777777">
        <w:trPr>
          <w:tblCellSpacing w:w="15" w:type="dxa"/>
          <w:cantSplit/>
        </w:trPr>
        <w:tc>
          <w:tcPr>
            <w:tcW w:w="0" w:type="auto"/>
            <w:vAlign w:val="center"/>
            <w:hideMark/>
            <w:shd w:val="clear" w:color="auto" w:fill="auto"/>
          </w:tcPr>
          <w:p w14:paraId="0BB2FB5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Управленческие расходы, тыс. руб.</w:t>
            </w:r>
          </w:p>
        </w:tc>
        <w:tc>
          <w:tcPr>
            <w:tcW w:w="0" w:type="auto"/>
            <w:vAlign w:val="center"/>
            <w:hideMark/>
            <w:shd w:val="clear" w:color="auto" w:fill="auto"/>
          </w:tcPr>
          <w:p w14:paraId="6C61D8B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00C35AE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6182AD1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6D36A05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63B2519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r>
      <w:tr w:rsidR="000005A2" w:rsidRPr="000005A2" w14:paraId="30973066" w14:textId="77777777">
        <w:trPr>
          <w:tblCellSpacing w:w="15" w:type="dxa"/>
          <w:cantSplit/>
        </w:trPr>
        <w:tc>
          <w:tcPr>
            <w:tcW w:w="0" w:type="auto"/>
            <w:vAlign w:val="center"/>
            <w:hideMark/>
            <w:shd w:val="clear" w:color="auto" w:fill="auto"/>
          </w:tcPr>
          <w:p w14:paraId="1E19971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Полная себестоимость, тыс. руб.</w:t>
            </w:r>
          </w:p>
        </w:tc>
        <w:tc>
          <w:tcPr>
            <w:tcW w:w="0" w:type="auto"/>
            <w:vAlign w:val="center"/>
            <w:hideMark/>
            <w:shd w:val="clear" w:color="auto" w:fill="auto"/>
          </w:tcPr>
          <w:p w14:paraId="56C5F41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917 297</w:t>
            </w:r>
          </w:p>
        </w:tc>
        <w:tc>
          <w:tcPr>
            <w:tcW w:w="0" w:type="auto"/>
            <w:vAlign w:val="center"/>
            <w:hideMark/>
            <w:shd w:val="clear" w:color="auto" w:fill="auto"/>
          </w:tcPr>
          <w:p w14:paraId="0332130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1 640 756</w:t>
            </w:r>
          </w:p>
        </w:tc>
        <w:tc>
          <w:tcPr>
            <w:tcW w:w="0" w:type="auto"/>
            <w:vAlign w:val="center"/>
            <w:hideMark/>
            <w:shd w:val="clear" w:color="auto" w:fill="auto"/>
          </w:tcPr>
          <w:p w14:paraId="331123B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1 716 639</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799 342</w:t>
            </w:r>
          </w:p>
        </w:tc>
        <w:tc>
          <w:tcPr>
            <w:tcW w:w="0" w:type="auto"/>
            <w:vAlign w:val="center"/>
            <w:hideMark/>
            <w:shd w:val="clear" w:color="auto" w:fill="auto"/>
          </w:tcPr>
          <w:p w14:paraId="38A1C1D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187,14</w:t>
            </w:r>
          </w:p>
        </w:tc>
      </w:tr>
      <w:tr w:rsidR="000005A2" w:rsidRPr="000005A2" w14:paraId="4E6A12EE" w14:textId="77777777">
        <w:trPr>
          <w:tblCellSpacing w:w="15" w:type="dxa"/>
          <w:cantSplit/>
        </w:trPr>
        <w:tc>
          <w:tcPr>
            <w:tcW w:w="0" w:type="auto"/>
            <w:vAlign w:val="center"/>
            <w:hideMark/>
            <w:shd w:val="clear" w:color="auto" w:fill="auto"/>
          </w:tcPr>
          <w:p w14:paraId="33288F3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Окупаемость затрат, руб./руб.</w:t>
            </w:r>
          </w:p>
        </w:tc>
        <w:tc>
          <w:tcPr>
            <w:tcW w:w="0" w:type="auto"/>
            <w:vAlign w:val="center"/>
            <w:hideMark/>
            <w:shd w:val="clear" w:color="auto" w:fill="auto"/>
          </w:tcPr>
          <w:p w14:paraId="360B533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1,252</w:t>
            </w:r>
          </w:p>
        </w:tc>
        <w:tc>
          <w:tcPr>
            <w:tcW w:w="0" w:type="auto"/>
            <w:vAlign w:val="center"/>
            <w:hideMark/>
            <w:shd w:val="clear" w:color="auto" w:fill="auto"/>
          </w:tcPr>
          <w:p w14:paraId="6B83AF0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1,140</w:t>
            </w:r>
          </w:p>
        </w:tc>
        <w:tc>
          <w:tcPr>
            <w:tcW w:w="0" w:type="auto"/>
            <w:vAlign w:val="center"/>
            <w:hideMark/>
            <w:shd w:val="clear" w:color="auto" w:fill="auto"/>
          </w:tcPr>
          <w:p w14:paraId="35DEA82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1,130</w:t>
            </w:r>
          </w:p>
        </w:tc>
        <w:tc>
          <w:tcPr>
            <w:tcW w:w="0" w:type="auto"/>
            <w:vAlign w:val="center"/>
            <w:hideMark/>
            <w:shd w:val="clear" w:color="auto" w:fill="auto"/>
          </w:tcPr>
          <w:p w14:paraId="39E525A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-0,122</w:t>
            </w:r>
          </w:p>
        </w:tc>
        <w:tc>
          <w:tcPr>
            <w:tcW w:w="0" w:type="auto"/>
            <w:vAlign w:val="center"/>
            <w:hideMark/>
            <w:shd w:val="clear" w:color="auto" w:fill="auto"/>
          </w:tcPr>
          <w:p w14:paraId="26E2307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90,26</w:t>
            </w:r>
          </w:p>
        </w:tc>
      </w:tr>
    </w:tbl>
    <w:p w14:paraId="19B2B0E4"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lastRenderedPageBreak/>
        <w:t>Для уточнения причин снижения прибыли рассмотрим окупаемость затрат по табл. 1.5. Полная себестоимость в 2025 г. составила 187,14% к уровню 2023 г., тогда как выручка выросла до 168,89% к уровню 2023 г. Следовательно, затраты росли быстрее оборота, что ухудшило итоговую эффективность.</w:t>
      </w:r>
    </w:p>
    <w:p w14:paraId="7738CEC0"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Далее наиболее чувствительным элементом выступают коммерческие расходы. В 2025 г. они составили 202,92% к уровню 2023 г. Это означает, что расходы на реализацию усиливают давление на прибыль и становятся одним из ключевых факторов падения операционной маржи.</w:t>
      </w:r>
    </w:p>
    <w:p w14:paraId="5960973B" w14:textId="77777777" w:rsidR="00A8405D" w:rsidRPr="00A8405D" w:rsidRDefault="00A8405D" w:rsidP="00A8405D">
      <w:pPr>
        <w:spacing w:before="0" w:beforeAutospacing="1" w:after="0" w:afterAutospacing="1" w:line="360" w:lineRule="auto"/>
        <w:ind w:left="0" w:right="0" w:firstLine="709"/>
        <w:jc w:val="both"/>
        <w:outlineLvl w:val="2"/>
        <w:rPr>
          <w:lang w:eastAsia="ru-RU"/>
        </w:rPr>
      </w:pPr>
      <w:r w:rsidRPr="00A8405D">
        <w:rPr>
          <w:rFonts w:ascii="Times New Roman" w:hAnsi="Times New Roman" w:eastAsia="Times New Roman"/>
          <w:b w:val="0"/>
          <w:sz w:val="28"/>
          <w:lang w:eastAsia="ru-RU"/>
        </w:rPr>
        <w:t>Итоговый показатель окупаемости затрат снизился с 1,252 до 1,130, снижение составило 9,74%. Экономический смысл заключается в том, что каждый 1 руб. полной себестоимости приносит меньше выручки, чем в 2023 г. Следовательно, в дальнейшем компании необходимо сдерживать коммерческие расходы, работать над снижением себестоимости и ускорять оборачиваемость, прежде всего запасов.</w:t>
      </w:r>
    </w:p>
    <w:p w14:paraId="599C6EC4"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2A8737CA"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pPr>
        <w:pageBreakBefore/>
        <w:spacing w:before="720" w:after="720" w:line="240" w:lineRule="auto"/>
        <w:ind w:left="0" w:firstLine="0"/>
        <w:jc w:val="center"/>
        <w:keepNext/>
        <w:keepLines/>
        <w:outlineLvl w:val="0"/>
      </w:pPr>
      <w:r>
        <w:rPr>
          <w:rFonts w:ascii="Times New Roman" w:hAnsi="Times New Roman" w:eastAsia="Times New Roman"/>
          <w:b/>
          <w:sz w:val="36"/>
        </w:rPr>
        <w:t>2 Анализ финансового состояния ООО «МИЛЛАБ»</w:t>
      </w:r>
    </w:p>
    <w:p w14:paraId="6093A02F"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Финансово-экономическое состояние организации отражает ее способность устойчиво функционировать, своевременно выполнять обязательства и обеспечивать развитие за счет эффективного использования ресурсов. В практическом плане финансовое состояние показывает, насколько рационально сформирована структура активов и источников финансирования, достаточно ли у организации собственных средств, а также насколько результативно хозяйственная деятельность выражается в прибыли.</w:t>
      </w:r>
    </w:p>
    <w:p w14:paraId="1A752296"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Оценка финансового состояния важна как для внутренних пользователей, которые принимают управленческие решения, так и для внешних пользователей, включая поставщиков, кредиторов и партнеров. Для торгово-дистрибьюторских компаний особое значение имеют ликвидность и оборачиваемость, поскольку существенная часть капитала сосредоточена в запасах и расчетах с покупателями.</w:t>
      </w:r>
    </w:p>
    <w:p w14:paraId="1ABCA378"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 xml:space="preserve">Диагностика финансово-экономического состояния, в отличие от разового анализа, ориентирована не только на фиксацию показателей, но и на выявление причин негативных тенденций, оценку рисков и обоснование мер по улучшению. Диагностика позволяет своевременно обнаружить слабые места, например рост затрат быстрее выручки, замедление оборота запасов или удлинение </w:t>
      </w:r>
      <w:r w:rsidRPr="00904D48">
        <w:rPr>
          <w:rFonts w:ascii="Times New Roman" w:hAnsi="Times New Roman" w:eastAsia="Times New Roman"/>
          <w:b w:val="0"/>
          <w:sz w:val="28"/>
        </w:rPr>
        <w:lastRenderedPageBreak/>
        <w:t>финансового цикла, и перевести результаты анализа в конкретные управленческие решения.</w:t>
      </w:r>
    </w:p>
    <w:p w14:paraId="08D5C388"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Система показателей диагностики включает взаимосвязанные блоки: ликвидность и платежеспособность, финансовую устойчивость, деловую активность и рентабельность.</w:t>
      </w:r>
    </w:p>
    <w:p w14:paraId="0BBAF733"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lastRenderedPageBreak/>
        <w:t>Ликвидность показывает способность организации выполнять краткосрочные обязательства и зависит от доли денежных средств, дебиторской задолженности и запасов в структуре оборотных активов. Финансовая устойчивость отражает соотношение собственного и заемного капитала, а также способность покрывать запасы устойчивыми источниками финансирования. Деловая активность характеризует скорость оборота капитала и напрямую влияет на потребность в оборотных средствах. Рентабельность является итоговой оценкой эффективности и показывает прибыльность продаж и капитала.</w:t>
      </w:r>
    </w:p>
    <w:p w14:paraId="1EAA1B3F" w14:textId="77777777" w:rsidR="00904D48" w:rsidRPr="00904D48" w:rsidRDefault="00904D48" w:rsidP="00904D48">
      <w:pPr>
        <w:spacing w:before="0" w:after="0" w:line="360" w:lineRule="auto"/>
        <w:ind w:left="0" w:right="0" w:firstLine="709"/>
        <w:jc w:val="both"/>
      </w:pPr>
      <w:r w:rsidRPr="00904D48">
        <w:rPr>
          <w:rFonts w:ascii="Times New Roman" w:hAnsi="Times New Roman" w:eastAsia="Times New Roman"/>
          <w:b w:val="0"/>
          <w:sz w:val="28"/>
        </w:rPr>
        <w:t>В управленческом аспекте важны не отдельные коэффициенты, а их совокупность и динамика. Например, рост ликвидности при одновременном падении рентабельности означает, что финансовая устойчивость улучшается ценой снижения эффективности. Поэтому диагностика должна завершаться выводами о причинах изменений и практическими рекомендациями.</w:t>
      </w:r>
    </w:p>
    <w:p>
      <w:pPr>
        <w:spacing w:before="600" w:after="600" w:line="240" w:lineRule="auto"/>
        <w:ind w:left="0" w:firstLine="709"/>
        <w:jc w:val="left"/>
        <w:keepNext/>
        <w:keepLines/>
        <w:outlineLvl w:val="1"/>
      </w:pPr>
      <w:r>
        <w:rPr>
          <w:rFonts w:ascii="Times New Roman" w:hAnsi="Times New Roman" w:eastAsia="Times New Roman"/>
          <w:b/>
          <w:sz w:val="32"/>
        </w:rPr>
        <w:t>2.1 Анализ имущества и источников его формирования</w:t>
      </w:r>
    </w:p>
    <w:p>
      <w:pPr>
        <w:spacing w:before="0" w:after="0" w:line="360" w:lineRule="auto"/>
        <w:ind w:left="0" w:right="0" w:firstLine="709"/>
        <w:jc w:val="both"/>
      </w:pPr>
      <w:r>
        <w:rPr>
          <w:rFonts w:ascii="Times New Roman" w:hAnsi="Times New Roman" w:eastAsia="Times New Roman"/>
          <w:b w:val="0"/>
          <w:sz w:val="28"/>
        </w:rPr>
        <w:t>Анализ финансового состояния начинается с оценки состава и структуры имущества организации, а также источников его формирования. Динамика активов и пассивов позволяет определить направления размещения капитала и степень зависимости ООО «МИЛЛАБ» от заемного финансирования.</w:t>
      </w:r>
    </w:p>
    <w:p w14:paraId="56651C29" w14:textId="615239FB"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2.1 – Состав и структура имущества</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5"/>
        <w:gridCol w:w="892"/>
        <w:gridCol w:w="741"/>
        <w:gridCol w:w="892"/>
        <w:gridCol w:w="741"/>
        <w:gridCol w:w="892"/>
        <w:gridCol w:w="741"/>
        <w:gridCol w:w="1691"/>
        <w:gridCol w:w="983"/>
      </w:tblGrid>
      <w:tr w:rsidR="000005A2" w:rsidRPr="000005A2" w14:paraId="6A0CE7D5" w14:textId="77777777">
        <w:trPr>
          <w:tblHeader w:val="true"/>
          <w:tblCellSpacing w:w="15" w:type="dxa"/>
          <w:tblHeader w:val="true"/>
          <w:cantSplit/>
        </w:trPr>
        <w:tc>
          <w:tcPr>
            <w:tcW w:w="0" w:type="auto"/>
            <w:vAlign w:val="center"/>
            <w:hideMark/>
            <w:shd w:val="clear" w:color="auto" w:fill="auto"/>
          </w:tcPr>
          <w:p w14:paraId="7FF639B7"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2411261B"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 тыс. руб.</w:t>
            </w:r>
          </w:p>
        </w:tc>
        <w:tc>
          <w:tcPr>
            <w:tcW w:w="0" w:type="auto"/>
            <w:vAlign w:val="center"/>
            <w:hideMark/>
            <w:shd w:val="clear" w:color="auto" w:fill="auto"/>
          </w:tcPr>
          <w:p w14:paraId="40EFA0C4"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 %</w:t>
            </w:r>
          </w:p>
        </w:tc>
        <w:tc>
          <w:tcPr>
            <w:tcW w:w="0" w:type="auto"/>
            <w:vAlign w:val="center"/>
            <w:hideMark/>
            <w:shd w:val="clear" w:color="auto" w:fill="auto"/>
          </w:tcPr>
          <w:p w14:paraId="43F75991"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 тыс. руб.</w:t>
            </w:r>
          </w:p>
        </w:tc>
        <w:tc>
          <w:tcPr>
            <w:tcW w:w="0" w:type="auto"/>
            <w:vAlign w:val="center"/>
            <w:hideMark/>
            <w:shd w:val="clear" w:color="auto" w:fill="auto"/>
          </w:tcPr>
          <w:p w14:paraId="0333EBC4"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 %</w:t>
            </w:r>
          </w:p>
        </w:tc>
        <w:tc>
          <w:tcPr>
            <w:tcW w:w="0" w:type="auto"/>
            <w:vAlign w:val="center"/>
            <w:hideMark/>
            <w:shd w:val="clear" w:color="auto" w:fill="auto"/>
          </w:tcPr>
          <w:p w14:paraId="79E87AB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 тыс. руб.</w:t>
            </w:r>
          </w:p>
        </w:tc>
        <w:tc>
          <w:tcPr>
            <w:tcW w:w="0" w:type="auto"/>
            <w:vAlign w:val="center"/>
            <w:hideMark/>
            <w:shd w:val="clear" w:color="auto" w:fill="auto"/>
          </w:tcPr>
          <w:p w14:paraId="66B9C23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 %</w:t>
            </w:r>
          </w:p>
        </w:tc>
        <w:tc>
          <w:tcPr>
            <w:tcW w:w="0" w:type="auto"/>
            <w:vAlign w:val="center"/>
            <w:hideMark/>
            <w:shd w:val="clear" w:color="auto" w:fill="auto"/>
          </w:tcPr>
          <w:p w14:paraId="7F5D684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Отклонение 2025–2023</w:t>
            </w:r>
          </w:p>
        </w:tc>
        <w:tc>
          <w:tcPr>
            <w:tcW w:w="0" w:type="auto"/>
            <w:vAlign w:val="center"/>
            <w:hideMark/>
            <w:shd w:val="clear" w:color="auto" w:fill="auto"/>
          </w:tcPr>
          <w:p w14:paraId="3D75C4D5"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Темп роста, %</w:t>
            </w:r>
          </w:p>
        </w:tc>
      </w:tr>
      <w:tr w:rsidR="000005A2" w:rsidRPr="000005A2" w14:paraId="347EB01F" w14:textId="77777777">
        <w:trPr>
          <w:tblCellSpacing w:w="15" w:type="dxa"/>
          <w:cantSplit/>
        </w:trPr>
        <w:tc>
          <w:tcPr>
            <w:tcW w:w="0" w:type="auto"/>
            <w:vAlign w:val="center"/>
            <w:hideMark/>
            <w:shd w:val="clear" w:color="auto" w:fill="auto"/>
          </w:tcPr>
          <w:p w14:paraId="0C26C90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Внеоборотные активы</w:t>
            </w:r>
          </w:p>
        </w:tc>
        <w:tc>
          <w:tcPr>
            <w:tcW w:w="0" w:type="auto"/>
            <w:vAlign w:val="center"/>
            <w:hideMark/>
            <w:shd w:val="clear" w:color="auto" w:fill="auto"/>
          </w:tcPr>
          <w:p w14:paraId="46FA9B3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2 012</w:t>
            </w:r>
          </w:p>
        </w:tc>
        <w:tc>
          <w:tcPr>
            <w:tcW w:w="0" w:type="auto"/>
            <w:vAlign w:val="center"/>
            <w:hideMark/>
            <w:shd w:val="clear" w:color="auto" w:fill="auto"/>
          </w:tcPr>
          <w:p w14:paraId="17212AA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0,22</w:t>
            </w:r>
          </w:p>
        </w:tc>
        <w:tc>
          <w:tcPr>
            <w:tcW w:w="0" w:type="auto"/>
            <w:vAlign w:val="center"/>
            <w:hideMark/>
            <w:shd w:val="clear" w:color="auto" w:fill="auto"/>
          </w:tcPr>
          <w:p w14:paraId="6E6E1FC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6 056</w:t>
            </w:r>
          </w:p>
        </w:tc>
        <w:tc>
          <w:tcPr>
            <w:tcW w:w="0" w:type="auto"/>
            <w:vAlign w:val="center"/>
            <w:hideMark/>
            <w:shd w:val="clear" w:color="auto" w:fill="auto"/>
          </w:tcPr>
          <w:p w14:paraId="11C72B8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0,47</w:t>
            </w:r>
          </w:p>
        </w:tc>
        <w:tc>
          <w:tcPr>
            <w:tcW w:w="0" w:type="auto"/>
            <w:vAlign w:val="center"/>
            <w:hideMark/>
            <w:shd w:val="clear" w:color="auto" w:fill="auto"/>
          </w:tcPr>
          <w:p w14:paraId="20DEBB0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8 493</w:t>
            </w:r>
          </w:p>
        </w:tc>
        <w:tc>
          <w:tcPr>
            <w:tcW w:w="0" w:type="auto"/>
            <w:vAlign w:val="center"/>
            <w:hideMark/>
            <w:shd w:val="clear" w:color="auto" w:fill="auto"/>
          </w:tcPr>
          <w:p w14:paraId="1BB9F09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0,69</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6 481</w:t>
            </w:r>
          </w:p>
        </w:tc>
        <w:tc>
          <w:tcPr>
            <w:tcW w:w="0" w:type="auto"/>
            <w:vAlign w:val="center"/>
            <w:hideMark/>
            <w:shd w:val="clear" w:color="auto" w:fill="auto"/>
          </w:tcPr>
          <w:p w14:paraId="493C972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422,02</w:t>
            </w:r>
          </w:p>
        </w:tc>
      </w:tr>
      <w:tr w:rsidR="000005A2" w:rsidRPr="000005A2" w14:paraId="6D09073C" w14:textId="77777777">
        <w:trPr>
          <w:tblCellSpacing w:w="15" w:type="dxa"/>
          <w:cantSplit/>
        </w:trPr>
        <w:tc>
          <w:tcPr>
            <w:tcW w:w="0" w:type="auto"/>
            <w:vAlign w:val="center"/>
            <w:hideMark/>
            <w:shd w:val="clear" w:color="auto" w:fill="auto"/>
          </w:tcPr>
          <w:p w14:paraId="7B3754A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в т.ч. основные средства</w:t>
            </w:r>
          </w:p>
        </w:tc>
        <w:tc>
          <w:tcPr>
            <w:tcW w:w="0" w:type="auto"/>
            <w:vAlign w:val="center"/>
            <w:hideMark/>
            <w:shd w:val="clear" w:color="auto" w:fill="auto"/>
          </w:tcPr>
          <w:p w14:paraId="14B757C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2 012</w:t>
            </w:r>
          </w:p>
        </w:tc>
        <w:tc>
          <w:tcPr>
            <w:tcW w:w="0" w:type="auto"/>
            <w:vAlign w:val="center"/>
            <w:hideMark/>
            <w:shd w:val="clear" w:color="auto" w:fill="auto"/>
          </w:tcPr>
          <w:p w14:paraId="58AEF6F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0,22</w:t>
            </w:r>
          </w:p>
        </w:tc>
        <w:tc>
          <w:tcPr>
            <w:tcW w:w="0" w:type="auto"/>
            <w:vAlign w:val="center"/>
            <w:hideMark/>
            <w:shd w:val="clear" w:color="auto" w:fill="auto"/>
          </w:tcPr>
          <w:p w14:paraId="4B44FF6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6 056</w:t>
            </w:r>
          </w:p>
        </w:tc>
        <w:tc>
          <w:tcPr>
            <w:tcW w:w="0" w:type="auto"/>
            <w:vAlign w:val="center"/>
            <w:hideMark/>
            <w:shd w:val="clear" w:color="auto" w:fill="auto"/>
          </w:tcPr>
          <w:p w14:paraId="3106E99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0,47</w:t>
            </w:r>
          </w:p>
        </w:tc>
        <w:tc>
          <w:tcPr>
            <w:tcW w:w="0" w:type="auto"/>
            <w:vAlign w:val="center"/>
            <w:hideMark/>
            <w:shd w:val="clear" w:color="auto" w:fill="auto"/>
          </w:tcPr>
          <w:p w14:paraId="713AF64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7 506</w:t>
            </w:r>
          </w:p>
        </w:tc>
        <w:tc>
          <w:tcPr>
            <w:tcW w:w="0" w:type="auto"/>
            <w:vAlign w:val="center"/>
            <w:hideMark/>
            <w:shd w:val="clear" w:color="auto" w:fill="auto"/>
          </w:tcPr>
          <w:p w14:paraId="7E07E2A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0,61</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5 494</w:t>
            </w:r>
          </w:p>
        </w:tc>
        <w:tc>
          <w:tcPr>
            <w:tcW w:w="0" w:type="auto"/>
            <w:vAlign w:val="center"/>
            <w:hideMark/>
            <w:shd w:val="clear" w:color="auto" w:fill="auto"/>
          </w:tcPr>
          <w:p w14:paraId="5AAE553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373,06</w:t>
            </w:r>
          </w:p>
        </w:tc>
      </w:tr>
      <w:tr w:rsidR="000005A2" w:rsidRPr="000005A2" w14:paraId="3C065BEF" w14:textId="77777777">
        <w:trPr>
          <w:tblCellSpacing w:w="15" w:type="dxa"/>
          <w:cantSplit/>
        </w:trPr>
        <w:tc>
          <w:tcPr>
            <w:tcW w:w="0" w:type="auto"/>
            <w:vAlign w:val="center"/>
            <w:hideMark/>
            <w:shd w:val="clear" w:color="auto" w:fill="auto"/>
          </w:tcPr>
          <w:p w14:paraId="0E676F3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Отложенные налоговые активы</w:t>
            </w:r>
          </w:p>
        </w:tc>
        <w:tc>
          <w:tcPr>
            <w:tcW w:w="0" w:type="auto"/>
            <w:vAlign w:val="center"/>
            <w:hideMark/>
            <w:shd w:val="clear" w:color="auto" w:fill="auto"/>
          </w:tcPr>
          <w:p w14:paraId="3122C33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1DA8B35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6BF58CB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462510F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1708B99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987</w:t>
            </w:r>
          </w:p>
        </w:tc>
        <w:tc>
          <w:tcPr>
            <w:tcW w:w="0" w:type="auto"/>
            <w:vAlign w:val="center"/>
            <w:hideMark/>
            <w:shd w:val="clear" w:color="auto" w:fill="auto"/>
          </w:tcPr>
          <w:p w14:paraId="44C3770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0,08</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987</w:t>
            </w:r>
          </w:p>
        </w:tc>
        <w:tc>
          <w:tcPr>
            <w:tcW w:w="0" w:type="auto"/>
            <w:vAlign w:val="center"/>
            <w:hideMark/>
            <w:shd w:val="clear" w:color="auto" w:fill="auto"/>
          </w:tcPr>
          <w:p w14:paraId="07FACFE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r>
      <w:tr w:rsidR="000005A2" w:rsidRPr="000005A2" w14:paraId="770D065B" w14:textId="77777777">
        <w:trPr>
          <w:tblCellSpacing w:w="15" w:type="dxa"/>
          <w:cantSplit/>
        </w:trPr>
        <w:tc>
          <w:tcPr>
            <w:tcW w:w="0" w:type="auto"/>
            <w:vAlign w:val="center"/>
            <w:hideMark/>
            <w:shd w:val="clear" w:color="auto" w:fill="auto"/>
          </w:tcPr>
          <w:p w14:paraId="5B01AE3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Оборотные активы</w:t>
            </w:r>
          </w:p>
        </w:tc>
        <w:tc>
          <w:tcPr>
            <w:tcW w:w="0" w:type="auto"/>
            <w:vAlign w:val="center"/>
            <w:hideMark/>
            <w:shd w:val="clear" w:color="auto" w:fill="auto"/>
          </w:tcPr>
          <w:p w14:paraId="6A84B43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922 258</w:t>
            </w:r>
          </w:p>
        </w:tc>
        <w:tc>
          <w:tcPr>
            <w:tcW w:w="0" w:type="auto"/>
            <w:vAlign w:val="center"/>
            <w:hideMark/>
            <w:shd w:val="clear" w:color="auto" w:fill="auto"/>
          </w:tcPr>
          <w:p w14:paraId="00028C1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99,78</w:t>
            </w:r>
          </w:p>
        </w:tc>
        <w:tc>
          <w:tcPr>
            <w:tcW w:w="0" w:type="auto"/>
            <w:vAlign w:val="center"/>
            <w:hideMark/>
            <w:shd w:val="clear" w:color="auto" w:fill="auto"/>
          </w:tcPr>
          <w:p w14:paraId="7CC4BCE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1 277 008</w:t>
            </w:r>
          </w:p>
        </w:tc>
        <w:tc>
          <w:tcPr>
            <w:tcW w:w="0" w:type="auto"/>
            <w:vAlign w:val="center"/>
            <w:hideMark/>
            <w:shd w:val="clear" w:color="auto" w:fill="auto"/>
          </w:tcPr>
          <w:p w14:paraId="228F910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99,53</w:t>
            </w:r>
          </w:p>
        </w:tc>
        <w:tc>
          <w:tcPr>
            <w:tcW w:w="0" w:type="auto"/>
            <w:vAlign w:val="center"/>
            <w:hideMark/>
            <w:shd w:val="clear" w:color="auto" w:fill="auto"/>
          </w:tcPr>
          <w:p w14:paraId="78BBC0A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1 219 573</w:t>
            </w:r>
          </w:p>
        </w:tc>
        <w:tc>
          <w:tcPr>
            <w:tcW w:w="0" w:type="auto"/>
            <w:vAlign w:val="center"/>
            <w:hideMark/>
            <w:shd w:val="clear" w:color="auto" w:fill="auto"/>
          </w:tcPr>
          <w:p w14:paraId="55DA1A2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99,31</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297 315</w:t>
            </w:r>
          </w:p>
        </w:tc>
        <w:tc>
          <w:tcPr>
            <w:tcW w:w="0" w:type="auto"/>
            <w:vAlign w:val="center"/>
            <w:hideMark/>
            <w:shd w:val="clear" w:color="auto" w:fill="auto"/>
          </w:tcPr>
          <w:p w14:paraId="16D4A6B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132,24</w:t>
            </w:r>
          </w:p>
        </w:tc>
      </w:tr>
      <w:tr w:rsidR="000005A2" w:rsidRPr="000005A2" w14:paraId="55B6A220" w14:textId="77777777">
        <w:trPr>
          <w:tblCellSpacing w:w="15" w:type="dxa"/>
          <w:cantSplit/>
        </w:trPr>
        <w:tc>
          <w:tcPr>
            <w:tcW w:w="0" w:type="auto"/>
            <w:vAlign w:val="center"/>
            <w:hideMark/>
            <w:shd w:val="clear" w:color="auto" w:fill="auto"/>
          </w:tcPr>
          <w:p w14:paraId="49B9DAA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Запасы</w:t>
            </w:r>
          </w:p>
        </w:tc>
        <w:tc>
          <w:tcPr>
            <w:tcW w:w="0" w:type="auto"/>
            <w:vAlign w:val="center"/>
            <w:hideMark/>
            <w:shd w:val="clear" w:color="auto" w:fill="auto"/>
          </w:tcPr>
          <w:p w14:paraId="7A0518D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336 168</w:t>
            </w:r>
          </w:p>
        </w:tc>
        <w:tc>
          <w:tcPr>
            <w:tcW w:w="0" w:type="auto"/>
            <w:vAlign w:val="center"/>
            <w:hideMark/>
            <w:shd w:val="clear" w:color="auto" w:fill="auto"/>
          </w:tcPr>
          <w:p w14:paraId="309705D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36,37</w:t>
            </w:r>
          </w:p>
        </w:tc>
        <w:tc>
          <w:tcPr>
            <w:tcW w:w="0" w:type="auto"/>
            <w:vAlign w:val="center"/>
            <w:hideMark/>
            <w:shd w:val="clear" w:color="auto" w:fill="auto"/>
          </w:tcPr>
          <w:p w14:paraId="2CC6D36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465 614</w:t>
            </w:r>
          </w:p>
        </w:tc>
        <w:tc>
          <w:tcPr>
            <w:tcW w:w="0" w:type="auto"/>
            <w:vAlign w:val="center"/>
            <w:hideMark/>
            <w:shd w:val="clear" w:color="auto" w:fill="auto"/>
          </w:tcPr>
          <w:p w14:paraId="62A9044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36,29</w:t>
            </w:r>
          </w:p>
        </w:tc>
        <w:tc>
          <w:tcPr>
            <w:tcW w:w="0" w:type="auto"/>
            <w:vAlign w:val="center"/>
            <w:hideMark/>
            <w:shd w:val="clear" w:color="auto" w:fill="auto"/>
          </w:tcPr>
          <w:p w14:paraId="0915631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534 588</w:t>
            </w:r>
          </w:p>
        </w:tc>
        <w:tc>
          <w:tcPr>
            <w:tcW w:w="0" w:type="auto"/>
            <w:vAlign w:val="center"/>
            <w:hideMark/>
            <w:shd w:val="clear" w:color="auto" w:fill="auto"/>
          </w:tcPr>
          <w:p w14:paraId="14885B8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43,52</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198 420</w:t>
            </w:r>
          </w:p>
        </w:tc>
        <w:tc>
          <w:tcPr>
            <w:tcW w:w="0" w:type="auto"/>
            <w:vAlign w:val="center"/>
            <w:hideMark/>
            <w:shd w:val="clear" w:color="auto" w:fill="auto"/>
          </w:tcPr>
          <w:p w14:paraId="67EBA21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159,02</w:t>
            </w:r>
          </w:p>
        </w:tc>
      </w:tr>
      <w:tr w:rsidR="000005A2" w:rsidRPr="000005A2" w14:paraId="52B8284D" w14:textId="77777777">
        <w:trPr>
          <w:tblCellSpacing w:w="15" w:type="dxa"/>
          <w:cantSplit/>
        </w:trPr>
        <w:tc>
          <w:tcPr>
            <w:tcW w:w="0" w:type="auto"/>
            <w:vAlign w:val="center"/>
            <w:hideMark/>
            <w:shd w:val="clear" w:color="auto" w:fill="auto"/>
          </w:tcPr>
          <w:p w14:paraId="5A7687E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НДС</w:t>
            </w:r>
          </w:p>
        </w:tc>
        <w:tc>
          <w:tcPr>
            <w:tcW w:w="0" w:type="auto"/>
            <w:vAlign w:val="center"/>
            <w:hideMark/>
            <w:shd w:val="clear" w:color="auto" w:fill="auto"/>
          </w:tcPr>
          <w:p w14:paraId="10499B4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1 946</w:t>
            </w:r>
          </w:p>
        </w:tc>
        <w:tc>
          <w:tcPr>
            <w:tcW w:w="0" w:type="auto"/>
            <w:vAlign w:val="center"/>
            <w:hideMark/>
            <w:shd w:val="clear" w:color="auto" w:fill="auto"/>
          </w:tcPr>
          <w:p w14:paraId="72D739F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0,21</w:t>
            </w:r>
          </w:p>
        </w:tc>
        <w:tc>
          <w:tcPr>
            <w:tcW w:w="0" w:type="auto"/>
            <w:vAlign w:val="center"/>
            <w:hideMark/>
            <w:shd w:val="clear" w:color="auto" w:fill="auto"/>
          </w:tcPr>
          <w:p w14:paraId="45D717D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1 153</w:t>
            </w:r>
          </w:p>
        </w:tc>
        <w:tc>
          <w:tcPr>
            <w:tcW w:w="0" w:type="auto"/>
            <w:vAlign w:val="center"/>
            <w:hideMark/>
            <w:shd w:val="clear" w:color="auto" w:fill="auto"/>
          </w:tcPr>
          <w:p w14:paraId="67BA509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0,09</w:t>
            </w:r>
          </w:p>
        </w:tc>
        <w:tc>
          <w:tcPr>
            <w:tcW w:w="0" w:type="auto"/>
            <w:vAlign w:val="center"/>
            <w:hideMark/>
            <w:shd w:val="clear" w:color="auto" w:fill="auto"/>
          </w:tcPr>
          <w:p w14:paraId="71B3C27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1 682</w:t>
            </w:r>
          </w:p>
        </w:tc>
        <w:tc>
          <w:tcPr>
            <w:tcW w:w="0" w:type="auto"/>
            <w:vAlign w:val="center"/>
            <w:hideMark/>
            <w:shd w:val="clear" w:color="auto" w:fill="auto"/>
          </w:tcPr>
          <w:p w14:paraId="1838663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0,14</w:t>
            </w:r>
          </w:p>
        </w:tc>
        <w:tc>
          <w:tcPr>
            <w:tcW w:w="0" w:type="auto"/>
            <w:vAlign w:val="center"/>
            <w:hideMark/>
            <w:shd w:val="clear" w:color="auto" w:fill="auto"/>
          </w:tcPr>
          <w:p w14:paraId="46B5FFC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-264</w:t>
            </w:r>
          </w:p>
        </w:tc>
        <w:tc>
          <w:tcPr>
            <w:tcW w:w="0" w:type="auto"/>
            <w:vAlign w:val="center"/>
            <w:hideMark/>
            <w:shd w:val="clear" w:color="auto" w:fill="auto"/>
          </w:tcPr>
          <w:p w14:paraId="4F217CA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86,43</w:t>
            </w:r>
          </w:p>
        </w:tc>
      </w:tr>
      <w:tr w:rsidR="000005A2" w:rsidRPr="000005A2" w14:paraId="48AE57CB" w14:textId="77777777">
        <w:trPr>
          <w:tblCellSpacing w:w="15" w:type="dxa"/>
          <w:cantSplit/>
        </w:trPr>
        <w:tc>
          <w:tcPr>
            <w:tcW w:w="0" w:type="auto"/>
            <w:vAlign w:val="center"/>
            <w:hideMark/>
            <w:shd w:val="clear" w:color="auto" w:fill="auto"/>
          </w:tcPr>
          <w:p w14:paraId="7DEEE1B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Дебиторская задолженность</w:t>
            </w:r>
          </w:p>
        </w:tc>
        <w:tc>
          <w:tcPr>
            <w:tcW w:w="0" w:type="auto"/>
            <w:vAlign w:val="center"/>
            <w:hideMark/>
            <w:shd w:val="clear" w:color="auto" w:fill="auto"/>
          </w:tcPr>
          <w:p w14:paraId="50554DB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538 221</w:t>
            </w:r>
          </w:p>
        </w:tc>
        <w:tc>
          <w:tcPr>
            <w:tcW w:w="0" w:type="auto"/>
            <w:vAlign w:val="center"/>
            <w:hideMark/>
            <w:shd w:val="clear" w:color="auto" w:fill="auto"/>
          </w:tcPr>
          <w:p w14:paraId="73926C0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58,23</w:t>
            </w:r>
          </w:p>
        </w:tc>
        <w:tc>
          <w:tcPr>
            <w:tcW w:w="0" w:type="auto"/>
            <w:vAlign w:val="center"/>
            <w:hideMark/>
            <w:shd w:val="clear" w:color="auto" w:fill="auto"/>
          </w:tcPr>
          <w:p w14:paraId="5346EB2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715 982</w:t>
            </w:r>
          </w:p>
        </w:tc>
        <w:tc>
          <w:tcPr>
            <w:tcW w:w="0" w:type="auto"/>
            <w:vAlign w:val="center"/>
            <w:hideMark/>
            <w:shd w:val="clear" w:color="auto" w:fill="auto"/>
          </w:tcPr>
          <w:p w14:paraId="62B85AB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55,80</w:t>
            </w:r>
          </w:p>
        </w:tc>
        <w:tc>
          <w:tcPr>
            <w:tcW w:w="0" w:type="auto"/>
            <w:vAlign w:val="center"/>
            <w:hideMark/>
            <w:shd w:val="clear" w:color="auto" w:fill="auto"/>
          </w:tcPr>
          <w:p w14:paraId="557DCC2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533 390</w:t>
            </w:r>
          </w:p>
        </w:tc>
        <w:tc>
          <w:tcPr>
            <w:tcW w:w="0" w:type="auto"/>
            <w:vAlign w:val="center"/>
            <w:hideMark/>
            <w:shd w:val="clear" w:color="auto" w:fill="auto"/>
          </w:tcPr>
          <w:p w14:paraId="560D65D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43,43</w:t>
            </w:r>
          </w:p>
        </w:tc>
        <w:tc>
          <w:tcPr>
            <w:tcW w:w="0" w:type="auto"/>
            <w:vAlign w:val="center"/>
            <w:hideMark/>
            <w:shd w:val="clear" w:color="auto" w:fill="auto"/>
          </w:tcPr>
          <w:p w14:paraId="5B09682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-4 831</w:t>
            </w:r>
          </w:p>
        </w:tc>
        <w:tc>
          <w:tcPr>
            <w:tcW w:w="0" w:type="auto"/>
            <w:vAlign w:val="center"/>
            <w:hideMark/>
            <w:shd w:val="clear" w:color="auto" w:fill="auto"/>
          </w:tcPr>
          <w:p w14:paraId="12EDD26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99,10</w:t>
            </w:r>
          </w:p>
        </w:tc>
      </w:tr>
      <w:tr w:rsidR="000005A2" w:rsidRPr="000005A2" w14:paraId="398A2563" w14:textId="77777777">
        <w:trPr>
          <w:tblCellSpacing w:w="15" w:type="dxa"/>
          <w:cantSplit/>
        </w:trPr>
        <w:tc>
          <w:tcPr>
            <w:tcW w:w="0" w:type="auto"/>
            <w:vAlign w:val="center"/>
            <w:hideMark/>
            <w:shd w:val="clear" w:color="auto" w:fill="auto"/>
          </w:tcPr>
          <w:p w14:paraId="636AE96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Денежные средства</w:t>
            </w:r>
          </w:p>
        </w:tc>
        <w:tc>
          <w:tcPr>
            <w:tcW w:w="0" w:type="auto"/>
            <w:vAlign w:val="center"/>
            <w:hideMark/>
            <w:shd w:val="clear" w:color="auto" w:fill="auto"/>
          </w:tcPr>
          <w:p w14:paraId="1789DCE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45 535</w:t>
            </w:r>
          </w:p>
        </w:tc>
        <w:tc>
          <w:tcPr>
            <w:tcW w:w="0" w:type="auto"/>
            <w:vAlign w:val="center"/>
            <w:hideMark/>
            <w:shd w:val="clear" w:color="auto" w:fill="auto"/>
          </w:tcPr>
          <w:p w14:paraId="1EEC6FB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4,93</w:t>
            </w:r>
          </w:p>
        </w:tc>
        <w:tc>
          <w:tcPr>
            <w:tcW w:w="0" w:type="auto"/>
            <w:vAlign w:val="center"/>
            <w:hideMark/>
            <w:shd w:val="clear" w:color="auto" w:fill="auto"/>
          </w:tcPr>
          <w:p w14:paraId="6F87C67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93 501</w:t>
            </w:r>
          </w:p>
        </w:tc>
        <w:tc>
          <w:tcPr>
            <w:tcW w:w="0" w:type="auto"/>
            <w:vAlign w:val="center"/>
            <w:hideMark/>
            <w:shd w:val="clear" w:color="auto" w:fill="auto"/>
          </w:tcPr>
          <w:p w14:paraId="46D548B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7,29</w:t>
            </w:r>
          </w:p>
        </w:tc>
        <w:tc>
          <w:tcPr>
            <w:tcW w:w="0" w:type="auto"/>
            <w:vAlign w:val="center"/>
            <w:hideMark/>
            <w:shd w:val="clear" w:color="auto" w:fill="auto"/>
          </w:tcPr>
          <w:p w14:paraId="7F52DEE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149 589</w:t>
            </w:r>
          </w:p>
        </w:tc>
        <w:tc>
          <w:tcPr>
            <w:tcW w:w="0" w:type="auto"/>
            <w:vAlign w:val="center"/>
            <w:hideMark/>
            <w:shd w:val="clear" w:color="auto" w:fill="auto"/>
          </w:tcPr>
          <w:p w14:paraId="293E48F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12,18</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104 054</w:t>
            </w:r>
          </w:p>
        </w:tc>
        <w:tc>
          <w:tcPr>
            <w:tcW w:w="0" w:type="auto"/>
            <w:vAlign w:val="center"/>
            <w:hideMark/>
            <w:shd w:val="clear" w:color="auto" w:fill="auto"/>
          </w:tcPr>
          <w:p w14:paraId="1E04CF1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328,49</w:t>
            </w:r>
          </w:p>
        </w:tc>
      </w:tr>
      <w:tr w:rsidR="000005A2" w:rsidRPr="000005A2" w14:paraId="6058F3E9" w14:textId="77777777">
        <w:trPr>
          <w:tblCellSpacing w:w="15" w:type="dxa"/>
          <w:cantSplit/>
        </w:trPr>
        <w:tc>
          <w:tcPr>
            <w:tcW w:w="0" w:type="auto"/>
            <w:vAlign w:val="center"/>
            <w:hideMark/>
            <w:shd w:val="clear" w:color="auto" w:fill="auto"/>
          </w:tcPr>
          <w:p w14:paraId="03C913F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Прочие оборотные активы</w:t>
            </w:r>
          </w:p>
        </w:tc>
        <w:tc>
          <w:tcPr>
            <w:tcW w:w="0" w:type="auto"/>
            <w:vAlign w:val="center"/>
            <w:hideMark/>
            <w:shd w:val="clear" w:color="auto" w:fill="auto"/>
          </w:tcPr>
          <w:p w14:paraId="5410C69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388</w:t>
            </w:r>
          </w:p>
        </w:tc>
        <w:tc>
          <w:tcPr>
            <w:tcW w:w="0" w:type="auto"/>
            <w:vAlign w:val="center"/>
            <w:hideMark/>
            <w:shd w:val="clear" w:color="auto" w:fill="auto"/>
          </w:tcPr>
          <w:p w14:paraId="22A0A95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0,04</w:t>
            </w:r>
          </w:p>
        </w:tc>
        <w:tc>
          <w:tcPr>
            <w:tcW w:w="0" w:type="auto"/>
            <w:vAlign w:val="center"/>
            <w:hideMark/>
            <w:shd w:val="clear" w:color="auto" w:fill="auto"/>
          </w:tcPr>
          <w:p w14:paraId="088C3CF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758</w:t>
            </w:r>
          </w:p>
        </w:tc>
        <w:tc>
          <w:tcPr>
            <w:tcW w:w="0" w:type="auto"/>
            <w:vAlign w:val="center"/>
            <w:hideMark/>
            <w:shd w:val="clear" w:color="auto" w:fill="auto"/>
          </w:tcPr>
          <w:p w14:paraId="070B1CC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0,06</w:t>
            </w:r>
          </w:p>
        </w:tc>
        <w:tc>
          <w:tcPr>
            <w:tcW w:w="0" w:type="auto"/>
            <w:vAlign w:val="center"/>
            <w:hideMark/>
            <w:shd w:val="clear" w:color="auto" w:fill="auto"/>
          </w:tcPr>
          <w:p w14:paraId="505BEAB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324</w:t>
            </w:r>
          </w:p>
        </w:tc>
        <w:tc>
          <w:tcPr>
            <w:tcW w:w="0" w:type="auto"/>
            <w:vAlign w:val="center"/>
            <w:hideMark/>
            <w:shd w:val="clear" w:color="auto" w:fill="auto"/>
          </w:tcPr>
          <w:p w14:paraId="714841F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0,03</w:t>
            </w:r>
          </w:p>
        </w:tc>
        <w:tc>
          <w:tcPr>
            <w:tcW w:w="0" w:type="auto"/>
            <w:vAlign w:val="center"/>
            <w:hideMark/>
            <w:shd w:val="clear" w:color="auto" w:fill="auto"/>
          </w:tcPr>
          <w:p w14:paraId="7C16EE7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-64</w:t>
            </w:r>
          </w:p>
        </w:tc>
        <w:tc>
          <w:tcPr>
            <w:tcW w:w="0" w:type="auto"/>
            <w:vAlign w:val="center"/>
            <w:hideMark/>
            <w:shd w:val="clear" w:color="auto" w:fill="auto"/>
          </w:tcPr>
          <w:p w14:paraId="16C6B6A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83,51</w:t>
            </w:r>
          </w:p>
        </w:tc>
      </w:tr>
      <w:tr w:rsidR="000005A2" w:rsidRPr="000005A2" w14:paraId="05AB084F" w14:textId="77777777">
        <w:trPr>
          <w:tblCellSpacing w:w="15" w:type="dxa"/>
          <w:cantSplit/>
        </w:trPr>
        <w:tc>
          <w:tcPr>
            <w:tcW w:w="0" w:type="auto"/>
            <w:vAlign w:val="center"/>
            <w:hideMark/>
            <w:shd w:val="clear" w:color="auto" w:fill="auto"/>
          </w:tcPr>
          <w:p w14:paraId="4F921F0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БАЛАНС</w:t>
            </w:r>
          </w:p>
        </w:tc>
        <w:tc>
          <w:tcPr>
            <w:tcW w:w="0" w:type="auto"/>
            <w:vAlign w:val="center"/>
            <w:hideMark/>
            <w:shd w:val="clear" w:color="auto" w:fill="auto"/>
          </w:tcPr>
          <w:p w14:paraId="33BDA3F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924 270</w:t>
            </w:r>
          </w:p>
        </w:tc>
        <w:tc>
          <w:tcPr>
            <w:tcW w:w="0" w:type="auto"/>
            <w:vAlign w:val="center"/>
            <w:hideMark/>
            <w:shd w:val="clear" w:color="auto" w:fill="auto"/>
          </w:tcPr>
          <w:p w14:paraId="0D4812B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100,0</w:t>
            </w:r>
          </w:p>
        </w:tc>
        <w:tc>
          <w:tcPr>
            <w:tcW w:w="0" w:type="auto"/>
            <w:vAlign w:val="center"/>
            <w:hideMark/>
            <w:shd w:val="clear" w:color="auto" w:fill="auto"/>
          </w:tcPr>
          <w:p w14:paraId="210219F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1 283 064</w:t>
            </w:r>
          </w:p>
        </w:tc>
        <w:tc>
          <w:tcPr>
            <w:tcW w:w="0" w:type="auto"/>
            <w:vAlign w:val="center"/>
            <w:hideMark/>
            <w:shd w:val="clear" w:color="auto" w:fill="auto"/>
          </w:tcPr>
          <w:p w14:paraId="68AA263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100,0</w:t>
            </w:r>
          </w:p>
        </w:tc>
        <w:tc>
          <w:tcPr>
            <w:tcW w:w="0" w:type="auto"/>
            <w:vAlign w:val="center"/>
            <w:hideMark/>
            <w:shd w:val="clear" w:color="auto" w:fill="auto"/>
          </w:tcPr>
          <w:p w14:paraId="6289DD6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1 228 066</w:t>
            </w:r>
          </w:p>
        </w:tc>
        <w:tc>
          <w:tcPr>
            <w:tcW w:w="0" w:type="auto"/>
            <w:vAlign w:val="center"/>
            <w:hideMark/>
            <w:shd w:val="clear" w:color="auto" w:fill="auto"/>
          </w:tcPr>
          <w:p w14:paraId="5DFECFA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100,0</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303 796</w:t>
            </w:r>
          </w:p>
        </w:tc>
        <w:tc>
          <w:tcPr>
            <w:tcW w:w="0" w:type="auto"/>
            <w:vAlign w:val="center"/>
            <w:hideMark/>
            <w:shd w:val="clear" w:color="auto" w:fill="auto"/>
          </w:tcPr>
          <w:p w14:paraId="0B66E6A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132,87</w:t>
            </w:r>
          </w:p>
        </w:tc>
      </w:tr>
    </w:tbl>
    <w:p w14:paraId="10CB6492"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lastRenderedPageBreak/>
        <w:t>Анализ табл. 2.1 показывает, что валюта баланса в 2025 г. составила 132,87% к 2023 г. При этом в 2024 г. наблюдался рост активов, а в 2025 г. произошло небольшое снижение к уровню 2024 г., что можно рассматривать как стабилизацию после периода расширения.</w:t>
      </w:r>
    </w:p>
    <w:p w14:paraId="65DDFB8B"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Структура активов остается типичной для </w:t>
      </w:r>
      <w:proofErr w:type="spellStart"/>
      <w:r w:rsidRPr="00A8405D">
        <w:rPr>
          <w:rFonts w:eastAsia="Times New Roman" w:cs="Times New Roman" w:ascii="Times New Roman" w:hAnsi="Times New Roman"/>
          <w:b w:val="0"/>
          <w:bCs/>
          <w:kern w:val="0"/>
          <w:sz w:val="28"/>
          <w:szCs w:val="27"/>
          <w:lang w:eastAsia="ru-RU"/>
          <w14:ligatures w14:val="none"/>
        </w:rPr>
        <w:t>торгово</w:t>
      </w:r>
      <w:proofErr w:type="spellEnd"/>
      <w:r w:rsidRPr="00A8405D">
        <w:rPr>
          <w:rFonts w:eastAsia="Times New Roman" w:cs="Times New Roman" w:ascii="Times New Roman" w:hAnsi="Times New Roman"/>
          <w:b w:val="0"/>
          <w:bCs/>
          <w:kern w:val="0"/>
          <w:sz w:val="28"/>
          <w:szCs w:val="27"/>
          <w:lang w:eastAsia="ru-RU"/>
          <w14:ligatures w14:val="none"/>
        </w:rPr>
        <w:t xml:space="preserve"> дистрибьюторской компании. Доля ОА превышает 99% во все годы. В то же время доля ВОА постепенно увеличивается и в 2025 г. достигает 0,69%. Это говорит о наращивании инфраструктуры, но даже при росте ВОА компания остается ориентированной на оборотный капитал.</w:t>
      </w:r>
    </w:p>
    <w:p w14:paraId="100800C8"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Далее важно отметить изменения внутри ОА. Доля запасов выросла с 36,37% до 43,52%, то есть увеличилась на 7,15 </w:t>
      </w:r>
      <w:proofErr w:type="spellStart"/>
      <w:r w:rsidRPr="00A8405D">
        <w:rPr>
          <w:rFonts w:eastAsia="Times New Roman" w:cs="Times New Roman" w:ascii="Times New Roman" w:hAnsi="Times New Roman"/>
          <w:b w:val="0"/>
          <w:bCs/>
          <w:kern w:val="0"/>
          <w:sz w:val="28"/>
          <w:szCs w:val="27"/>
          <w:lang w:eastAsia="ru-RU"/>
          <w14:ligatures w14:val="none"/>
        </w:rPr>
        <w:t>п.п</w:t>
      </w:r>
      <w:proofErr w:type="spellEnd"/>
      <w:r w:rsidRPr="00A8405D">
        <w:rPr>
          <w:rFonts w:eastAsia="Times New Roman" w:cs="Times New Roman" w:ascii="Times New Roman" w:hAnsi="Times New Roman"/>
          <w:b w:val="0"/>
          <w:bCs/>
          <w:kern w:val="0"/>
          <w:sz w:val="28"/>
          <w:szCs w:val="27"/>
          <w:lang w:eastAsia="ru-RU"/>
          <w14:ligatures w14:val="none"/>
        </w:rPr>
        <w:t xml:space="preserve">. Это означает усиление складской нагрузки и рост доли средств, закрепленных в товарной массе. На этом фоне доля дебиторской задолженности снизилась с 58,23% до 43,43%, сокращение составило 14,80 </w:t>
      </w:r>
      <w:proofErr w:type="spellStart"/>
      <w:r w:rsidRPr="00A8405D">
        <w:rPr>
          <w:rFonts w:eastAsia="Times New Roman" w:cs="Times New Roman" w:ascii="Times New Roman" w:hAnsi="Times New Roman"/>
          <w:b w:val="0"/>
          <w:bCs/>
          <w:kern w:val="0"/>
          <w:sz w:val="28"/>
          <w:szCs w:val="27"/>
          <w:lang w:eastAsia="ru-RU"/>
          <w14:ligatures w14:val="none"/>
        </w:rPr>
        <w:t>п.п</w:t>
      </w:r>
      <w:proofErr w:type="spellEnd"/>
      <w:r w:rsidRPr="00A8405D">
        <w:rPr>
          <w:rFonts w:eastAsia="Times New Roman" w:cs="Times New Roman" w:ascii="Times New Roman" w:hAnsi="Times New Roman"/>
          <w:b w:val="0"/>
          <w:bCs/>
          <w:kern w:val="0"/>
          <w:sz w:val="28"/>
          <w:szCs w:val="27"/>
          <w:lang w:eastAsia="ru-RU"/>
          <w14:ligatures w14:val="none"/>
        </w:rPr>
        <w:t>. Такая перестройка обычно свидетельствует о более жесткой политике расчетов с покупателями или изменении структуры продаж в сторону более быстрых оплат.</w:t>
      </w:r>
    </w:p>
    <w:p w14:paraId="1E12A0BF"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Отдельно следует отметить рост доли денежных средств с 4,93% до 12,18%, рост составил 7,25 </w:t>
      </w:r>
      <w:proofErr w:type="spellStart"/>
      <w:r w:rsidRPr="00A8405D">
        <w:rPr>
          <w:rFonts w:eastAsia="Times New Roman" w:cs="Times New Roman" w:ascii="Times New Roman" w:hAnsi="Times New Roman"/>
          <w:b w:val="0"/>
          <w:bCs/>
          <w:kern w:val="0"/>
          <w:sz w:val="28"/>
          <w:szCs w:val="27"/>
          <w:lang w:eastAsia="ru-RU"/>
          <w14:ligatures w14:val="none"/>
        </w:rPr>
        <w:t>п.п</w:t>
      </w:r>
      <w:proofErr w:type="spellEnd"/>
      <w:r w:rsidRPr="00A8405D">
        <w:rPr>
          <w:rFonts w:eastAsia="Times New Roman" w:cs="Times New Roman" w:ascii="Times New Roman" w:hAnsi="Times New Roman"/>
          <w:b w:val="0"/>
          <w:bCs/>
          <w:kern w:val="0"/>
          <w:sz w:val="28"/>
          <w:szCs w:val="27"/>
          <w:lang w:eastAsia="ru-RU"/>
          <w14:ligatures w14:val="none"/>
        </w:rPr>
        <w:t xml:space="preserve">. Это положительный сигнал для текущей платежеспособности. Однако одновременно усиливается риск замедления оборота </w:t>
      </w:r>
      <w:proofErr w:type="gramStart"/>
      <w:r w:rsidRPr="00A8405D">
        <w:rPr>
          <w:rFonts w:eastAsia="Times New Roman" w:cs="Times New Roman" w:ascii="Times New Roman" w:hAnsi="Times New Roman"/>
          <w:b w:val="0"/>
          <w:bCs/>
          <w:kern w:val="0"/>
          <w:sz w:val="28"/>
          <w:szCs w:val="27"/>
          <w:lang w:eastAsia="ru-RU"/>
          <w14:ligatures w14:val="none"/>
        </w:rPr>
        <w:t>из за</w:t>
      </w:r>
      <w:proofErr w:type="gramEnd"/>
      <w:r w:rsidRPr="00A8405D">
        <w:rPr>
          <w:rFonts w:eastAsia="Times New Roman" w:cs="Times New Roman" w:ascii="Times New Roman" w:hAnsi="Times New Roman"/>
          <w:b w:val="0"/>
          <w:bCs/>
          <w:kern w:val="0"/>
          <w:sz w:val="28"/>
          <w:szCs w:val="27"/>
          <w:lang w:eastAsia="ru-RU"/>
          <w14:ligatures w14:val="none"/>
        </w:rPr>
        <w:t xml:space="preserve"> роста запасов, поэтому дальнейший вывод по структуре активов необходимо сопоставлять с показателями оборачиваемости в табл. 2.9.</w:t>
      </w:r>
    </w:p>
    <w:p w14:paraId="397B0EB3"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0D6A734D" w14:textId="37D9CC30"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2.2 – Состав и структура источников имущества</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2"/>
        <w:gridCol w:w="869"/>
        <w:gridCol w:w="732"/>
        <w:gridCol w:w="869"/>
        <w:gridCol w:w="732"/>
        <w:gridCol w:w="869"/>
        <w:gridCol w:w="732"/>
        <w:gridCol w:w="1386"/>
        <w:gridCol w:w="967"/>
      </w:tblGrid>
      <w:tr w:rsidR="000005A2" w:rsidRPr="000005A2" w14:paraId="247BD902" w14:textId="77777777">
        <w:trPr>
          <w:tblHeader w:val="true"/>
          <w:tblCellSpacing w:w="15" w:type="dxa"/>
          <w:tblHeader w:val="true"/>
          <w:cantSplit/>
        </w:trPr>
        <w:tc>
          <w:tcPr>
            <w:tcW w:w="0" w:type="auto"/>
            <w:vAlign w:val="center"/>
            <w:hideMark/>
            <w:shd w:val="clear" w:color="auto" w:fill="auto"/>
          </w:tcPr>
          <w:p w14:paraId="47D61814"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7B669F9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 тыс. руб.</w:t>
            </w:r>
          </w:p>
        </w:tc>
        <w:tc>
          <w:tcPr>
            <w:tcW w:w="0" w:type="auto"/>
            <w:vAlign w:val="center"/>
            <w:hideMark/>
            <w:shd w:val="clear" w:color="auto" w:fill="auto"/>
          </w:tcPr>
          <w:p w14:paraId="2B045186"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 %</w:t>
            </w:r>
          </w:p>
        </w:tc>
        <w:tc>
          <w:tcPr>
            <w:tcW w:w="0" w:type="auto"/>
            <w:vAlign w:val="center"/>
            <w:hideMark/>
            <w:shd w:val="clear" w:color="auto" w:fill="auto"/>
          </w:tcPr>
          <w:p w14:paraId="5FB83F0B"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 тыс. руб.</w:t>
            </w:r>
          </w:p>
        </w:tc>
        <w:tc>
          <w:tcPr>
            <w:tcW w:w="0" w:type="auto"/>
            <w:vAlign w:val="center"/>
            <w:hideMark/>
            <w:shd w:val="clear" w:color="auto" w:fill="auto"/>
          </w:tcPr>
          <w:p w14:paraId="3A57802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 %</w:t>
            </w:r>
          </w:p>
        </w:tc>
        <w:tc>
          <w:tcPr>
            <w:tcW w:w="0" w:type="auto"/>
            <w:vAlign w:val="center"/>
            <w:hideMark/>
            <w:shd w:val="clear" w:color="auto" w:fill="auto"/>
          </w:tcPr>
          <w:p w14:paraId="49DB6AD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 тыс. руб.</w:t>
            </w:r>
          </w:p>
        </w:tc>
        <w:tc>
          <w:tcPr>
            <w:tcW w:w="0" w:type="auto"/>
            <w:vAlign w:val="center"/>
            <w:hideMark/>
            <w:shd w:val="clear" w:color="auto" w:fill="auto"/>
          </w:tcPr>
          <w:p w14:paraId="019EE02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 %</w:t>
            </w:r>
          </w:p>
        </w:tc>
        <w:tc>
          <w:tcPr>
            <w:tcW w:w="0" w:type="auto"/>
            <w:vAlign w:val="center"/>
            <w:hideMark/>
            <w:shd w:val="clear" w:color="auto" w:fill="auto"/>
          </w:tcPr>
          <w:p w14:paraId="4709D91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Отклонение</w:t>
            </w:r>
          </w:p>
        </w:tc>
        <w:tc>
          <w:tcPr>
            <w:tcW w:w="0" w:type="auto"/>
            <w:vAlign w:val="center"/>
            <w:hideMark/>
            <w:shd w:val="clear" w:color="auto" w:fill="auto"/>
          </w:tcPr>
          <w:p w14:paraId="5FD90AB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Темп роста, %</w:t>
            </w:r>
          </w:p>
        </w:tc>
      </w:tr>
      <w:tr w:rsidR="000005A2" w:rsidRPr="000005A2" w14:paraId="79D036F8" w14:textId="77777777">
        <w:trPr>
          <w:tblCellSpacing w:w="15" w:type="dxa"/>
          <w:cantSplit/>
        </w:trPr>
        <w:tc>
          <w:tcPr>
            <w:tcW w:w="0" w:type="auto"/>
            <w:vAlign w:val="center"/>
            <w:hideMark/>
            <w:shd w:val="clear" w:color="auto" w:fill="auto"/>
          </w:tcPr>
          <w:p w14:paraId="3E40D7C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Собственный капитал</w:t>
            </w:r>
          </w:p>
        </w:tc>
        <w:tc>
          <w:tcPr>
            <w:tcW w:w="0" w:type="auto"/>
            <w:vAlign w:val="center"/>
            <w:hideMark/>
            <w:shd w:val="clear" w:color="auto" w:fill="auto"/>
          </w:tcPr>
          <w:p w14:paraId="58A1B92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270 354</w:t>
            </w:r>
          </w:p>
        </w:tc>
        <w:tc>
          <w:tcPr>
            <w:tcW w:w="0" w:type="auto"/>
            <w:vAlign w:val="center"/>
            <w:hideMark/>
            <w:shd w:val="clear" w:color="auto" w:fill="auto"/>
          </w:tcPr>
          <w:p w14:paraId="4F4966F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29,25</w:t>
            </w:r>
          </w:p>
        </w:tc>
        <w:tc>
          <w:tcPr>
            <w:tcW w:w="0" w:type="auto"/>
            <w:vAlign w:val="center"/>
            <w:hideMark/>
            <w:shd w:val="clear" w:color="auto" w:fill="auto"/>
          </w:tcPr>
          <w:p w14:paraId="4E00AC8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394 569</w:t>
            </w:r>
          </w:p>
        </w:tc>
        <w:tc>
          <w:tcPr>
            <w:tcW w:w="0" w:type="auto"/>
            <w:vAlign w:val="center"/>
            <w:hideMark/>
            <w:shd w:val="clear" w:color="auto" w:fill="auto"/>
          </w:tcPr>
          <w:p w14:paraId="0AE6E4B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30,75</w:t>
            </w:r>
          </w:p>
        </w:tc>
        <w:tc>
          <w:tcPr>
            <w:tcW w:w="0" w:type="auto"/>
            <w:vAlign w:val="center"/>
            <w:hideMark/>
            <w:shd w:val="clear" w:color="auto" w:fill="auto"/>
          </w:tcPr>
          <w:p w14:paraId="56E068F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521 656</w:t>
            </w:r>
          </w:p>
        </w:tc>
        <w:tc>
          <w:tcPr>
            <w:tcW w:w="0" w:type="auto"/>
            <w:vAlign w:val="center"/>
            <w:hideMark/>
            <w:shd w:val="clear" w:color="auto" w:fill="auto"/>
          </w:tcPr>
          <w:p w14:paraId="7A279F9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42,48</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251 302</w:t>
            </w:r>
          </w:p>
        </w:tc>
        <w:tc>
          <w:tcPr>
            <w:tcW w:w="0" w:type="auto"/>
            <w:vAlign w:val="center"/>
            <w:hideMark/>
            <w:shd w:val="clear" w:color="auto" w:fill="auto"/>
          </w:tcPr>
          <w:p w14:paraId="701F3F6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192,97</w:t>
            </w:r>
          </w:p>
        </w:tc>
      </w:tr>
      <w:tr w:rsidR="000005A2" w:rsidRPr="000005A2" w14:paraId="27FE2E68" w14:textId="77777777">
        <w:trPr>
          <w:tblCellSpacing w:w="15" w:type="dxa"/>
          <w:cantSplit/>
        </w:trPr>
        <w:tc>
          <w:tcPr>
            <w:tcW w:w="0" w:type="auto"/>
            <w:vAlign w:val="center"/>
            <w:hideMark/>
            <w:shd w:val="clear" w:color="auto" w:fill="auto"/>
          </w:tcPr>
          <w:p w14:paraId="43D9BF4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в т.ч. уставный капитал</w:t>
            </w:r>
          </w:p>
        </w:tc>
        <w:tc>
          <w:tcPr>
            <w:tcW w:w="0" w:type="auto"/>
            <w:vAlign w:val="center"/>
            <w:hideMark/>
            <w:shd w:val="clear" w:color="auto" w:fill="auto"/>
          </w:tcPr>
          <w:p w14:paraId="138CECE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w:t>
            </w:r>
          </w:p>
        </w:tc>
        <w:tc>
          <w:tcPr>
            <w:tcW w:w="0" w:type="auto"/>
            <w:vAlign w:val="center"/>
            <w:hideMark/>
            <w:shd w:val="clear" w:color="auto" w:fill="auto"/>
          </w:tcPr>
          <w:p w14:paraId="2068298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0,00</w:t>
            </w:r>
          </w:p>
        </w:tc>
        <w:tc>
          <w:tcPr>
            <w:tcW w:w="0" w:type="auto"/>
            <w:vAlign w:val="center"/>
            <w:hideMark/>
            <w:shd w:val="clear" w:color="auto" w:fill="auto"/>
          </w:tcPr>
          <w:p w14:paraId="570E56A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w:t>
            </w:r>
          </w:p>
        </w:tc>
        <w:tc>
          <w:tcPr>
            <w:tcW w:w="0" w:type="auto"/>
            <w:vAlign w:val="center"/>
            <w:hideMark/>
            <w:shd w:val="clear" w:color="auto" w:fill="auto"/>
          </w:tcPr>
          <w:p w14:paraId="5C1EC4A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0,00</w:t>
            </w:r>
          </w:p>
        </w:tc>
        <w:tc>
          <w:tcPr>
            <w:tcW w:w="0" w:type="auto"/>
            <w:vAlign w:val="center"/>
            <w:hideMark/>
            <w:shd w:val="clear" w:color="auto" w:fill="auto"/>
          </w:tcPr>
          <w:p w14:paraId="236BADF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w:t>
            </w:r>
          </w:p>
        </w:tc>
        <w:tc>
          <w:tcPr>
            <w:tcW w:w="0" w:type="auto"/>
            <w:vAlign w:val="center"/>
            <w:hideMark/>
            <w:shd w:val="clear" w:color="auto" w:fill="auto"/>
          </w:tcPr>
          <w:p w14:paraId="74FD880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0,00</w:t>
            </w:r>
          </w:p>
        </w:tc>
        <w:tc>
          <w:tcPr>
            <w:tcW w:w="0" w:type="auto"/>
            <w:vAlign w:val="center"/>
            <w:hideMark/>
            <w:shd w:val="clear" w:color="auto" w:fill="auto"/>
          </w:tcPr>
          <w:p w14:paraId="3D58C10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10F1D17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100,0</w:t>
            </w:r>
          </w:p>
        </w:tc>
      </w:tr>
      <w:tr w:rsidR="000005A2" w:rsidRPr="000005A2" w14:paraId="16376938" w14:textId="77777777">
        <w:trPr>
          <w:tblCellSpacing w:w="15" w:type="dxa"/>
          <w:cantSplit/>
        </w:trPr>
        <w:tc>
          <w:tcPr>
            <w:tcW w:w="0" w:type="auto"/>
            <w:vAlign w:val="center"/>
            <w:hideMark/>
            <w:shd w:val="clear" w:color="auto" w:fill="auto"/>
          </w:tcPr>
          <w:p w14:paraId="5D4713A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Нераспределённая прибыль</w:t>
            </w:r>
          </w:p>
        </w:tc>
        <w:tc>
          <w:tcPr>
            <w:tcW w:w="0" w:type="auto"/>
            <w:vAlign w:val="center"/>
            <w:hideMark/>
            <w:shd w:val="clear" w:color="auto" w:fill="auto"/>
          </w:tcPr>
          <w:p w14:paraId="0AC9357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270 344</w:t>
            </w:r>
          </w:p>
        </w:tc>
        <w:tc>
          <w:tcPr>
            <w:tcW w:w="0" w:type="auto"/>
            <w:vAlign w:val="center"/>
            <w:hideMark/>
            <w:shd w:val="clear" w:color="auto" w:fill="auto"/>
          </w:tcPr>
          <w:p w14:paraId="641533F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29,25</w:t>
            </w:r>
          </w:p>
        </w:tc>
        <w:tc>
          <w:tcPr>
            <w:tcW w:w="0" w:type="auto"/>
            <w:vAlign w:val="center"/>
            <w:hideMark/>
            <w:shd w:val="clear" w:color="auto" w:fill="auto"/>
          </w:tcPr>
          <w:p w14:paraId="1C76FF0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394 559</w:t>
            </w:r>
          </w:p>
        </w:tc>
        <w:tc>
          <w:tcPr>
            <w:tcW w:w="0" w:type="auto"/>
            <w:vAlign w:val="center"/>
            <w:hideMark/>
            <w:shd w:val="clear" w:color="auto" w:fill="auto"/>
          </w:tcPr>
          <w:p w14:paraId="1C2315F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30,75</w:t>
            </w:r>
          </w:p>
        </w:tc>
        <w:tc>
          <w:tcPr>
            <w:tcW w:w="0" w:type="auto"/>
            <w:vAlign w:val="center"/>
            <w:hideMark/>
            <w:shd w:val="clear" w:color="auto" w:fill="auto"/>
          </w:tcPr>
          <w:p w14:paraId="090DD3A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521 646</w:t>
            </w:r>
          </w:p>
        </w:tc>
        <w:tc>
          <w:tcPr>
            <w:tcW w:w="0" w:type="auto"/>
            <w:vAlign w:val="center"/>
            <w:hideMark/>
            <w:shd w:val="clear" w:color="auto" w:fill="auto"/>
          </w:tcPr>
          <w:p w14:paraId="727DBFB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42,48</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251 302</w:t>
            </w:r>
          </w:p>
        </w:tc>
        <w:tc>
          <w:tcPr>
            <w:tcW w:w="0" w:type="auto"/>
            <w:vAlign w:val="center"/>
            <w:hideMark/>
            <w:shd w:val="clear" w:color="auto" w:fill="auto"/>
          </w:tcPr>
          <w:p w14:paraId="1DB725F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192,97</w:t>
            </w:r>
          </w:p>
        </w:tc>
      </w:tr>
      <w:tr w:rsidR="000005A2" w:rsidRPr="000005A2" w14:paraId="4F76381A" w14:textId="77777777">
        <w:trPr>
          <w:tblCellSpacing w:w="15" w:type="dxa"/>
          <w:cantSplit/>
        </w:trPr>
        <w:tc>
          <w:tcPr>
            <w:tcW w:w="0" w:type="auto"/>
            <w:vAlign w:val="center"/>
            <w:hideMark/>
            <w:shd w:val="clear" w:color="auto" w:fill="auto"/>
          </w:tcPr>
          <w:p w14:paraId="66CC349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Долгосрочные обязательства</w:t>
            </w:r>
          </w:p>
        </w:tc>
        <w:tc>
          <w:tcPr>
            <w:tcW w:w="0" w:type="auto"/>
            <w:vAlign w:val="center"/>
            <w:hideMark/>
            <w:shd w:val="clear" w:color="auto" w:fill="auto"/>
          </w:tcPr>
          <w:p w14:paraId="4309E43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20 000</w:t>
            </w:r>
          </w:p>
        </w:tc>
        <w:tc>
          <w:tcPr>
            <w:tcW w:w="0" w:type="auto"/>
            <w:vAlign w:val="center"/>
            <w:hideMark/>
            <w:shd w:val="clear" w:color="auto" w:fill="auto"/>
          </w:tcPr>
          <w:p w14:paraId="6D83D7C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2,16</w:t>
            </w:r>
          </w:p>
        </w:tc>
        <w:tc>
          <w:tcPr>
            <w:tcW w:w="0" w:type="auto"/>
            <w:vAlign w:val="center"/>
            <w:hideMark/>
            <w:shd w:val="clear" w:color="auto" w:fill="auto"/>
          </w:tcPr>
          <w:p w14:paraId="75FA056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124 000</w:t>
            </w:r>
          </w:p>
        </w:tc>
        <w:tc>
          <w:tcPr>
            <w:tcW w:w="0" w:type="auto"/>
            <w:vAlign w:val="center"/>
            <w:hideMark/>
            <w:shd w:val="clear" w:color="auto" w:fill="auto"/>
          </w:tcPr>
          <w:p w14:paraId="13ADE9B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9,66</w:t>
            </w:r>
          </w:p>
        </w:tc>
        <w:tc>
          <w:tcPr>
            <w:tcW w:w="0" w:type="auto"/>
            <w:vAlign w:val="center"/>
            <w:hideMark/>
            <w:shd w:val="clear" w:color="auto" w:fill="auto"/>
          </w:tcPr>
          <w:p w14:paraId="11EB7B8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110 330</w:t>
            </w:r>
          </w:p>
        </w:tc>
        <w:tc>
          <w:tcPr>
            <w:tcW w:w="0" w:type="auto"/>
            <w:vAlign w:val="center"/>
            <w:hideMark/>
            <w:shd w:val="clear" w:color="auto" w:fill="auto"/>
          </w:tcPr>
          <w:p w14:paraId="11EEBB6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8,98</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90 330</w:t>
            </w:r>
          </w:p>
        </w:tc>
        <w:tc>
          <w:tcPr>
            <w:tcW w:w="0" w:type="auto"/>
            <w:vAlign w:val="center"/>
            <w:hideMark/>
            <w:shd w:val="clear" w:color="auto" w:fill="auto"/>
          </w:tcPr>
          <w:p w14:paraId="137375A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551,65</w:t>
            </w:r>
          </w:p>
        </w:tc>
      </w:tr>
      <w:tr w:rsidR="000005A2" w:rsidRPr="000005A2" w14:paraId="7DE4E1E6" w14:textId="77777777">
        <w:trPr>
          <w:tblCellSpacing w:w="15" w:type="dxa"/>
          <w:cantSplit/>
        </w:trPr>
        <w:tc>
          <w:tcPr>
            <w:tcW w:w="0" w:type="auto"/>
            <w:vAlign w:val="center"/>
            <w:hideMark/>
            <w:shd w:val="clear" w:color="auto" w:fill="auto"/>
          </w:tcPr>
          <w:p w14:paraId="0553178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в т.ч. займы</w:t>
            </w:r>
          </w:p>
        </w:tc>
        <w:tc>
          <w:tcPr>
            <w:tcW w:w="0" w:type="auto"/>
            <w:vAlign w:val="center"/>
            <w:hideMark/>
            <w:shd w:val="clear" w:color="auto" w:fill="auto"/>
          </w:tcPr>
          <w:p w14:paraId="5FB9BCC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20 000</w:t>
            </w:r>
          </w:p>
        </w:tc>
        <w:tc>
          <w:tcPr>
            <w:tcW w:w="0" w:type="auto"/>
            <w:vAlign w:val="center"/>
            <w:hideMark/>
            <w:shd w:val="clear" w:color="auto" w:fill="auto"/>
          </w:tcPr>
          <w:p w14:paraId="738CF7D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2,16</w:t>
            </w:r>
          </w:p>
        </w:tc>
        <w:tc>
          <w:tcPr>
            <w:tcW w:w="0" w:type="auto"/>
            <w:vAlign w:val="center"/>
            <w:hideMark/>
            <w:shd w:val="clear" w:color="auto" w:fill="auto"/>
          </w:tcPr>
          <w:p w14:paraId="020DA8A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124 000</w:t>
            </w:r>
          </w:p>
        </w:tc>
        <w:tc>
          <w:tcPr>
            <w:tcW w:w="0" w:type="auto"/>
            <w:vAlign w:val="center"/>
            <w:hideMark/>
            <w:shd w:val="clear" w:color="auto" w:fill="auto"/>
          </w:tcPr>
          <w:p w14:paraId="610B367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9,66</w:t>
            </w:r>
          </w:p>
        </w:tc>
        <w:tc>
          <w:tcPr>
            <w:tcW w:w="0" w:type="auto"/>
            <w:vAlign w:val="center"/>
            <w:hideMark/>
            <w:shd w:val="clear" w:color="auto" w:fill="auto"/>
          </w:tcPr>
          <w:p w14:paraId="0635C82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110 000</w:t>
            </w:r>
          </w:p>
        </w:tc>
        <w:tc>
          <w:tcPr>
            <w:tcW w:w="0" w:type="auto"/>
            <w:vAlign w:val="center"/>
            <w:hideMark/>
            <w:shd w:val="clear" w:color="auto" w:fill="auto"/>
          </w:tcPr>
          <w:p w14:paraId="584D5FB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8,96</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90 000</w:t>
            </w:r>
          </w:p>
        </w:tc>
        <w:tc>
          <w:tcPr>
            <w:tcW w:w="0" w:type="auto"/>
            <w:vAlign w:val="center"/>
            <w:hideMark/>
            <w:shd w:val="clear" w:color="auto" w:fill="auto"/>
          </w:tcPr>
          <w:p w14:paraId="607B868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550,00</w:t>
            </w:r>
          </w:p>
        </w:tc>
      </w:tr>
      <w:tr w:rsidR="000005A2" w:rsidRPr="000005A2" w14:paraId="4DADB013" w14:textId="77777777">
        <w:trPr>
          <w:tblCellSpacing w:w="15" w:type="dxa"/>
          <w:cantSplit/>
        </w:trPr>
        <w:tc>
          <w:tcPr>
            <w:tcW w:w="0" w:type="auto"/>
            <w:vAlign w:val="center"/>
            <w:hideMark/>
            <w:shd w:val="clear" w:color="auto" w:fill="auto"/>
          </w:tcPr>
          <w:p w14:paraId="50BB343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Отложенные налоговые обязательства</w:t>
            </w:r>
          </w:p>
        </w:tc>
        <w:tc>
          <w:tcPr>
            <w:tcW w:w="0" w:type="auto"/>
            <w:vAlign w:val="center"/>
            <w:hideMark/>
            <w:shd w:val="clear" w:color="auto" w:fill="auto"/>
          </w:tcPr>
          <w:p w14:paraId="38CFA90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11954DF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27DCA1F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563E8B7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387A704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330</w:t>
            </w:r>
          </w:p>
        </w:tc>
        <w:tc>
          <w:tcPr>
            <w:tcW w:w="0" w:type="auto"/>
            <w:vAlign w:val="center"/>
            <w:hideMark/>
            <w:shd w:val="clear" w:color="auto" w:fill="auto"/>
          </w:tcPr>
          <w:p w14:paraId="4C318E1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0,03</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330</w:t>
            </w:r>
          </w:p>
        </w:tc>
        <w:tc>
          <w:tcPr>
            <w:tcW w:w="0" w:type="auto"/>
            <w:vAlign w:val="center"/>
            <w:hideMark/>
            <w:shd w:val="clear" w:color="auto" w:fill="auto"/>
          </w:tcPr>
          <w:p w14:paraId="533259D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r>
      <w:tr w:rsidR="000005A2" w:rsidRPr="000005A2" w14:paraId="62ED9016" w14:textId="77777777">
        <w:trPr>
          <w:tblCellSpacing w:w="15" w:type="dxa"/>
          <w:cantSplit/>
        </w:trPr>
        <w:tc>
          <w:tcPr>
            <w:tcW w:w="0" w:type="auto"/>
            <w:vAlign w:val="center"/>
            <w:hideMark/>
            <w:shd w:val="clear" w:color="auto" w:fill="auto"/>
          </w:tcPr>
          <w:p w14:paraId="1B48A55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Краткосрочные обязательства</w:t>
            </w:r>
          </w:p>
        </w:tc>
        <w:tc>
          <w:tcPr>
            <w:tcW w:w="0" w:type="auto"/>
            <w:vAlign w:val="center"/>
            <w:hideMark/>
            <w:shd w:val="clear" w:color="auto" w:fill="auto"/>
          </w:tcPr>
          <w:p w14:paraId="4CFCC02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633 915</w:t>
            </w:r>
          </w:p>
        </w:tc>
        <w:tc>
          <w:tcPr>
            <w:tcW w:w="0" w:type="auto"/>
            <w:vAlign w:val="center"/>
            <w:hideMark/>
            <w:shd w:val="clear" w:color="auto" w:fill="auto"/>
          </w:tcPr>
          <w:p w14:paraId="1765143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68,59</w:t>
            </w:r>
          </w:p>
        </w:tc>
        <w:tc>
          <w:tcPr>
            <w:tcW w:w="0" w:type="auto"/>
            <w:vAlign w:val="center"/>
            <w:hideMark/>
            <w:shd w:val="clear" w:color="auto" w:fill="auto"/>
          </w:tcPr>
          <w:p w14:paraId="1BC5D06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764 495</w:t>
            </w:r>
          </w:p>
        </w:tc>
        <w:tc>
          <w:tcPr>
            <w:tcW w:w="0" w:type="auto"/>
            <w:vAlign w:val="center"/>
            <w:hideMark/>
            <w:shd w:val="clear" w:color="auto" w:fill="auto"/>
          </w:tcPr>
          <w:p w14:paraId="0ED90FB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59,58</w:t>
            </w:r>
          </w:p>
        </w:tc>
        <w:tc>
          <w:tcPr>
            <w:tcW w:w="0" w:type="auto"/>
            <w:vAlign w:val="center"/>
            <w:hideMark/>
            <w:shd w:val="clear" w:color="auto" w:fill="auto"/>
          </w:tcPr>
          <w:p w14:paraId="383D4CA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596 079</w:t>
            </w:r>
          </w:p>
        </w:tc>
        <w:tc>
          <w:tcPr>
            <w:tcW w:w="0" w:type="auto"/>
            <w:vAlign w:val="center"/>
            <w:hideMark/>
            <w:shd w:val="clear" w:color="auto" w:fill="auto"/>
          </w:tcPr>
          <w:p w14:paraId="22B1923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48,54</w:t>
            </w:r>
          </w:p>
        </w:tc>
        <w:tc>
          <w:tcPr>
            <w:tcW w:w="0" w:type="auto"/>
            <w:vAlign w:val="center"/>
            <w:hideMark/>
            <w:shd w:val="clear" w:color="auto" w:fill="auto"/>
          </w:tcPr>
          <w:p w14:paraId="1142CD4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-37 836</w:t>
            </w:r>
          </w:p>
        </w:tc>
        <w:tc>
          <w:tcPr>
            <w:tcW w:w="0" w:type="auto"/>
            <w:vAlign w:val="center"/>
            <w:hideMark/>
            <w:shd w:val="clear" w:color="auto" w:fill="auto"/>
          </w:tcPr>
          <w:p w14:paraId="4ACAD8D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94,03</w:t>
            </w:r>
          </w:p>
        </w:tc>
      </w:tr>
      <w:tr w:rsidR="000005A2" w:rsidRPr="000005A2" w14:paraId="2D2E11BF" w14:textId="77777777">
        <w:trPr>
          <w:tblCellSpacing w:w="15" w:type="dxa"/>
          <w:cantSplit/>
        </w:trPr>
        <w:tc>
          <w:tcPr>
            <w:tcW w:w="0" w:type="auto"/>
            <w:vAlign w:val="center"/>
            <w:hideMark/>
            <w:shd w:val="clear" w:color="auto" w:fill="auto"/>
          </w:tcPr>
          <w:p w14:paraId="4EBD8FF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lastRenderedPageBreak/>
              <w:t>в т.ч. кредиторская задолженность</w:t>
            </w:r>
          </w:p>
        </w:tc>
        <w:tc>
          <w:tcPr>
            <w:tcW w:w="0" w:type="auto"/>
            <w:vAlign w:val="center"/>
            <w:hideMark/>
            <w:shd w:val="clear" w:color="auto" w:fill="auto"/>
          </w:tcPr>
          <w:p w14:paraId="594970E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633 915</w:t>
            </w:r>
          </w:p>
        </w:tc>
        <w:tc>
          <w:tcPr>
            <w:tcW w:w="0" w:type="auto"/>
            <w:vAlign w:val="center"/>
            <w:hideMark/>
            <w:shd w:val="clear" w:color="auto" w:fill="auto"/>
          </w:tcPr>
          <w:p w14:paraId="717DADF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68,59</w:t>
            </w:r>
          </w:p>
        </w:tc>
        <w:tc>
          <w:tcPr>
            <w:tcW w:w="0" w:type="auto"/>
            <w:vAlign w:val="center"/>
            <w:hideMark/>
            <w:shd w:val="clear" w:color="auto" w:fill="auto"/>
          </w:tcPr>
          <w:p w14:paraId="7D87478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764 495</w:t>
            </w:r>
          </w:p>
        </w:tc>
        <w:tc>
          <w:tcPr>
            <w:tcW w:w="0" w:type="auto"/>
            <w:vAlign w:val="center"/>
            <w:hideMark/>
            <w:shd w:val="clear" w:color="auto" w:fill="auto"/>
          </w:tcPr>
          <w:p w14:paraId="49CFD07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59,58</w:t>
            </w:r>
          </w:p>
        </w:tc>
        <w:tc>
          <w:tcPr>
            <w:tcW w:w="0" w:type="auto"/>
            <w:vAlign w:val="center"/>
            <w:hideMark/>
            <w:shd w:val="clear" w:color="auto" w:fill="auto"/>
          </w:tcPr>
          <w:p w14:paraId="447C8D7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596 079</w:t>
            </w:r>
          </w:p>
        </w:tc>
        <w:tc>
          <w:tcPr>
            <w:tcW w:w="0" w:type="auto"/>
            <w:vAlign w:val="center"/>
            <w:hideMark/>
            <w:shd w:val="clear" w:color="auto" w:fill="auto"/>
          </w:tcPr>
          <w:p w14:paraId="794CD9B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48,54</w:t>
            </w:r>
          </w:p>
        </w:tc>
        <w:tc>
          <w:tcPr>
            <w:tcW w:w="0" w:type="auto"/>
            <w:vAlign w:val="center"/>
            <w:hideMark/>
            <w:shd w:val="clear" w:color="auto" w:fill="auto"/>
          </w:tcPr>
          <w:p w14:paraId="14490B2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-37 836</w:t>
            </w:r>
          </w:p>
        </w:tc>
        <w:tc>
          <w:tcPr>
            <w:tcW w:w="0" w:type="auto"/>
            <w:vAlign w:val="center"/>
            <w:hideMark/>
            <w:shd w:val="clear" w:color="auto" w:fill="auto"/>
          </w:tcPr>
          <w:p w14:paraId="513D067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94,03</w:t>
            </w:r>
          </w:p>
        </w:tc>
      </w:tr>
      <w:tr w:rsidR="000005A2" w:rsidRPr="000005A2" w14:paraId="33FC789D" w14:textId="77777777">
        <w:trPr>
          <w:tblCellSpacing w:w="15" w:type="dxa"/>
          <w:cantSplit/>
        </w:trPr>
        <w:tc>
          <w:tcPr>
            <w:tcW w:w="0" w:type="auto"/>
            <w:vAlign w:val="center"/>
            <w:hideMark/>
            <w:shd w:val="clear" w:color="auto" w:fill="auto"/>
          </w:tcPr>
          <w:p w14:paraId="5B6B924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БАЛАНС</w:t>
            </w:r>
          </w:p>
        </w:tc>
        <w:tc>
          <w:tcPr>
            <w:tcW w:w="0" w:type="auto"/>
            <w:vAlign w:val="center"/>
            <w:hideMark/>
            <w:shd w:val="clear" w:color="auto" w:fill="auto"/>
          </w:tcPr>
          <w:p w14:paraId="48D8332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924 270</w:t>
            </w:r>
          </w:p>
        </w:tc>
        <w:tc>
          <w:tcPr>
            <w:tcW w:w="0" w:type="auto"/>
            <w:vAlign w:val="center"/>
            <w:hideMark/>
            <w:shd w:val="clear" w:color="auto" w:fill="auto"/>
          </w:tcPr>
          <w:p w14:paraId="292EDB8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100,0</w:t>
            </w:r>
          </w:p>
        </w:tc>
        <w:tc>
          <w:tcPr>
            <w:tcW w:w="0" w:type="auto"/>
            <w:vAlign w:val="center"/>
            <w:hideMark/>
            <w:shd w:val="clear" w:color="auto" w:fill="auto"/>
          </w:tcPr>
          <w:p w14:paraId="05A774C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1 283 064</w:t>
            </w:r>
          </w:p>
        </w:tc>
        <w:tc>
          <w:tcPr>
            <w:tcW w:w="0" w:type="auto"/>
            <w:vAlign w:val="center"/>
            <w:hideMark/>
            <w:shd w:val="clear" w:color="auto" w:fill="auto"/>
          </w:tcPr>
          <w:p w14:paraId="043891E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100,0</w:t>
            </w:r>
          </w:p>
        </w:tc>
        <w:tc>
          <w:tcPr>
            <w:tcW w:w="0" w:type="auto"/>
            <w:vAlign w:val="center"/>
            <w:hideMark/>
            <w:shd w:val="clear" w:color="auto" w:fill="auto"/>
          </w:tcPr>
          <w:p w14:paraId="0941EB9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1 228 066</w:t>
            </w:r>
          </w:p>
        </w:tc>
        <w:tc>
          <w:tcPr>
            <w:tcW w:w="0" w:type="auto"/>
            <w:vAlign w:val="center"/>
            <w:hideMark/>
            <w:shd w:val="clear" w:color="auto" w:fill="auto"/>
          </w:tcPr>
          <w:p w14:paraId="40F7BAD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100,0</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303 796</w:t>
            </w:r>
          </w:p>
        </w:tc>
        <w:tc>
          <w:tcPr>
            <w:tcW w:w="0" w:type="auto"/>
            <w:vAlign w:val="center"/>
            <w:hideMark/>
            <w:shd w:val="clear" w:color="auto" w:fill="auto"/>
          </w:tcPr>
          <w:p w14:paraId="40A278A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132,87</w:t>
            </w:r>
          </w:p>
        </w:tc>
      </w:tr>
    </w:tbl>
    <w:p w14:paraId="497F32ED"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Анализ табл. 2.2 показывает улучшение структуры источников финансирования. Доля собственного капитала выросла с 29,25% до 42,48%, рост составил 13,23 </w:t>
      </w:r>
      <w:proofErr w:type="spellStart"/>
      <w:r w:rsidRPr="00A8405D">
        <w:rPr>
          <w:rFonts w:eastAsia="Times New Roman" w:cs="Times New Roman" w:ascii="Times New Roman" w:hAnsi="Times New Roman"/>
          <w:b w:val="0"/>
          <w:bCs/>
          <w:kern w:val="0"/>
          <w:sz w:val="28"/>
          <w:szCs w:val="27"/>
          <w:lang w:eastAsia="ru-RU"/>
          <w14:ligatures w14:val="none"/>
        </w:rPr>
        <w:t>п.п</w:t>
      </w:r>
      <w:proofErr w:type="spellEnd"/>
      <w:r w:rsidRPr="00A8405D">
        <w:rPr>
          <w:rFonts w:eastAsia="Times New Roman" w:cs="Times New Roman" w:ascii="Times New Roman" w:hAnsi="Times New Roman"/>
          <w:b w:val="0"/>
          <w:bCs/>
          <w:kern w:val="0"/>
          <w:sz w:val="28"/>
          <w:szCs w:val="27"/>
          <w:lang w:eastAsia="ru-RU"/>
          <w14:ligatures w14:val="none"/>
        </w:rPr>
        <w:t>. Это означает усиление финансовой независимости и рост роли внутренних источников финансирования, прежде всего нераспределенной прибыли.</w:t>
      </w:r>
    </w:p>
    <w:p w14:paraId="2FD186E4"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Доля долгосрочных обязательств увеличилась по сравнению с 2023 г. и в 2025 г. составляет 8,98%. Для компании это важный момент, долгосрочные источники лучше соответствуют финансированию запасов и сглаживают давление на краткосрочную ликвидность.</w:t>
      </w:r>
    </w:p>
    <w:p w14:paraId="143095AC"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При этом доля краткосрочных обязательств снизилась с 68,59% до 48,54%, сокращение составило 20,05 </w:t>
      </w:r>
      <w:proofErr w:type="spellStart"/>
      <w:r w:rsidRPr="00A8405D">
        <w:rPr>
          <w:rFonts w:eastAsia="Times New Roman" w:cs="Times New Roman" w:ascii="Times New Roman" w:hAnsi="Times New Roman"/>
          <w:b w:val="0"/>
          <w:bCs/>
          <w:kern w:val="0"/>
          <w:sz w:val="28"/>
          <w:szCs w:val="27"/>
          <w:lang w:eastAsia="ru-RU"/>
          <w14:ligatures w14:val="none"/>
        </w:rPr>
        <w:t>п.п</w:t>
      </w:r>
      <w:proofErr w:type="spellEnd"/>
      <w:r w:rsidRPr="00A8405D">
        <w:rPr>
          <w:rFonts w:eastAsia="Times New Roman" w:cs="Times New Roman" w:ascii="Times New Roman" w:hAnsi="Times New Roman"/>
          <w:b w:val="0"/>
          <w:bCs/>
          <w:kern w:val="0"/>
          <w:sz w:val="28"/>
          <w:szCs w:val="27"/>
          <w:lang w:eastAsia="ru-RU"/>
          <w14:ligatures w14:val="none"/>
        </w:rPr>
        <w:t>. То есть компания уменьшила зависимость от краткосрочной кредиторской задолженности. С точки зрения устойчивости это положительно, поскольку снижает риск необходимости быстрого погашения обязательств при колебаниях денежных поступлений.</w:t>
      </w:r>
    </w:p>
    <w:p w14:paraId="26EAADD8"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Вместе с тем даже в 2025 г. краткосрочные обязательства остаются крупнейшей частью пассивов. Следовательно, устойчивость компании </w:t>
      </w:r>
      <w:proofErr w:type="gramStart"/>
      <w:r w:rsidRPr="00A8405D">
        <w:rPr>
          <w:rFonts w:eastAsia="Times New Roman" w:cs="Times New Roman" w:ascii="Times New Roman" w:hAnsi="Times New Roman"/>
          <w:b w:val="0"/>
          <w:bCs/>
          <w:kern w:val="0"/>
          <w:sz w:val="28"/>
          <w:szCs w:val="27"/>
          <w:lang w:eastAsia="ru-RU"/>
          <w14:ligatures w14:val="none"/>
        </w:rPr>
        <w:t>по прежнему</w:t>
      </w:r>
      <w:proofErr w:type="gramEnd"/>
      <w:r w:rsidRPr="00A8405D">
        <w:rPr>
          <w:rFonts w:eastAsia="Times New Roman" w:cs="Times New Roman" w:ascii="Times New Roman" w:hAnsi="Times New Roman"/>
          <w:b w:val="0"/>
          <w:bCs/>
          <w:kern w:val="0"/>
          <w:sz w:val="28"/>
          <w:szCs w:val="27"/>
          <w:lang w:eastAsia="ru-RU"/>
          <w14:ligatures w14:val="none"/>
        </w:rPr>
        <w:t xml:space="preserve"> зависит от качества управления оборотным капиталом, прежде всего запасами и дебиторской задолженностью.</w:t>
      </w:r>
    </w:p>
    <w:p w14:paraId="6548B08C"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pPr>
        <w:spacing w:before="600" w:after="600" w:line="240" w:lineRule="auto"/>
        <w:ind w:left="0" w:firstLine="709"/>
        <w:jc w:val="left"/>
        <w:keepNext/>
        <w:keepLines/>
        <w:outlineLvl w:val="1"/>
      </w:pPr>
      <w:r>
        <w:rPr>
          <w:rFonts w:ascii="Times New Roman" w:hAnsi="Times New Roman" w:eastAsia="Times New Roman"/>
          <w:b/>
          <w:sz w:val="32"/>
        </w:rPr>
        <w:t>2.2 Анализ ликвидности и платёжеспособности</w:t>
      </w:r>
    </w:p>
    <w:p>
      <w:pPr>
        <w:spacing w:before="0" w:after="0" w:line="360" w:lineRule="auto"/>
        <w:ind w:left="0" w:right="0" w:firstLine="709"/>
        <w:jc w:val="both"/>
      </w:pPr>
      <w:r>
        <w:rPr>
          <w:rFonts w:ascii="Times New Roman" w:hAnsi="Times New Roman" w:eastAsia="Times New Roman"/>
          <w:b w:val="0"/>
          <w:sz w:val="28"/>
        </w:rPr>
        <w:t>Для оценки ликвидности активы организации сгруппированы по степени превращения в денежные средства, а обязательства — по срочности погашения. Сопоставление соответствующих групп выполнено отдельно за 2023, 2024 и 2025 гг.</w:t>
      </w:r>
    </w:p>
    <w:p w14:paraId="77ABEADC" w14:textId="54FC11EE" w:rsid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2.3 – Группировка активов и пассивов за 2023 г.</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29"/>
        <w:gridCol w:w="886"/>
        <w:gridCol w:w="886"/>
        <w:gridCol w:w="982"/>
        <w:gridCol w:w="982"/>
        <w:gridCol w:w="2479"/>
        <w:gridCol w:w="2494"/>
      </w:tblGrid>
      <w:tr w:rsidR="001907A1" w:rsidRPr="001907A1" w14:paraId="3DC0BDC0" w14:textId="77777777">
        <w:trPr>
          <w:tblHeader w:val="true"/>
          <w:tblCellSpacing w:w="15" w:type="dxa"/>
          <w:tblHeader w:val="true"/>
          <w:cantSplit/>
        </w:trPr>
        <w:tc>
          <w:tcPr>
            <w:tcW w:w="0" w:type="auto"/>
            <w:vAlign w:val="center"/>
            <w:hideMark/>
            <w:shd w:val="clear" w:color="auto" w:fill="auto"/>
          </w:tcPr>
          <w:p w14:paraId="7AE5E9FC"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Группа</w:t>
            </w:r>
          </w:p>
        </w:tc>
        <w:tc>
          <w:tcPr>
            <w:tcW w:w="0" w:type="auto"/>
            <w:vAlign w:val="center"/>
            <w:hideMark/>
            <w:shd w:val="clear" w:color="auto" w:fill="auto"/>
          </w:tcPr>
          <w:p w14:paraId="614E5079"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Актив: начало года</w:t>
            </w:r>
          </w:p>
        </w:tc>
        <w:tc>
          <w:tcPr>
            <w:tcW w:w="0" w:type="auto"/>
            <w:vAlign w:val="center"/>
            <w:hideMark/>
            <w:shd w:val="clear" w:color="auto" w:fill="auto"/>
          </w:tcPr>
          <w:p w14:paraId="14720967"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Актив: конец года</w:t>
            </w:r>
          </w:p>
        </w:tc>
        <w:tc>
          <w:tcPr>
            <w:tcW w:w="0" w:type="auto"/>
            <w:vAlign w:val="center"/>
            <w:hideMark/>
            <w:shd w:val="clear" w:color="auto" w:fill="auto"/>
          </w:tcPr>
          <w:p w14:paraId="75DF66EB"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Пассив: начало года</w:t>
            </w:r>
          </w:p>
        </w:tc>
        <w:tc>
          <w:tcPr>
            <w:tcW w:w="0" w:type="auto"/>
            <w:vAlign w:val="center"/>
            <w:hideMark/>
            <w:shd w:val="clear" w:color="auto" w:fill="auto"/>
          </w:tcPr>
          <w:p w14:paraId="167C2F8C"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Пассив: конец года</w:t>
            </w:r>
          </w:p>
        </w:tc>
        <w:tc>
          <w:tcPr>
            <w:tcW w:w="0" w:type="auto"/>
            <w:vAlign w:val="center"/>
            <w:hideMark/>
            <w:shd w:val="clear" w:color="auto" w:fill="auto"/>
          </w:tcPr>
          <w:p w14:paraId="3538D02C"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Излишек/недостаток на начало</w:t>
            </w:r>
          </w:p>
        </w:tc>
        <w:tc>
          <w:tcPr>
            <w:tcW w:w="0" w:type="auto"/>
            <w:vAlign w:val="center"/>
            <w:hideMark/>
            <w:shd w:val="clear" w:color="auto" w:fill="auto"/>
          </w:tcPr>
          <w:p w14:paraId="5F96F84E"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Излишек/недостаток на конец</w:t>
            </w:r>
          </w:p>
        </w:tc>
      </w:tr>
      <w:tr w:rsidR="001907A1" w:rsidRPr="001907A1" w14:paraId="27361054" w14:textId="77777777">
        <w:trPr>
          <w:tblCellSpacing w:w="15" w:type="dxa"/>
          <w:cantSplit/>
        </w:trPr>
        <w:tc>
          <w:tcPr>
            <w:tcW w:w="0" w:type="auto"/>
            <w:vAlign w:val="center"/>
            <w:hideMark/>
            <w:shd w:val="clear" w:color="auto" w:fill="auto"/>
          </w:tcPr>
          <w:p w14:paraId="263C3A6E"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А1 / П1</w:t>
            </w:r>
          </w:p>
        </w:tc>
        <w:tc>
          <w:tcPr>
            <w:tcW w:w="0" w:type="auto"/>
            <w:vAlign w:val="center"/>
            <w:hideMark/>
            <w:shd w:val="clear" w:color="auto" w:fill="auto"/>
          </w:tcPr>
          <w:p w14:paraId="6F9A52F8"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77 506</w:t>
            </w:r>
          </w:p>
        </w:tc>
        <w:tc>
          <w:tcPr>
            <w:tcW w:w="0" w:type="auto"/>
            <w:vAlign w:val="center"/>
            <w:hideMark/>
            <w:shd w:val="clear" w:color="auto" w:fill="auto"/>
          </w:tcPr>
          <w:p w14:paraId="0E6DD91A"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45 535</w:t>
            </w:r>
          </w:p>
        </w:tc>
        <w:tc>
          <w:tcPr>
            <w:tcW w:w="0" w:type="auto"/>
            <w:vAlign w:val="center"/>
            <w:hideMark/>
            <w:shd w:val="clear" w:color="auto" w:fill="auto"/>
          </w:tcPr>
          <w:p w14:paraId="272E683A"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292 490</w:t>
            </w:r>
          </w:p>
        </w:tc>
        <w:tc>
          <w:tcPr>
            <w:tcW w:w="0" w:type="auto"/>
            <w:vAlign w:val="center"/>
            <w:hideMark/>
            <w:shd w:val="clear" w:color="auto" w:fill="auto"/>
          </w:tcPr>
          <w:p w14:paraId="3A61523C"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633 915</w:t>
            </w:r>
          </w:p>
        </w:tc>
        <w:tc>
          <w:tcPr>
            <w:tcW w:w="0" w:type="auto"/>
            <w:vAlign w:val="center"/>
            <w:hideMark/>
            <w:shd w:val="clear" w:color="auto" w:fill="auto"/>
          </w:tcPr>
          <w:p w14:paraId="429CA77B"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−214 984</w:t>
            </w:r>
          </w:p>
        </w:tc>
        <w:tc>
          <w:tcPr>
            <w:tcW w:w="0" w:type="auto"/>
            <w:vAlign w:val="center"/>
            <w:hideMark/>
            <w:shd w:val="clear" w:color="auto" w:fill="auto"/>
          </w:tcPr>
          <w:p w14:paraId="0ED1F1CD"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−588 380</w:t>
            </w:r>
          </w:p>
        </w:tc>
      </w:tr>
      <w:tr w:rsidR="001907A1" w:rsidRPr="001907A1" w14:paraId="4BBF4E0B" w14:textId="77777777">
        <w:trPr>
          <w:tblCellSpacing w:w="15" w:type="dxa"/>
          <w:cantSplit/>
        </w:trPr>
        <w:tc>
          <w:tcPr>
            <w:tcW w:w="0" w:type="auto"/>
            <w:vAlign w:val="center"/>
            <w:hideMark/>
            <w:shd w:val="clear" w:color="auto" w:fill="auto"/>
          </w:tcPr>
          <w:p w14:paraId="601D2B99"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А2 / П2</w:t>
            </w:r>
          </w:p>
        </w:tc>
        <w:tc>
          <w:tcPr>
            <w:tcW w:w="0" w:type="auto"/>
            <w:vAlign w:val="center"/>
            <w:hideMark/>
            <w:shd w:val="clear" w:color="auto" w:fill="auto"/>
          </w:tcPr>
          <w:p w14:paraId="5A1E788D"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206 947</w:t>
            </w:r>
          </w:p>
        </w:tc>
        <w:tc>
          <w:tcPr>
            <w:tcW w:w="0" w:type="auto"/>
            <w:vAlign w:val="center"/>
            <w:hideMark/>
            <w:shd w:val="clear" w:color="auto" w:fill="auto"/>
          </w:tcPr>
          <w:p w14:paraId="5E03AF9C"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538 609</w:t>
            </w:r>
          </w:p>
        </w:tc>
        <w:tc>
          <w:tcPr>
            <w:tcW w:w="0" w:type="auto"/>
            <w:vAlign w:val="center"/>
            <w:hideMark/>
            <w:shd w:val="clear" w:color="auto" w:fill="auto"/>
          </w:tcPr>
          <w:p w14:paraId="4E74CD36"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0</w:t>
            </w:r>
          </w:p>
        </w:tc>
        <w:tc>
          <w:tcPr>
            <w:tcW w:w="0" w:type="auto"/>
            <w:vAlign w:val="center"/>
            <w:hideMark/>
            <w:shd w:val="clear" w:color="auto" w:fill="auto"/>
          </w:tcPr>
          <w:p w14:paraId="71F16CC7"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0</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206 947</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538 609</w:t>
            </w:r>
          </w:p>
        </w:tc>
      </w:tr>
      <w:tr w:rsidR="001907A1" w:rsidRPr="001907A1" w14:paraId="5B962224" w14:textId="77777777">
        <w:trPr>
          <w:tblCellSpacing w:w="15" w:type="dxa"/>
          <w:cantSplit/>
        </w:trPr>
        <w:tc>
          <w:tcPr>
            <w:tcW w:w="0" w:type="auto"/>
            <w:vAlign w:val="center"/>
            <w:hideMark/>
            <w:shd w:val="clear" w:color="auto" w:fill="auto"/>
          </w:tcPr>
          <w:p w14:paraId="0521C98D"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А3 / П3</w:t>
            </w:r>
          </w:p>
        </w:tc>
        <w:tc>
          <w:tcPr>
            <w:tcW w:w="0" w:type="auto"/>
            <w:vAlign w:val="center"/>
            <w:hideMark/>
            <w:shd w:val="clear" w:color="auto" w:fill="auto"/>
          </w:tcPr>
          <w:p w14:paraId="7C3DD99F"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92 072</w:t>
            </w:r>
          </w:p>
        </w:tc>
        <w:tc>
          <w:tcPr>
            <w:tcW w:w="0" w:type="auto"/>
            <w:vAlign w:val="center"/>
            <w:hideMark/>
            <w:shd w:val="clear" w:color="auto" w:fill="auto"/>
          </w:tcPr>
          <w:p w14:paraId="6BD299D3"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338 114</w:t>
            </w:r>
          </w:p>
        </w:tc>
        <w:tc>
          <w:tcPr>
            <w:tcW w:w="0" w:type="auto"/>
            <w:vAlign w:val="center"/>
            <w:hideMark/>
            <w:shd w:val="clear" w:color="auto" w:fill="auto"/>
          </w:tcPr>
          <w:p w14:paraId="0964379B"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0</w:t>
            </w:r>
          </w:p>
        </w:tc>
        <w:tc>
          <w:tcPr>
            <w:tcW w:w="0" w:type="auto"/>
            <w:vAlign w:val="center"/>
            <w:hideMark/>
            <w:shd w:val="clear" w:color="auto" w:fill="auto"/>
          </w:tcPr>
          <w:p w14:paraId="64B5E3D6"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20 000</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92 072</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318 114</w:t>
            </w:r>
          </w:p>
        </w:tc>
      </w:tr>
      <w:tr w:rsidR="001907A1" w:rsidRPr="001907A1" w14:paraId="1E68C65B" w14:textId="77777777">
        <w:trPr>
          <w:tblCellSpacing w:w="15" w:type="dxa"/>
          <w:cantSplit/>
        </w:trPr>
        <w:tc>
          <w:tcPr>
            <w:tcW w:w="0" w:type="auto"/>
            <w:vAlign w:val="center"/>
            <w:hideMark/>
            <w:shd w:val="clear" w:color="auto" w:fill="auto"/>
          </w:tcPr>
          <w:p w14:paraId="29A8B372" w14:textId="77777777" w:rsidR="001907A1" w:rsidRPr="001907A1" w:rsidRDefault="001907A1" w:rsidP="001907A1">
            <w:pPr>
              <w:spacing w:before="0" w:beforeAutospacing="1" w:after="0" w:afterAutospacing="1" w:line="240" w:lineRule="auto"/>
              <w:ind w:left="0" w:right="0" w:firstLine="0"/>
              <w:jc w:val="left"/>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lastRenderedPageBreak/>
              <w:t>А4 / П4</w:t>
            </w:r>
          </w:p>
        </w:tc>
        <w:tc>
          <w:tcPr>
            <w:tcW w:w="0" w:type="auto"/>
            <w:vAlign w:val="center"/>
            <w:hideMark/>
            <w:shd w:val="clear" w:color="auto" w:fill="auto"/>
          </w:tcPr>
          <w:p w14:paraId="47F8D343"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2 672</w:t>
            </w:r>
          </w:p>
        </w:tc>
        <w:tc>
          <w:tcPr>
            <w:tcW w:w="0" w:type="auto"/>
            <w:vAlign w:val="center"/>
            <w:hideMark/>
            <w:shd w:val="clear" w:color="auto" w:fill="auto"/>
          </w:tcPr>
          <w:p w14:paraId="2FCD89AE"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2 012</w:t>
            </w:r>
          </w:p>
        </w:tc>
        <w:tc>
          <w:tcPr>
            <w:tcW w:w="0" w:type="auto"/>
            <w:vAlign w:val="center"/>
            <w:hideMark/>
            <w:shd w:val="clear" w:color="auto" w:fill="auto"/>
          </w:tcPr>
          <w:p w14:paraId="7B27B7F7"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86 707</w:t>
            </w:r>
          </w:p>
        </w:tc>
        <w:tc>
          <w:tcPr>
            <w:tcW w:w="0" w:type="auto"/>
            <w:vAlign w:val="center"/>
            <w:hideMark/>
            <w:shd w:val="clear" w:color="auto" w:fill="auto"/>
          </w:tcPr>
          <w:p w14:paraId="3DC9842E"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270 354</w:t>
            </w:r>
          </w:p>
        </w:tc>
        <w:tc>
          <w:tcPr>
            <w:tcW w:w="0" w:type="auto"/>
            <w:vAlign w:val="center"/>
            <w:hideMark/>
            <w:shd w:val="clear" w:color="auto" w:fill="auto"/>
          </w:tcPr>
          <w:p w14:paraId="76E09F84"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−84 035</w:t>
            </w:r>
          </w:p>
        </w:tc>
        <w:tc>
          <w:tcPr>
            <w:tcW w:w="0" w:type="auto"/>
            <w:vAlign w:val="center"/>
            <w:hideMark/>
            <w:shd w:val="clear" w:color="auto" w:fill="auto"/>
          </w:tcPr>
          <w:p w14:paraId="22547DBF" w14:textId="77777777" w:rsidR="001907A1" w:rsidRPr="001907A1" w:rsidRDefault="001907A1" w:rsidP="001907A1">
            <w:pPr>
              <w:spacing w:before="0" w:beforeAutospacing="1" w:after="0" w:afterAutospacing="1" w:line="240" w:lineRule="auto"/>
              <w:ind w:left="0" w:right="0" w:firstLine="0"/>
              <w:jc w:val="center"/>
              <w:outlineLvl w:val="2"/>
              <w:rPr>
                <w:rFonts w:eastAsia="Times New Roman" w:cs="Times New Roman"/>
                <w:b/>
                <w:bCs/>
                <w:kern w:val="0"/>
                <w:sz w:val="27"/>
                <w:szCs w:val="27"/>
                <w:lang w:eastAsia="ru-RU"/>
                <w14:ligatures w14:val="none"/>
              </w:rPr>
            </w:pPr>
            <w:r w:rsidRPr="001907A1">
              <w:rPr>
                <w:rFonts w:eastAsia="Times New Roman" w:cs="Times New Roman" w:ascii="Times New Roman" w:hAnsi="Times New Roman"/>
                <w:b w:val="0"/>
                <w:bCs/>
                <w:i w:val="0"/>
                <w:kern w:val="0"/>
                <w:sz w:val="24"/>
                <w:szCs w:val="27"/>
                <w:lang w:eastAsia="ru-RU"/>
                <w14:ligatures w14:val="none"/>
              </w:rPr>
              <w:t>−268 342</w:t>
            </w:r>
          </w:p>
        </w:tc>
      </w:tr>
    </w:tbl>
    <w:p w14:paraId="0710C198"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Табл. 2.3 показывает, что в 2023 г. наиболее ликвидные активы не покрывают наиболее срочные обязательства. Это означает, что компания не может закрыть кредиторскую задолженность только за счет денежных средств. Для торговой организации такая ситуация распространена, но она повышает чувствительность к срокам поступления платежей от покупателей.</w:t>
      </w:r>
    </w:p>
    <w:p w14:paraId="28DF899C"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Далее видно, что быстрореализуемые активы существенно превышают краткосрочные пассивы второй группы. Следовательно, нагрузка по ликвидности переносится на дебиторскую задолженность. На практике это означает, что своевременность расчетов покупателей становится ключевым фактором платежеспособности.</w:t>
      </w:r>
    </w:p>
    <w:p w14:paraId="22AEF1A7"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Также выполняется логика, что медленно реализуемые активы покрываются долгосрочными источниками. Однако при высокой доле запасов даже небольшое замедление реализации способно усиливать разрыв по первой группе ликвидности. Поэтому вывод по 2023 г. можно сформулировать так, баланс не является абсолютно ликвидным, а устойчивость платежей обеспечивается в основном оборотом дебиторской задолженности и запасов.</w:t>
      </w:r>
    </w:p>
    <w:p w14:paraId="68563D44" w14:textId="77777777" w:rsidR="001907A1" w:rsidRPr="000005A2" w:rsidRDefault="001907A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4665F6AB"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2.4 – Группировка активов и пассивов за 2024 г.</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74"/>
        <w:gridCol w:w="889"/>
        <w:gridCol w:w="750"/>
        <w:gridCol w:w="848"/>
        <w:gridCol w:w="889"/>
        <w:gridCol w:w="750"/>
        <w:gridCol w:w="2363"/>
        <w:gridCol w:w="2375"/>
      </w:tblGrid>
      <w:tr w:rsidR="000005A2" w:rsidRPr="000005A2" w14:paraId="676B5484" w14:textId="77777777">
        <w:trPr>
          <w:tblHeader w:val="true"/>
          <w:tblCellSpacing w:w="15" w:type="dxa"/>
          <w:tblHeader w:val="true"/>
          <w:cantSplit/>
        </w:trPr>
        <w:tc>
          <w:tcPr>
            <w:tcW w:w="0" w:type="auto"/>
            <w:vAlign w:val="center"/>
            <w:hideMark/>
            <w:shd w:val="clear" w:color="auto" w:fill="auto"/>
          </w:tcPr>
          <w:p w14:paraId="50B4D88F"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Актив</w:t>
            </w:r>
          </w:p>
        </w:tc>
        <w:tc>
          <w:tcPr>
            <w:tcW w:w="0" w:type="auto"/>
            <w:vAlign w:val="center"/>
            <w:hideMark/>
            <w:shd w:val="clear" w:color="auto" w:fill="auto"/>
          </w:tcPr>
          <w:p w14:paraId="44E4C901"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Начало года</w:t>
            </w:r>
          </w:p>
        </w:tc>
        <w:tc>
          <w:tcPr>
            <w:tcW w:w="0" w:type="auto"/>
            <w:vAlign w:val="center"/>
            <w:hideMark/>
            <w:shd w:val="clear" w:color="auto" w:fill="auto"/>
          </w:tcPr>
          <w:p w14:paraId="18000A26"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Конец года</w:t>
            </w:r>
          </w:p>
        </w:tc>
        <w:tc>
          <w:tcPr>
            <w:tcW w:w="0" w:type="auto"/>
            <w:vAlign w:val="center"/>
            <w:hideMark/>
            <w:shd w:val="clear" w:color="auto" w:fill="auto"/>
          </w:tcPr>
          <w:p w14:paraId="5492250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Пассив</w:t>
            </w:r>
          </w:p>
        </w:tc>
        <w:tc>
          <w:tcPr>
            <w:tcW w:w="0" w:type="auto"/>
            <w:vAlign w:val="center"/>
            <w:hideMark/>
            <w:shd w:val="clear" w:color="auto" w:fill="auto"/>
          </w:tcPr>
          <w:p w14:paraId="05A3537D"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Начало года</w:t>
            </w:r>
          </w:p>
        </w:tc>
        <w:tc>
          <w:tcPr>
            <w:tcW w:w="0" w:type="auto"/>
            <w:vAlign w:val="center"/>
            <w:hideMark/>
            <w:shd w:val="clear" w:color="auto" w:fill="auto"/>
          </w:tcPr>
          <w:p w14:paraId="65C6A2F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Конец года</w:t>
            </w:r>
          </w:p>
        </w:tc>
        <w:tc>
          <w:tcPr>
            <w:tcW w:w="0" w:type="auto"/>
            <w:vAlign w:val="center"/>
            <w:hideMark/>
            <w:shd w:val="clear" w:color="auto" w:fill="auto"/>
          </w:tcPr>
          <w:p w14:paraId="1068008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Излишек/недостаток на начало</w:t>
            </w:r>
          </w:p>
        </w:tc>
        <w:tc>
          <w:tcPr>
            <w:tcW w:w="0" w:type="auto"/>
            <w:vAlign w:val="center"/>
            <w:hideMark/>
            <w:shd w:val="clear" w:color="auto" w:fill="auto"/>
          </w:tcPr>
          <w:p w14:paraId="00E835F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Излишек/недостаток на конец</w:t>
            </w:r>
          </w:p>
        </w:tc>
      </w:tr>
      <w:tr w:rsidR="000005A2" w:rsidRPr="000005A2" w14:paraId="064CA47B" w14:textId="77777777">
        <w:trPr>
          <w:tblCellSpacing w:w="15" w:type="dxa"/>
          <w:cantSplit/>
        </w:trPr>
        <w:tc>
          <w:tcPr>
            <w:tcW w:w="0" w:type="auto"/>
            <w:vAlign w:val="center"/>
            <w:hideMark/>
            <w:shd w:val="clear" w:color="auto" w:fill="auto"/>
          </w:tcPr>
          <w:p w14:paraId="1B963B9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А1</w:t>
            </w:r>
          </w:p>
        </w:tc>
        <w:tc>
          <w:tcPr>
            <w:tcW w:w="0" w:type="auto"/>
            <w:vAlign w:val="center"/>
            <w:hideMark/>
            <w:shd w:val="clear" w:color="auto" w:fill="auto"/>
          </w:tcPr>
          <w:p w14:paraId="6D79343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45 535</w:t>
            </w:r>
          </w:p>
        </w:tc>
        <w:tc>
          <w:tcPr>
            <w:tcW w:w="0" w:type="auto"/>
            <w:vAlign w:val="center"/>
            <w:hideMark/>
            <w:shd w:val="clear" w:color="auto" w:fill="auto"/>
          </w:tcPr>
          <w:p w14:paraId="5DD642A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93 501</w:t>
            </w:r>
          </w:p>
        </w:tc>
        <w:tc>
          <w:tcPr>
            <w:tcW w:w="0" w:type="auto"/>
            <w:vAlign w:val="center"/>
            <w:hideMark/>
            <w:shd w:val="clear" w:color="auto" w:fill="auto"/>
          </w:tcPr>
          <w:p w14:paraId="7FC804E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П1</w:t>
            </w:r>
          </w:p>
        </w:tc>
        <w:tc>
          <w:tcPr>
            <w:tcW w:w="0" w:type="auto"/>
            <w:vAlign w:val="center"/>
            <w:hideMark/>
            <w:shd w:val="clear" w:color="auto" w:fill="auto"/>
          </w:tcPr>
          <w:p w14:paraId="377175B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633 915</w:t>
            </w:r>
          </w:p>
        </w:tc>
        <w:tc>
          <w:tcPr>
            <w:tcW w:w="0" w:type="auto"/>
            <w:vAlign w:val="center"/>
            <w:hideMark/>
            <w:shd w:val="clear" w:color="auto" w:fill="auto"/>
          </w:tcPr>
          <w:p w14:paraId="16BD351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764 495</w:t>
            </w:r>
          </w:p>
        </w:tc>
        <w:tc>
          <w:tcPr>
            <w:tcW w:w="0" w:type="auto"/>
            <w:vAlign w:val="center"/>
            <w:hideMark/>
            <w:shd w:val="clear" w:color="auto" w:fill="auto"/>
          </w:tcPr>
          <w:p w14:paraId="73A962E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-588 380</w:t>
            </w:r>
          </w:p>
        </w:tc>
        <w:tc>
          <w:tcPr>
            <w:tcW w:w="0" w:type="auto"/>
            <w:vAlign w:val="center"/>
            <w:hideMark/>
            <w:shd w:val="clear" w:color="auto" w:fill="auto"/>
          </w:tcPr>
          <w:p w14:paraId="44442BA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-670 994</w:t>
            </w:r>
          </w:p>
        </w:tc>
      </w:tr>
      <w:tr w:rsidR="000005A2" w:rsidRPr="000005A2" w14:paraId="5B4446D8" w14:textId="77777777">
        <w:trPr>
          <w:tblCellSpacing w:w="15" w:type="dxa"/>
          <w:cantSplit/>
        </w:trPr>
        <w:tc>
          <w:tcPr>
            <w:tcW w:w="0" w:type="auto"/>
            <w:vAlign w:val="center"/>
            <w:hideMark/>
            <w:shd w:val="clear" w:color="auto" w:fill="auto"/>
          </w:tcPr>
          <w:p w14:paraId="454EB63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А2</w:t>
            </w:r>
          </w:p>
        </w:tc>
        <w:tc>
          <w:tcPr>
            <w:tcW w:w="0" w:type="auto"/>
            <w:vAlign w:val="center"/>
            <w:hideMark/>
            <w:shd w:val="clear" w:color="auto" w:fill="auto"/>
          </w:tcPr>
          <w:p w14:paraId="77B1F46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538 609</w:t>
            </w:r>
          </w:p>
        </w:tc>
        <w:tc>
          <w:tcPr>
            <w:tcW w:w="0" w:type="auto"/>
            <w:vAlign w:val="center"/>
            <w:hideMark/>
            <w:shd w:val="clear" w:color="auto" w:fill="auto"/>
          </w:tcPr>
          <w:p w14:paraId="00FB41F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716 740</w:t>
            </w:r>
          </w:p>
        </w:tc>
        <w:tc>
          <w:tcPr>
            <w:tcW w:w="0" w:type="auto"/>
            <w:vAlign w:val="center"/>
            <w:hideMark/>
            <w:shd w:val="clear" w:color="auto" w:fill="auto"/>
          </w:tcPr>
          <w:p w14:paraId="421E22C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П2</w:t>
            </w:r>
          </w:p>
        </w:tc>
        <w:tc>
          <w:tcPr>
            <w:tcW w:w="0" w:type="auto"/>
            <w:vAlign w:val="center"/>
            <w:hideMark/>
            <w:shd w:val="clear" w:color="auto" w:fill="auto"/>
          </w:tcPr>
          <w:p w14:paraId="19281C4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32D1D71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538 609</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716 740</w:t>
            </w:r>
          </w:p>
        </w:tc>
      </w:tr>
      <w:tr w:rsidR="000005A2" w:rsidRPr="000005A2" w14:paraId="2B9F3F9D" w14:textId="77777777">
        <w:trPr>
          <w:tblCellSpacing w:w="15" w:type="dxa"/>
          <w:cantSplit/>
        </w:trPr>
        <w:tc>
          <w:tcPr>
            <w:tcW w:w="0" w:type="auto"/>
            <w:vAlign w:val="center"/>
            <w:hideMark/>
            <w:shd w:val="clear" w:color="auto" w:fill="auto"/>
          </w:tcPr>
          <w:p w14:paraId="655EA2E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А3</w:t>
            </w:r>
          </w:p>
        </w:tc>
        <w:tc>
          <w:tcPr>
            <w:tcW w:w="0" w:type="auto"/>
            <w:vAlign w:val="center"/>
            <w:hideMark/>
            <w:shd w:val="clear" w:color="auto" w:fill="auto"/>
          </w:tcPr>
          <w:p w14:paraId="7A9D9C3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338 114</w:t>
            </w:r>
          </w:p>
        </w:tc>
        <w:tc>
          <w:tcPr>
            <w:tcW w:w="0" w:type="auto"/>
            <w:vAlign w:val="center"/>
            <w:hideMark/>
            <w:shd w:val="clear" w:color="auto" w:fill="auto"/>
          </w:tcPr>
          <w:p w14:paraId="0B7DD6D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466 767</w:t>
            </w:r>
          </w:p>
        </w:tc>
        <w:tc>
          <w:tcPr>
            <w:tcW w:w="0" w:type="auto"/>
            <w:vAlign w:val="center"/>
            <w:hideMark/>
            <w:shd w:val="clear" w:color="auto" w:fill="auto"/>
          </w:tcPr>
          <w:p w14:paraId="75A71A0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П3</w:t>
            </w:r>
          </w:p>
        </w:tc>
        <w:tc>
          <w:tcPr>
            <w:tcW w:w="0" w:type="auto"/>
            <w:vAlign w:val="center"/>
            <w:hideMark/>
            <w:shd w:val="clear" w:color="auto" w:fill="auto"/>
          </w:tcPr>
          <w:p w14:paraId="269E029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20 000</w:t>
            </w:r>
          </w:p>
        </w:tc>
        <w:tc>
          <w:tcPr>
            <w:tcW w:w="0" w:type="auto"/>
            <w:vAlign w:val="center"/>
            <w:hideMark/>
            <w:shd w:val="clear" w:color="auto" w:fill="auto"/>
          </w:tcPr>
          <w:p w14:paraId="16D62D8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124 000</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318 114</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342 767</w:t>
            </w:r>
          </w:p>
        </w:tc>
      </w:tr>
      <w:tr w:rsidR="000005A2" w:rsidRPr="000005A2" w14:paraId="4263C23B" w14:textId="77777777">
        <w:trPr>
          <w:tblCellSpacing w:w="15" w:type="dxa"/>
          <w:cantSplit/>
        </w:trPr>
        <w:tc>
          <w:tcPr>
            <w:tcW w:w="0" w:type="auto"/>
            <w:vAlign w:val="center"/>
            <w:hideMark/>
            <w:shd w:val="clear" w:color="auto" w:fill="auto"/>
          </w:tcPr>
          <w:p w14:paraId="17582E9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А4</w:t>
            </w:r>
          </w:p>
        </w:tc>
        <w:tc>
          <w:tcPr>
            <w:tcW w:w="0" w:type="auto"/>
            <w:vAlign w:val="center"/>
            <w:hideMark/>
            <w:shd w:val="clear" w:color="auto" w:fill="auto"/>
          </w:tcPr>
          <w:p w14:paraId="2D005EC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2 012</w:t>
            </w:r>
          </w:p>
        </w:tc>
        <w:tc>
          <w:tcPr>
            <w:tcW w:w="0" w:type="auto"/>
            <w:vAlign w:val="center"/>
            <w:hideMark/>
            <w:shd w:val="clear" w:color="auto" w:fill="auto"/>
          </w:tcPr>
          <w:p w14:paraId="0240BEC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6 056</w:t>
            </w:r>
          </w:p>
        </w:tc>
        <w:tc>
          <w:tcPr>
            <w:tcW w:w="0" w:type="auto"/>
            <w:vAlign w:val="center"/>
            <w:hideMark/>
            <w:shd w:val="clear" w:color="auto" w:fill="auto"/>
          </w:tcPr>
          <w:p w14:paraId="08E4956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П4</w:t>
            </w:r>
          </w:p>
        </w:tc>
        <w:tc>
          <w:tcPr>
            <w:tcW w:w="0" w:type="auto"/>
            <w:vAlign w:val="center"/>
            <w:hideMark/>
            <w:shd w:val="clear" w:color="auto" w:fill="auto"/>
          </w:tcPr>
          <w:p w14:paraId="4443EBC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270 354</w:t>
            </w:r>
          </w:p>
        </w:tc>
        <w:tc>
          <w:tcPr>
            <w:tcW w:w="0" w:type="auto"/>
            <w:vAlign w:val="center"/>
            <w:hideMark/>
            <w:shd w:val="clear" w:color="auto" w:fill="auto"/>
          </w:tcPr>
          <w:p w14:paraId="7CB928F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394 569</w:t>
            </w:r>
          </w:p>
        </w:tc>
        <w:tc>
          <w:tcPr>
            <w:tcW w:w="0" w:type="auto"/>
            <w:vAlign w:val="center"/>
            <w:hideMark/>
            <w:shd w:val="clear" w:color="auto" w:fill="auto"/>
          </w:tcPr>
          <w:p w14:paraId="6664998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-268 342</w:t>
            </w:r>
          </w:p>
        </w:tc>
        <w:tc>
          <w:tcPr>
            <w:tcW w:w="0" w:type="auto"/>
            <w:vAlign w:val="center"/>
            <w:hideMark/>
            <w:shd w:val="clear" w:color="auto" w:fill="auto"/>
          </w:tcPr>
          <w:p w14:paraId="3C6323D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-388 513</w:t>
            </w:r>
          </w:p>
        </w:tc>
      </w:tr>
    </w:tbl>
    <w:p w14:paraId="7BCAC5C9"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По данным табл. 2.4 в 2024 г. разрыв между наиболее ликвидными активами и наиболее срочными обязательствами сохраняется и остается существенным. Это означает, что абсолютная ликвидность </w:t>
      </w:r>
      <w:proofErr w:type="gramStart"/>
      <w:r w:rsidRPr="00A8405D">
        <w:rPr>
          <w:rFonts w:eastAsia="Times New Roman" w:cs="Times New Roman" w:ascii="Times New Roman" w:hAnsi="Times New Roman"/>
          <w:b w:val="0"/>
          <w:bCs/>
          <w:kern w:val="0"/>
          <w:sz w:val="28"/>
          <w:szCs w:val="27"/>
          <w:lang w:eastAsia="ru-RU"/>
          <w14:ligatures w14:val="none"/>
        </w:rPr>
        <w:t>по прежнему</w:t>
      </w:r>
      <w:proofErr w:type="gramEnd"/>
      <w:r w:rsidRPr="00A8405D">
        <w:rPr>
          <w:rFonts w:eastAsia="Times New Roman" w:cs="Times New Roman" w:ascii="Times New Roman" w:hAnsi="Times New Roman"/>
          <w:b w:val="0"/>
          <w:bCs/>
          <w:kern w:val="0"/>
          <w:sz w:val="28"/>
          <w:szCs w:val="27"/>
          <w:lang w:eastAsia="ru-RU"/>
          <w14:ligatures w14:val="none"/>
        </w:rPr>
        <w:t xml:space="preserve"> недостаточна, а зависимость от своевременного притока денежных средств сохраняется.</w:t>
      </w:r>
    </w:p>
    <w:p w14:paraId="2D1298D8"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lastRenderedPageBreak/>
        <w:t>Далее обращает на себя внимание рост быстрореализуемых активов, что формирует запас ликвидности по второй группе. С практической точки зрения это снижает риск неплатежеспособности при условии, что дебиторская задолженность является качественной и реально погашаемой в срок.</w:t>
      </w:r>
    </w:p>
    <w:p w14:paraId="3D7E74CE"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Одновременно увеличивается роль долгосрочных обязательств. Это позитивно для устойчивости, поскольку часть финансирования становится более долгосрочной. Однако наличие значительных запасов и высокая величина кредиторской задолженности требуют усиленного контроля денежного потока, так как разрыв по первой группе ликвидности в 2024 г. является наиболее напряженным.</w:t>
      </w:r>
    </w:p>
    <w:p w14:paraId="1D325920"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081F2F53" w14:textId="2F91D0E1"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2.5 – Группировка активов и пассивов за 2025 г.</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74"/>
        <w:gridCol w:w="889"/>
        <w:gridCol w:w="750"/>
        <w:gridCol w:w="848"/>
        <w:gridCol w:w="889"/>
        <w:gridCol w:w="750"/>
        <w:gridCol w:w="2363"/>
        <w:gridCol w:w="2375"/>
      </w:tblGrid>
      <w:tr w:rsidR="000005A2" w:rsidRPr="000005A2" w14:paraId="2487FEE6" w14:textId="77777777">
        <w:trPr>
          <w:tblHeader w:val="true"/>
          <w:tblCellSpacing w:w="15" w:type="dxa"/>
          <w:tblHeader w:val="true"/>
          <w:cantSplit/>
        </w:trPr>
        <w:tc>
          <w:tcPr>
            <w:tcW w:w="0" w:type="auto"/>
            <w:vAlign w:val="center"/>
            <w:hideMark/>
            <w:shd w:val="clear" w:color="auto" w:fill="auto"/>
          </w:tcPr>
          <w:p w14:paraId="2F67271F"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Актив</w:t>
            </w:r>
          </w:p>
        </w:tc>
        <w:tc>
          <w:tcPr>
            <w:tcW w:w="0" w:type="auto"/>
            <w:vAlign w:val="center"/>
            <w:hideMark/>
            <w:shd w:val="clear" w:color="auto" w:fill="auto"/>
          </w:tcPr>
          <w:p w14:paraId="23548AE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Начало года</w:t>
            </w:r>
          </w:p>
        </w:tc>
        <w:tc>
          <w:tcPr>
            <w:tcW w:w="0" w:type="auto"/>
            <w:vAlign w:val="center"/>
            <w:hideMark/>
            <w:shd w:val="clear" w:color="auto" w:fill="auto"/>
          </w:tcPr>
          <w:p w14:paraId="7D62AEEA"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Конец года</w:t>
            </w:r>
          </w:p>
        </w:tc>
        <w:tc>
          <w:tcPr>
            <w:tcW w:w="0" w:type="auto"/>
            <w:vAlign w:val="center"/>
            <w:hideMark/>
            <w:shd w:val="clear" w:color="auto" w:fill="auto"/>
          </w:tcPr>
          <w:p w14:paraId="4DDD3AC6"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Пассив</w:t>
            </w:r>
          </w:p>
        </w:tc>
        <w:tc>
          <w:tcPr>
            <w:tcW w:w="0" w:type="auto"/>
            <w:vAlign w:val="center"/>
            <w:hideMark/>
            <w:shd w:val="clear" w:color="auto" w:fill="auto"/>
          </w:tcPr>
          <w:p w14:paraId="3B2489D5"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Начало года</w:t>
            </w:r>
          </w:p>
        </w:tc>
        <w:tc>
          <w:tcPr>
            <w:tcW w:w="0" w:type="auto"/>
            <w:vAlign w:val="center"/>
            <w:hideMark/>
            <w:shd w:val="clear" w:color="auto" w:fill="auto"/>
          </w:tcPr>
          <w:p w14:paraId="03C88A4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Конец года</w:t>
            </w:r>
          </w:p>
        </w:tc>
        <w:tc>
          <w:tcPr>
            <w:tcW w:w="0" w:type="auto"/>
            <w:vAlign w:val="center"/>
            <w:hideMark/>
            <w:shd w:val="clear" w:color="auto" w:fill="auto"/>
          </w:tcPr>
          <w:p w14:paraId="3F6E37E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Излишек/недостаток на начало</w:t>
            </w:r>
          </w:p>
        </w:tc>
        <w:tc>
          <w:tcPr>
            <w:tcW w:w="0" w:type="auto"/>
            <w:vAlign w:val="center"/>
            <w:hideMark/>
            <w:shd w:val="clear" w:color="auto" w:fill="auto"/>
          </w:tcPr>
          <w:p w14:paraId="0262D4BD"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Излишек/недостаток на конец</w:t>
            </w:r>
          </w:p>
        </w:tc>
      </w:tr>
      <w:tr w:rsidR="000005A2" w:rsidRPr="000005A2" w14:paraId="20539FD9" w14:textId="77777777">
        <w:trPr>
          <w:tblCellSpacing w:w="15" w:type="dxa"/>
          <w:cantSplit/>
        </w:trPr>
        <w:tc>
          <w:tcPr>
            <w:tcW w:w="0" w:type="auto"/>
            <w:vAlign w:val="center"/>
            <w:hideMark/>
            <w:shd w:val="clear" w:color="auto" w:fill="auto"/>
          </w:tcPr>
          <w:p w14:paraId="104A85C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А1</w:t>
            </w:r>
          </w:p>
        </w:tc>
        <w:tc>
          <w:tcPr>
            <w:tcW w:w="0" w:type="auto"/>
            <w:vAlign w:val="center"/>
            <w:hideMark/>
            <w:shd w:val="clear" w:color="auto" w:fill="auto"/>
          </w:tcPr>
          <w:p w14:paraId="15FB64C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93 501</w:t>
            </w:r>
          </w:p>
        </w:tc>
        <w:tc>
          <w:tcPr>
            <w:tcW w:w="0" w:type="auto"/>
            <w:vAlign w:val="center"/>
            <w:hideMark/>
            <w:shd w:val="clear" w:color="auto" w:fill="auto"/>
          </w:tcPr>
          <w:p w14:paraId="6855402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149 589</w:t>
            </w:r>
          </w:p>
        </w:tc>
        <w:tc>
          <w:tcPr>
            <w:tcW w:w="0" w:type="auto"/>
            <w:vAlign w:val="center"/>
            <w:hideMark/>
            <w:shd w:val="clear" w:color="auto" w:fill="auto"/>
          </w:tcPr>
          <w:p w14:paraId="298B755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П1</w:t>
            </w:r>
          </w:p>
        </w:tc>
        <w:tc>
          <w:tcPr>
            <w:tcW w:w="0" w:type="auto"/>
            <w:vAlign w:val="center"/>
            <w:hideMark/>
            <w:shd w:val="clear" w:color="auto" w:fill="auto"/>
          </w:tcPr>
          <w:p w14:paraId="662205B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764 495</w:t>
            </w:r>
          </w:p>
        </w:tc>
        <w:tc>
          <w:tcPr>
            <w:tcW w:w="0" w:type="auto"/>
            <w:vAlign w:val="center"/>
            <w:hideMark/>
            <w:shd w:val="clear" w:color="auto" w:fill="auto"/>
          </w:tcPr>
          <w:p w14:paraId="424124C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596 079</w:t>
            </w:r>
          </w:p>
        </w:tc>
        <w:tc>
          <w:tcPr>
            <w:tcW w:w="0" w:type="auto"/>
            <w:vAlign w:val="center"/>
            <w:hideMark/>
            <w:shd w:val="clear" w:color="auto" w:fill="auto"/>
          </w:tcPr>
          <w:p w14:paraId="582CB91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-670 994</w:t>
            </w:r>
          </w:p>
        </w:tc>
        <w:tc>
          <w:tcPr>
            <w:tcW w:w="0" w:type="auto"/>
            <w:vAlign w:val="center"/>
            <w:hideMark/>
            <w:shd w:val="clear" w:color="auto" w:fill="auto"/>
          </w:tcPr>
          <w:p w14:paraId="46C5762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-446 490</w:t>
            </w:r>
          </w:p>
        </w:tc>
      </w:tr>
      <w:tr w:rsidR="000005A2" w:rsidRPr="000005A2" w14:paraId="551C79CF" w14:textId="77777777">
        <w:trPr>
          <w:tblCellSpacing w:w="15" w:type="dxa"/>
          <w:cantSplit/>
        </w:trPr>
        <w:tc>
          <w:tcPr>
            <w:tcW w:w="0" w:type="auto"/>
            <w:vAlign w:val="center"/>
            <w:hideMark/>
            <w:shd w:val="clear" w:color="auto" w:fill="auto"/>
          </w:tcPr>
          <w:p w14:paraId="4328193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А2</w:t>
            </w:r>
          </w:p>
        </w:tc>
        <w:tc>
          <w:tcPr>
            <w:tcW w:w="0" w:type="auto"/>
            <w:vAlign w:val="center"/>
            <w:hideMark/>
            <w:shd w:val="clear" w:color="auto" w:fill="auto"/>
          </w:tcPr>
          <w:p w14:paraId="745BC3C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716 740</w:t>
            </w:r>
          </w:p>
        </w:tc>
        <w:tc>
          <w:tcPr>
            <w:tcW w:w="0" w:type="auto"/>
            <w:vAlign w:val="center"/>
            <w:hideMark/>
            <w:shd w:val="clear" w:color="auto" w:fill="auto"/>
          </w:tcPr>
          <w:p w14:paraId="7F723B4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533 714</w:t>
            </w:r>
          </w:p>
        </w:tc>
        <w:tc>
          <w:tcPr>
            <w:tcW w:w="0" w:type="auto"/>
            <w:vAlign w:val="center"/>
            <w:hideMark/>
            <w:shd w:val="clear" w:color="auto" w:fill="auto"/>
          </w:tcPr>
          <w:p w14:paraId="5C58DD0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П2</w:t>
            </w:r>
          </w:p>
        </w:tc>
        <w:tc>
          <w:tcPr>
            <w:tcW w:w="0" w:type="auto"/>
            <w:vAlign w:val="center"/>
            <w:hideMark/>
            <w:shd w:val="clear" w:color="auto" w:fill="auto"/>
          </w:tcPr>
          <w:p w14:paraId="5824EF7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1C04C8A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716 740</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533 714</w:t>
            </w:r>
          </w:p>
        </w:tc>
      </w:tr>
      <w:tr w:rsidR="000005A2" w:rsidRPr="000005A2" w14:paraId="2A7B3C61" w14:textId="77777777">
        <w:trPr>
          <w:tblCellSpacing w:w="15" w:type="dxa"/>
          <w:cantSplit/>
        </w:trPr>
        <w:tc>
          <w:tcPr>
            <w:tcW w:w="0" w:type="auto"/>
            <w:vAlign w:val="center"/>
            <w:hideMark/>
            <w:shd w:val="clear" w:color="auto" w:fill="auto"/>
          </w:tcPr>
          <w:p w14:paraId="4079E6D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А3</w:t>
            </w:r>
          </w:p>
        </w:tc>
        <w:tc>
          <w:tcPr>
            <w:tcW w:w="0" w:type="auto"/>
            <w:vAlign w:val="center"/>
            <w:hideMark/>
            <w:shd w:val="clear" w:color="auto" w:fill="auto"/>
          </w:tcPr>
          <w:p w14:paraId="1F99EBD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466 767</w:t>
            </w:r>
          </w:p>
        </w:tc>
        <w:tc>
          <w:tcPr>
            <w:tcW w:w="0" w:type="auto"/>
            <w:vAlign w:val="center"/>
            <w:hideMark/>
            <w:shd w:val="clear" w:color="auto" w:fill="auto"/>
          </w:tcPr>
          <w:p w14:paraId="6EF9B59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536 270</w:t>
            </w:r>
          </w:p>
        </w:tc>
        <w:tc>
          <w:tcPr>
            <w:tcW w:w="0" w:type="auto"/>
            <w:vAlign w:val="center"/>
            <w:hideMark/>
            <w:shd w:val="clear" w:color="auto" w:fill="auto"/>
          </w:tcPr>
          <w:p w14:paraId="7CB7CF1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П3</w:t>
            </w:r>
          </w:p>
        </w:tc>
        <w:tc>
          <w:tcPr>
            <w:tcW w:w="0" w:type="auto"/>
            <w:vAlign w:val="center"/>
            <w:hideMark/>
            <w:shd w:val="clear" w:color="auto" w:fill="auto"/>
          </w:tcPr>
          <w:p w14:paraId="3291C8E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124 000</w:t>
            </w:r>
          </w:p>
        </w:tc>
        <w:tc>
          <w:tcPr>
            <w:tcW w:w="0" w:type="auto"/>
            <w:vAlign w:val="center"/>
            <w:hideMark/>
            <w:shd w:val="clear" w:color="auto" w:fill="auto"/>
          </w:tcPr>
          <w:p w14:paraId="1DD439E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110 330</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342 767</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425 940</w:t>
            </w:r>
          </w:p>
        </w:tc>
      </w:tr>
      <w:tr w:rsidR="000005A2" w:rsidRPr="000005A2" w14:paraId="06B7969D" w14:textId="77777777">
        <w:trPr>
          <w:tblCellSpacing w:w="15" w:type="dxa"/>
          <w:cantSplit/>
        </w:trPr>
        <w:tc>
          <w:tcPr>
            <w:tcW w:w="0" w:type="auto"/>
            <w:vAlign w:val="center"/>
            <w:hideMark/>
            <w:shd w:val="clear" w:color="auto" w:fill="auto"/>
          </w:tcPr>
          <w:p w14:paraId="54C819E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А4</w:t>
            </w:r>
          </w:p>
        </w:tc>
        <w:tc>
          <w:tcPr>
            <w:tcW w:w="0" w:type="auto"/>
            <w:vAlign w:val="center"/>
            <w:hideMark/>
            <w:shd w:val="clear" w:color="auto" w:fill="auto"/>
          </w:tcPr>
          <w:p w14:paraId="1B957F8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6 056</w:t>
            </w:r>
          </w:p>
        </w:tc>
        <w:tc>
          <w:tcPr>
            <w:tcW w:w="0" w:type="auto"/>
            <w:vAlign w:val="center"/>
            <w:hideMark/>
            <w:shd w:val="clear" w:color="auto" w:fill="auto"/>
          </w:tcPr>
          <w:p w14:paraId="514AB0D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8 493</w:t>
            </w:r>
          </w:p>
        </w:tc>
        <w:tc>
          <w:tcPr>
            <w:tcW w:w="0" w:type="auto"/>
            <w:vAlign w:val="center"/>
            <w:hideMark/>
            <w:shd w:val="clear" w:color="auto" w:fill="auto"/>
          </w:tcPr>
          <w:p w14:paraId="396E1A0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П4</w:t>
            </w:r>
          </w:p>
        </w:tc>
        <w:tc>
          <w:tcPr>
            <w:tcW w:w="0" w:type="auto"/>
            <w:vAlign w:val="center"/>
            <w:hideMark/>
            <w:shd w:val="clear" w:color="auto" w:fill="auto"/>
          </w:tcPr>
          <w:p w14:paraId="4FE9E2D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394 569</w:t>
            </w:r>
          </w:p>
        </w:tc>
        <w:tc>
          <w:tcPr>
            <w:tcW w:w="0" w:type="auto"/>
            <w:vAlign w:val="center"/>
            <w:hideMark/>
            <w:shd w:val="clear" w:color="auto" w:fill="auto"/>
          </w:tcPr>
          <w:p w14:paraId="5AB08A4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521 656</w:t>
            </w:r>
          </w:p>
        </w:tc>
        <w:tc>
          <w:tcPr>
            <w:tcW w:w="0" w:type="auto"/>
            <w:vAlign w:val="center"/>
            <w:hideMark/>
            <w:shd w:val="clear" w:color="auto" w:fill="auto"/>
          </w:tcPr>
          <w:p w14:paraId="41B5B1C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-388 513</w:t>
            </w:r>
          </w:p>
        </w:tc>
        <w:tc>
          <w:tcPr>
            <w:tcW w:w="0" w:type="auto"/>
            <w:vAlign w:val="center"/>
            <w:hideMark/>
            <w:shd w:val="clear" w:color="auto" w:fill="auto"/>
          </w:tcPr>
          <w:p w14:paraId="72717C3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-513 163</w:t>
            </w:r>
          </w:p>
        </w:tc>
      </w:tr>
    </w:tbl>
    <w:p w14:paraId="690DDFDB"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Табл. 2.5 показывает, что в 2025 г. недостаток наиболее ликвидных активов относительно наиболее срочных обязательств сохраняется, но ситуация становится менее напряженной по сравнению с 2024 г. Это связано с ростом денежных средств и снижением кредиторской задолженности.</w:t>
      </w:r>
    </w:p>
    <w:p w14:paraId="5451B105"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Далее положительным моментом является то, что компания сохраняет значительный объем быстрореализуемых активов. Следовательно, даже при недостатке абсолютной ликвидности организация имеет потенциал выполнять обязательства за счет поступлений от покупателей.</w:t>
      </w:r>
    </w:p>
    <w:p w14:paraId="5D00EC33"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В целом по 2025 г. можно сделать вывод об улучшении балансовой ликвидности, но не о достижении абсолютной ликвидности. Поэтому дальнейшая оценка должна опираться на коэффициенты ликвидности и на показатели оборачиваемости, чтобы понять, насколько устойчиво предприятие генерирует денежные поступления.</w:t>
      </w:r>
    </w:p>
    <w:p w14:paraId="2B8E85CE"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4C19BAE8" w14:textId="54ED381D"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2.6 – Относительные показатели платёжеспособности</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68"/>
        <w:gridCol w:w="769"/>
        <w:gridCol w:w="769"/>
        <w:gridCol w:w="769"/>
        <w:gridCol w:w="1185"/>
      </w:tblGrid>
      <w:tr w:rsidR="000005A2" w:rsidRPr="000005A2" w14:paraId="22E781FC" w14:textId="77777777">
        <w:trPr>
          <w:tblHeader w:val="true"/>
          <w:tblCellSpacing w:w="15" w:type="dxa"/>
          <w:tblHeader w:val="true"/>
          <w:cantSplit/>
        </w:trPr>
        <w:tc>
          <w:tcPr>
            <w:tcW w:w="0" w:type="auto"/>
            <w:vAlign w:val="center"/>
            <w:hideMark/>
            <w:shd w:val="clear" w:color="auto" w:fill="auto"/>
          </w:tcPr>
          <w:p w14:paraId="12244720"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lastRenderedPageBreak/>
              <w:t>Показатель</w:t>
            </w:r>
          </w:p>
        </w:tc>
        <w:tc>
          <w:tcPr>
            <w:tcW w:w="0" w:type="auto"/>
            <w:vAlign w:val="center"/>
            <w:hideMark/>
            <w:shd w:val="clear" w:color="auto" w:fill="auto"/>
          </w:tcPr>
          <w:p w14:paraId="14C95F3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w:t>
            </w:r>
          </w:p>
        </w:tc>
        <w:tc>
          <w:tcPr>
            <w:tcW w:w="0" w:type="auto"/>
            <w:vAlign w:val="center"/>
            <w:hideMark/>
            <w:shd w:val="clear" w:color="auto" w:fill="auto"/>
          </w:tcPr>
          <w:p w14:paraId="0C5734A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w:t>
            </w:r>
          </w:p>
        </w:tc>
        <w:tc>
          <w:tcPr>
            <w:tcW w:w="0" w:type="auto"/>
            <w:vAlign w:val="center"/>
            <w:hideMark/>
            <w:shd w:val="clear" w:color="auto" w:fill="auto"/>
          </w:tcPr>
          <w:p w14:paraId="088B9275"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w:t>
            </w:r>
          </w:p>
        </w:tc>
        <w:tc>
          <w:tcPr>
            <w:tcW w:w="0" w:type="auto"/>
            <w:vAlign w:val="center"/>
            <w:hideMark/>
            <w:shd w:val="clear" w:color="auto" w:fill="auto"/>
          </w:tcPr>
          <w:p w14:paraId="6D7E574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Норматив</w:t>
            </w:r>
          </w:p>
        </w:tc>
      </w:tr>
      <w:tr w:rsidR="000005A2" w:rsidRPr="000005A2" w14:paraId="00EFB7A5" w14:textId="77777777">
        <w:trPr>
          <w:tblCellSpacing w:w="15" w:type="dxa"/>
          <w:cantSplit/>
        </w:trPr>
        <w:tc>
          <w:tcPr>
            <w:tcW w:w="0" w:type="auto"/>
            <w:vAlign w:val="center"/>
            <w:hideMark/>
            <w:shd w:val="clear" w:color="auto" w:fill="auto"/>
          </w:tcPr>
          <w:p w14:paraId="26725AC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абсолютной ликвидности</w:t>
            </w:r>
          </w:p>
        </w:tc>
        <w:tc>
          <w:tcPr>
            <w:tcW w:w="0" w:type="auto"/>
            <w:vAlign w:val="center"/>
            <w:hideMark/>
            <w:shd w:val="clear" w:color="auto" w:fill="auto"/>
          </w:tcPr>
          <w:p w14:paraId="0C10F03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0,072</w:t>
            </w:r>
          </w:p>
        </w:tc>
        <w:tc>
          <w:tcPr>
            <w:tcW w:w="0" w:type="auto"/>
            <w:vAlign w:val="center"/>
            <w:hideMark/>
            <w:shd w:val="clear" w:color="auto" w:fill="auto"/>
          </w:tcPr>
          <w:p w14:paraId="00DC2DC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0,122</w:t>
            </w:r>
          </w:p>
        </w:tc>
        <w:tc>
          <w:tcPr>
            <w:tcW w:w="0" w:type="auto"/>
            <w:vAlign w:val="center"/>
            <w:hideMark/>
            <w:shd w:val="clear" w:color="auto" w:fill="auto"/>
          </w:tcPr>
          <w:p w14:paraId="19D3C1F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0,251</w:t>
            </w:r>
          </w:p>
        </w:tc>
        <w:tc>
          <w:tcPr>
            <w:tcW w:w="0" w:type="auto"/>
            <w:vAlign w:val="center"/>
            <w:hideMark/>
            <w:shd w:val="clear" w:color="auto" w:fill="auto"/>
          </w:tcPr>
          <w:p w14:paraId="6BC508C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0,2</w:t>
            </w:r>
          </w:p>
        </w:tc>
      </w:tr>
      <w:tr w:rsidR="000005A2" w:rsidRPr="000005A2" w14:paraId="3D97C601" w14:textId="77777777">
        <w:trPr>
          <w:tblCellSpacing w:w="15" w:type="dxa"/>
          <w:cantSplit/>
        </w:trPr>
        <w:tc>
          <w:tcPr>
            <w:tcW w:w="0" w:type="auto"/>
            <w:vAlign w:val="center"/>
            <w:hideMark/>
            <w:shd w:val="clear" w:color="auto" w:fill="auto"/>
          </w:tcPr>
          <w:p w14:paraId="0764E6E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критической оценки</w:t>
            </w:r>
          </w:p>
        </w:tc>
        <w:tc>
          <w:tcPr>
            <w:tcW w:w="0" w:type="auto"/>
            <w:vAlign w:val="center"/>
            <w:hideMark/>
            <w:shd w:val="clear" w:color="auto" w:fill="auto"/>
          </w:tcPr>
          <w:p w14:paraId="44FBA52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0,922</w:t>
            </w:r>
          </w:p>
        </w:tc>
        <w:tc>
          <w:tcPr>
            <w:tcW w:w="0" w:type="auto"/>
            <w:vAlign w:val="center"/>
            <w:hideMark/>
            <w:shd w:val="clear" w:color="auto" w:fill="auto"/>
          </w:tcPr>
          <w:p w14:paraId="04FACD9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1,060</w:t>
            </w:r>
          </w:p>
        </w:tc>
        <w:tc>
          <w:tcPr>
            <w:tcW w:w="0" w:type="auto"/>
            <w:vAlign w:val="center"/>
            <w:hideMark/>
            <w:shd w:val="clear" w:color="auto" w:fill="auto"/>
          </w:tcPr>
          <w:p w14:paraId="24AD55D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1,146</w:t>
            </w:r>
          </w:p>
        </w:tc>
        <w:tc>
          <w:tcPr>
            <w:tcW w:w="0" w:type="auto"/>
            <w:vAlign w:val="center"/>
            <w:hideMark/>
            <w:shd w:val="clear" w:color="auto" w:fill="auto"/>
          </w:tcPr>
          <w:p w14:paraId="28C235D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0,6–0,7</w:t>
            </w:r>
          </w:p>
        </w:tc>
      </w:tr>
      <w:tr w:rsidR="000005A2" w:rsidRPr="000005A2" w14:paraId="3D2D6701" w14:textId="77777777">
        <w:trPr>
          <w:tblCellSpacing w:w="15" w:type="dxa"/>
          <w:cantSplit/>
        </w:trPr>
        <w:tc>
          <w:tcPr>
            <w:tcW w:w="0" w:type="auto"/>
            <w:vAlign w:val="center"/>
            <w:hideMark/>
            <w:shd w:val="clear" w:color="auto" w:fill="auto"/>
          </w:tcPr>
          <w:p w14:paraId="0293F2D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текущей ликвидности</w:t>
            </w:r>
          </w:p>
        </w:tc>
        <w:tc>
          <w:tcPr>
            <w:tcW w:w="0" w:type="auto"/>
            <w:vAlign w:val="center"/>
            <w:hideMark/>
            <w:shd w:val="clear" w:color="auto" w:fill="auto"/>
          </w:tcPr>
          <w:p w14:paraId="00D84A8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1,455</w:t>
            </w:r>
          </w:p>
        </w:tc>
        <w:tc>
          <w:tcPr>
            <w:tcW w:w="0" w:type="auto"/>
            <w:vAlign w:val="center"/>
            <w:hideMark/>
            <w:shd w:val="clear" w:color="auto" w:fill="auto"/>
          </w:tcPr>
          <w:p w14:paraId="04B09CE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1,670</w:t>
            </w:r>
          </w:p>
        </w:tc>
        <w:tc>
          <w:tcPr>
            <w:tcW w:w="0" w:type="auto"/>
            <w:vAlign w:val="center"/>
            <w:hideMark/>
            <w:shd w:val="clear" w:color="auto" w:fill="auto"/>
          </w:tcPr>
          <w:p w14:paraId="0681063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2,046</w:t>
            </w:r>
          </w:p>
        </w:tc>
        <w:tc>
          <w:tcPr>
            <w:tcW w:w="0" w:type="auto"/>
            <w:vAlign w:val="center"/>
            <w:hideMark/>
            <w:shd w:val="clear" w:color="auto" w:fill="auto"/>
          </w:tcPr>
          <w:p w14:paraId="1ED71AD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2</w:t>
            </w:r>
          </w:p>
        </w:tc>
      </w:tr>
      <w:tr w:rsidR="000005A2" w:rsidRPr="000005A2" w14:paraId="233E2FF3" w14:textId="77777777">
        <w:trPr>
          <w:tblCellSpacing w:w="15" w:type="dxa"/>
          <w:cantSplit/>
        </w:trPr>
        <w:tc>
          <w:tcPr>
            <w:tcW w:w="0" w:type="auto"/>
            <w:vAlign w:val="center"/>
            <w:hideMark/>
            <w:shd w:val="clear" w:color="auto" w:fill="auto"/>
          </w:tcPr>
          <w:p w14:paraId="11D5668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обеспеченности СОС</w:t>
            </w:r>
          </w:p>
        </w:tc>
        <w:tc>
          <w:tcPr>
            <w:tcW w:w="0" w:type="auto"/>
            <w:vAlign w:val="center"/>
            <w:hideMark/>
            <w:shd w:val="clear" w:color="auto" w:fill="auto"/>
          </w:tcPr>
          <w:p w14:paraId="42CC439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0,291</w:t>
            </w:r>
          </w:p>
        </w:tc>
        <w:tc>
          <w:tcPr>
            <w:tcW w:w="0" w:type="auto"/>
            <w:vAlign w:val="center"/>
            <w:hideMark/>
            <w:shd w:val="clear" w:color="auto" w:fill="auto"/>
          </w:tcPr>
          <w:p w14:paraId="3149777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0,304</w:t>
            </w:r>
          </w:p>
        </w:tc>
        <w:tc>
          <w:tcPr>
            <w:tcW w:w="0" w:type="auto"/>
            <w:vAlign w:val="center"/>
            <w:hideMark/>
            <w:shd w:val="clear" w:color="auto" w:fill="auto"/>
          </w:tcPr>
          <w:p w14:paraId="6A79870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0,421</w:t>
            </w:r>
          </w:p>
        </w:tc>
        <w:tc>
          <w:tcPr>
            <w:tcW w:w="0" w:type="auto"/>
            <w:vAlign w:val="center"/>
            <w:hideMark/>
            <w:shd w:val="clear" w:color="auto" w:fill="auto"/>
          </w:tcPr>
          <w:p w14:paraId="533E974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0,1</w:t>
            </w:r>
          </w:p>
        </w:tc>
      </w:tr>
    </w:tbl>
    <w:p w14:paraId="6956399B"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Анализ табл. 2.6 подтверждает улучшение платежеспособности. </w:t>
      </w:r>
      <w:proofErr w:type="spellStart"/>
      <w:r w:rsidRPr="00A8405D">
        <w:rPr>
          <w:rFonts w:eastAsia="Times New Roman" w:cs="Times New Roman" w:ascii="Times New Roman" w:hAnsi="Times New Roman"/>
          <w:b w:val="0"/>
          <w:bCs/>
          <w:kern w:val="0"/>
          <w:sz w:val="28"/>
          <w:szCs w:val="27"/>
          <w:lang w:eastAsia="ru-RU"/>
          <w14:ligatures w14:val="none"/>
        </w:rPr>
        <w:t>Коэф</w:t>
      </w:r>
      <w:proofErr w:type="spellEnd"/>
      <w:r w:rsidRPr="00A8405D">
        <w:rPr>
          <w:rFonts w:eastAsia="Times New Roman" w:cs="Times New Roman" w:ascii="Times New Roman" w:hAnsi="Times New Roman"/>
          <w:b w:val="0"/>
          <w:bCs/>
          <w:kern w:val="0"/>
          <w:sz w:val="28"/>
          <w:szCs w:val="27"/>
          <w:lang w:eastAsia="ru-RU"/>
          <w14:ligatures w14:val="none"/>
        </w:rPr>
        <w:t>. абсолютной ликвидности вырос с 0,072 до 0,251. В 2025 г. показатель превышает рекомендуемый уровень 0,2, следовательно, доля обязательств, которые можно погасить немедленно, стала достаточной.</w:t>
      </w:r>
    </w:p>
    <w:p w14:paraId="2BECD18B"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 xml:space="preserve">Далее </w:t>
      </w:r>
      <w:proofErr w:type="spellStart"/>
      <w:r w:rsidRPr="00A8405D">
        <w:rPr>
          <w:rFonts w:eastAsia="Times New Roman" w:cs="Times New Roman" w:ascii="Times New Roman" w:hAnsi="Times New Roman"/>
          <w:b w:val="0"/>
          <w:bCs/>
          <w:kern w:val="0"/>
          <w:sz w:val="28"/>
          <w:szCs w:val="27"/>
          <w:lang w:eastAsia="ru-RU"/>
          <w14:ligatures w14:val="none"/>
        </w:rPr>
        <w:t>коэф</w:t>
      </w:r>
      <w:proofErr w:type="spellEnd"/>
      <w:r w:rsidRPr="00A8405D">
        <w:rPr>
          <w:rFonts w:eastAsia="Times New Roman" w:cs="Times New Roman" w:ascii="Times New Roman" w:hAnsi="Times New Roman"/>
          <w:b w:val="0"/>
          <w:bCs/>
          <w:kern w:val="0"/>
          <w:sz w:val="28"/>
          <w:szCs w:val="27"/>
          <w:lang w:eastAsia="ru-RU"/>
          <w14:ligatures w14:val="none"/>
        </w:rPr>
        <w:t>. быстрой ликвидности увеличился с 0,922 до 1,146. Рост означает, что в 2025 г. краткосрочные обязательства могут быть покрыты наиболее мобильными активами без необходимости распродажи запасов. Для компании с высокой долей запасов это важное преимущество, поскольку снижает риск вынужденной реализации товара.</w:t>
      </w:r>
    </w:p>
    <w:p w14:paraId="372F79FE"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proofErr w:type="spellStart"/>
      <w:r w:rsidRPr="00A8405D">
        <w:rPr>
          <w:rFonts w:eastAsia="Times New Roman" w:cs="Times New Roman" w:ascii="Times New Roman" w:hAnsi="Times New Roman"/>
          <w:b w:val="0"/>
          <w:bCs/>
          <w:kern w:val="0"/>
          <w:sz w:val="28"/>
          <w:szCs w:val="27"/>
          <w:lang w:eastAsia="ru-RU"/>
          <w14:ligatures w14:val="none"/>
        </w:rPr>
        <w:t>Коэф</w:t>
      </w:r>
      <w:proofErr w:type="spellEnd"/>
      <w:r w:rsidRPr="00A8405D">
        <w:rPr>
          <w:rFonts w:eastAsia="Times New Roman" w:cs="Times New Roman" w:ascii="Times New Roman" w:hAnsi="Times New Roman"/>
          <w:b w:val="0"/>
          <w:bCs/>
          <w:kern w:val="0"/>
          <w:sz w:val="28"/>
          <w:szCs w:val="27"/>
          <w:lang w:eastAsia="ru-RU"/>
          <w14:ligatures w14:val="none"/>
        </w:rPr>
        <w:t xml:space="preserve">. текущей ликвидности увеличился с 1,455 до 2,046 и в 2025 г. соответствует ориентиру 2,0. Это означает, что в целом объем ОА достаточен для покрытия краткосрочных обязательств. При этом </w:t>
      </w:r>
      <w:proofErr w:type="spellStart"/>
      <w:r w:rsidRPr="00A8405D">
        <w:rPr>
          <w:rFonts w:eastAsia="Times New Roman" w:cs="Times New Roman" w:ascii="Times New Roman" w:hAnsi="Times New Roman"/>
          <w:b w:val="0"/>
          <w:bCs/>
          <w:kern w:val="0"/>
          <w:sz w:val="28"/>
          <w:szCs w:val="27"/>
          <w:lang w:eastAsia="ru-RU"/>
          <w14:ligatures w14:val="none"/>
        </w:rPr>
        <w:t>коэф</w:t>
      </w:r>
      <w:proofErr w:type="spellEnd"/>
      <w:r w:rsidRPr="00A8405D">
        <w:rPr>
          <w:rFonts w:eastAsia="Times New Roman" w:cs="Times New Roman" w:ascii="Times New Roman" w:hAnsi="Times New Roman"/>
          <w:b w:val="0"/>
          <w:bCs/>
          <w:kern w:val="0"/>
          <w:sz w:val="28"/>
          <w:szCs w:val="27"/>
          <w:lang w:eastAsia="ru-RU"/>
          <w14:ligatures w14:val="none"/>
        </w:rPr>
        <w:t>. обеспеченности СОС вырос с 0,291 до 0,421, что указывает на повышение доли собственного финансирования в оборотном капитале.</w:t>
      </w:r>
    </w:p>
    <w:p w14:paraId="3367DD77"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Таким образом, по коэффициентам ликвидности организация укрепила краткосрочную платежеспособность. Однако итоговая устойчивость ликвидности зависит от скорости превращения запасов и дебиторской задолженности в денежные средства, что оценивается в табл. 2.9.</w:t>
      </w:r>
    </w:p>
    <w:p w14:paraId="300D67A2"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pPr>
        <w:spacing w:before="600" w:after="600" w:line="240" w:lineRule="auto"/>
        <w:ind w:left="0" w:firstLine="709"/>
        <w:jc w:val="left"/>
        <w:keepNext/>
        <w:keepLines/>
        <w:outlineLvl w:val="1"/>
      </w:pPr>
      <w:r>
        <w:rPr>
          <w:rFonts w:ascii="Times New Roman" w:hAnsi="Times New Roman" w:eastAsia="Times New Roman"/>
          <w:b/>
          <w:sz w:val="32"/>
        </w:rPr>
        <w:t>2.3 Анализ финансовой устойчивости</w:t>
      </w:r>
    </w:p>
    <w:p>
      <w:pPr>
        <w:spacing w:before="0" w:after="0" w:line="360" w:lineRule="auto"/>
        <w:ind w:left="0" w:right="0" w:firstLine="709"/>
        <w:jc w:val="both"/>
      </w:pPr>
      <w:r>
        <w:rPr>
          <w:rFonts w:ascii="Times New Roman" w:hAnsi="Times New Roman" w:eastAsia="Times New Roman"/>
          <w:b w:val="0"/>
          <w:sz w:val="28"/>
        </w:rPr>
        <w:t>Финансовая устойчивость характеризует способность организации поддерживать равновесие между активами и источниками их формирования. Оценка проведена по абсолютным источникам покрытия запасов и системе относительных коэффициентов.</w:t>
      </w:r>
    </w:p>
    <w:p w14:paraId="23C236C0" w14:textId="40EBC5BB"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2.7 – Трёхкомпонентный показатель финансовой устойчивости</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7"/>
        <w:gridCol w:w="3601"/>
        <w:gridCol w:w="1801"/>
        <w:gridCol w:w="1952"/>
        <w:gridCol w:w="1967"/>
      </w:tblGrid>
      <w:tr w:rsidR="000005A2" w:rsidRPr="000005A2" w14:paraId="0B740EA9" w14:textId="77777777">
        <w:trPr>
          <w:tblHeader w:val="true"/>
          <w:tblCellSpacing w:w="15" w:type="dxa"/>
          <w:tblHeader w:val="true"/>
          <w:cantSplit/>
        </w:trPr>
        <w:tc>
          <w:tcPr>
            <w:tcW w:w="0" w:type="auto"/>
            <w:vAlign w:val="center"/>
            <w:hideMark/>
            <w:shd w:val="clear" w:color="auto" w:fill="auto"/>
          </w:tcPr>
          <w:p w14:paraId="6CBB2370"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w:t>
            </w:r>
          </w:p>
        </w:tc>
        <w:tc>
          <w:tcPr>
            <w:tcW w:w="0" w:type="auto"/>
            <w:vAlign w:val="center"/>
            <w:hideMark/>
            <w:shd w:val="clear" w:color="auto" w:fill="auto"/>
          </w:tcPr>
          <w:p w14:paraId="624B68A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01FB07A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w:t>
            </w:r>
          </w:p>
        </w:tc>
        <w:tc>
          <w:tcPr>
            <w:tcW w:w="0" w:type="auto"/>
            <w:vAlign w:val="center"/>
            <w:hideMark/>
            <w:shd w:val="clear" w:color="auto" w:fill="auto"/>
          </w:tcPr>
          <w:p w14:paraId="1661F0A8"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w:t>
            </w:r>
          </w:p>
        </w:tc>
        <w:tc>
          <w:tcPr>
            <w:tcW w:w="0" w:type="auto"/>
            <w:vAlign w:val="center"/>
            <w:hideMark/>
            <w:shd w:val="clear" w:color="auto" w:fill="auto"/>
          </w:tcPr>
          <w:p w14:paraId="465A261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w:t>
            </w:r>
          </w:p>
        </w:tc>
      </w:tr>
      <w:tr w:rsidR="000005A2" w:rsidRPr="000005A2" w14:paraId="0C3CEF8C" w14:textId="77777777">
        <w:trPr>
          <w:tblCellSpacing w:w="15" w:type="dxa"/>
          <w:cantSplit/>
        </w:trPr>
        <w:tc>
          <w:tcPr>
            <w:tcW w:w="0" w:type="auto"/>
            <w:vAlign w:val="center"/>
            <w:hideMark/>
            <w:shd w:val="clear" w:color="auto" w:fill="auto"/>
          </w:tcPr>
          <w:p w14:paraId="7E6315C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w:t>
            </w:r>
          </w:p>
        </w:tc>
        <w:tc>
          <w:tcPr>
            <w:tcW w:w="0" w:type="auto"/>
            <w:vAlign w:val="center"/>
            <w:hideMark/>
            <w:shd w:val="clear" w:color="auto" w:fill="auto"/>
          </w:tcPr>
          <w:p w14:paraId="3A4654F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Собственный капитал</w:t>
            </w:r>
          </w:p>
        </w:tc>
        <w:tc>
          <w:tcPr>
            <w:tcW w:w="0" w:type="auto"/>
            <w:vAlign w:val="center"/>
            <w:hideMark/>
            <w:shd w:val="clear" w:color="auto" w:fill="auto"/>
          </w:tcPr>
          <w:p w14:paraId="37368F6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270 354</w:t>
            </w:r>
          </w:p>
        </w:tc>
        <w:tc>
          <w:tcPr>
            <w:tcW w:w="0" w:type="auto"/>
            <w:vAlign w:val="center"/>
            <w:hideMark/>
            <w:shd w:val="clear" w:color="auto" w:fill="auto"/>
          </w:tcPr>
          <w:p w14:paraId="4329209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394 569</w:t>
            </w:r>
          </w:p>
        </w:tc>
        <w:tc>
          <w:tcPr>
            <w:tcW w:w="0" w:type="auto"/>
            <w:vAlign w:val="center"/>
            <w:hideMark/>
            <w:shd w:val="clear" w:color="auto" w:fill="auto"/>
          </w:tcPr>
          <w:p w14:paraId="1BD3179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521 656</w:t>
            </w:r>
          </w:p>
        </w:tc>
      </w:tr>
      <w:tr w:rsidR="000005A2" w:rsidRPr="000005A2" w14:paraId="07D57BEB" w14:textId="77777777">
        <w:trPr>
          <w:tblCellSpacing w:w="15" w:type="dxa"/>
          <w:cantSplit/>
        </w:trPr>
        <w:tc>
          <w:tcPr>
            <w:tcW w:w="0" w:type="auto"/>
            <w:vAlign w:val="center"/>
            <w:hideMark/>
            <w:shd w:val="clear" w:color="auto" w:fill="auto"/>
          </w:tcPr>
          <w:p w14:paraId="18BE92B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w:t>
            </w:r>
          </w:p>
        </w:tc>
        <w:tc>
          <w:tcPr>
            <w:tcW w:w="0" w:type="auto"/>
            <w:vAlign w:val="center"/>
            <w:hideMark/>
            <w:shd w:val="clear" w:color="auto" w:fill="auto"/>
          </w:tcPr>
          <w:p w14:paraId="620F73E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Внеоборотные активы</w:t>
            </w:r>
          </w:p>
        </w:tc>
        <w:tc>
          <w:tcPr>
            <w:tcW w:w="0" w:type="auto"/>
            <w:vAlign w:val="center"/>
            <w:hideMark/>
            <w:shd w:val="clear" w:color="auto" w:fill="auto"/>
          </w:tcPr>
          <w:p w14:paraId="05DE8E0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2 012</w:t>
            </w:r>
          </w:p>
        </w:tc>
        <w:tc>
          <w:tcPr>
            <w:tcW w:w="0" w:type="auto"/>
            <w:vAlign w:val="center"/>
            <w:hideMark/>
            <w:shd w:val="clear" w:color="auto" w:fill="auto"/>
          </w:tcPr>
          <w:p w14:paraId="45FBA15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6 056</w:t>
            </w:r>
          </w:p>
        </w:tc>
        <w:tc>
          <w:tcPr>
            <w:tcW w:w="0" w:type="auto"/>
            <w:vAlign w:val="center"/>
            <w:hideMark/>
            <w:shd w:val="clear" w:color="auto" w:fill="auto"/>
          </w:tcPr>
          <w:p w14:paraId="6168AD8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8 493</w:t>
            </w:r>
          </w:p>
        </w:tc>
      </w:tr>
      <w:tr w:rsidR="000005A2" w:rsidRPr="000005A2" w14:paraId="291F3863" w14:textId="77777777">
        <w:trPr>
          <w:tblCellSpacing w:w="15" w:type="dxa"/>
          <w:cantSplit/>
        </w:trPr>
        <w:tc>
          <w:tcPr>
            <w:tcW w:w="0" w:type="auto"/>
            <w:vAlign w:val="center"/>
            <w:hideMark/>
            <w:shd w:val="clear" w:color="auto" w:fill="auto"/>
          </w:tcPr>
          <w:p w14:paraId="23FFAD7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w:t>
            </w:r>
          </w:p>
        </w:tc>
        <w:tc>
          <w:tcPr>
            <w:tcW w:w="0" w:type="auto"/>
            <w:vAlign w:val="center"/>
            <w:hideMark/>
            <w:shd w:val="clear" w:color="auto" w:fill="auto"/>
          </w:tcPr>
          <w:p w14:paraId="22AF099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Запасы (с НДС)</w:t>
            </w:r>
          </w:p>
        </w:tc>
        <w:tc>
          <w:tcPr>
            <w:tcW w:w="0" w:type="auto"/>
            <w:vAlign w:val="center"/>
            <w:hideMark/>
            <w:shd w:val="clear" w:color="auto" w:fill="auto"/>
          </w:tcPr>
          <w:p w14:paraId="3010EC9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338 114</w:t>
            </w:r>
          </w:p>
        </w:tc>
        <w:tc>
          <w:tcPr>
            <w:tcW w:w="0" w:type="auto"/>
            <w:vAlign w:val="center"/>
            <w:hideMark/>
            <w:shd w:val="clear" w:color="auto" w:fill="auto"/>
          </w:tcPr>
          <w:p w14:paraId="1451D9F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466 767</w:t>
            </w:r>
          </w:p>
        </w:tc>
        <w:tc>
          <w:tcPr>
            <w:tcW w:w="0" w:type="auto"/>
            <w:vAlign w:val="center"/>
            <w:hideMark/>
            <w:shd w:val="clear" w:color="auto" w:fill="auto"/>
          </w:tcPr>
          <w:p w14:paraId="2323A28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536 270</w:t>
            </w:r>
          </w:p>
        </w:tc>
      </w:tr>
      <w:tr w:rsidR="000005A2" w:rsidRPr="000005A2" w14:paraId="2BDE53D7" w14:textId="77777777">
        <w:trPr>
          <w:tblCellSpacing w:w="15" w:type="dxa"/>
          <w:cantSplit/>
        </w:trPr>
        <w:tc>
          <w:tcPr>
            <w:tcW w:w="0" w:type="auto"/>
            <w:vAlign w:val="center"/>
            <w:hideMark/>
            <w:shd w:val="clear" w:color="auto" w:fill="auto"/>
          </w:tcPr>
          <w:p w14:paraId="2DC306E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w:t>
            </w:r>
          </w:p>
        </w:tc>
        <w:tc>
          <w:tcPr>
            <w:tcW w:w="0" w:type="auto"/>
            <w:vAlign w:val="center"/>
            <w:hideMark/>
            <w:shd w:val="clear" w:color="auto" w:fill="auto"/>
          </w:tcPr>
          <w:p w14:paraId="2DECBD1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СОС (1–2)</w:t>
            </w:r>
          </w:p>
        </w:tc>
        <w:tc>
          <w:tcPr>
            <w:tcW w:w="0" w:type="auto"/>
            <w:vAlign w:val="center"/>
            <w:hideMark/>
            <w:shd w:val="clear" w:color="auto" w:fill="auto"/>
          </w:tcPr>
          <w:p w14:paraId="6E1DCCE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268 342</w:t>
            </w:r>
          </w:p>
        </w:tc>
        <w:tc>
          <w:tcPr>
            <w:tcW w:w="0" w:type="auto"/>
            <w:vAlign w:val="center"/>
            <w:hideMark/>
            <w:shd w:val="clear" w:color="auto" w:fill="auto"/>
          </w:tcPr>
          <w:p w14:paraId="084B903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388 513</w:t>
            </w:r>
          </w:p>
        </w:tc>
        <w:tc>
          <w:tcPr>
            <w:tcW w:w="0" w:type="auto"/>
            <w:vAlign w:val="center"/>
            <w:hideMark/>
            <w:shd w:val="clear" w:color="auto" w:fill="auto"/>
          </w:tcPr>
          <w:p w14:paraId="55E7777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513 163</w:t>
            </w:r>
          </w:p>
        </w:tc>
      </w:tr>
      <w:tr w:rsidR="000005A2" w:rsidRPr="000005A2" w14:paraId="0C9B8E52" w14:textId="77777777">
        <w:trPr>
          <w:tblCellSpacing w:w="15" w:type="dxa"/>
          <w:cantSplit/>
        </w:trPr>
        <w:tc>
          <w:tcPr>
            <w:tcW w:w="0" w:type="auto"/>
            <w:vAlign w:val="center"/>
            <w:hideMark/>
            <w:shd w:val="clear" w:color="auto" w:fill="auto"/>
          </w:tcPr>
          <w:p w14:paraId="0B43298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w:t>
            </w:r>
          </w:p>
        </w:tc>
        <w:tc>
          <w:tcPr>
            <w:tcW w:w="0" w:type="auto"/>
            <w:vAlign w:val="center"/>
            <w:hideMark/>
            <w:shd w:val="clear" w:color="auto" w:fill="auto"/>
          </w:tcPr>
          <w:p w14:paraId="2A9C483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Долгосрочные ЗС</w:t>
            </w:r>
          </w:p>
        </w:tc>
        <w:tc>
          <w:tcPr>
            <w:tcW w:w="0" w:type="auto"/>
            <w:vAlign w:val="center"/>
            <w:hideMark/>
            <w:shd w:val="clear" w:color="auto" w:fill="auto"/>
          </w:tcPr>
          <w:p w14:paraId="488BB76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20 000</w:t>
            </w:r>
          </w:p>
        </w:tc>
        <w:tc>
          <w:tcPr>
            <w:tcW w:w="0" w:type="auto"/>
            <w:vAlign w:val="center"/>
            <w:hideMark/>
            <w:shd w:val="clear" w:color="auto" w:fill="auto"/>
          </w:tcPr>
          <w:p w14:paraId="3307DE8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124 000</w:t>
            </w:r>
          </w:p>
        </w:tc>
        <w:tc>
          <w:tcPr>
            <w:tcW w:w="0" w:type="auto"/>
            <w:vAlign w:val="center"/>
            <w:hideMark/>
            <w:shd w:val="clear" w:color="auto" w:fill="auto"/>
          </w:tcPr>
          <w:p w14:paraId="4FF1DC4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110 330</w:t>
            </w:r>
          </w:p>
        </w:tc>
      </w:tr>
      <w:tr w:rsidR="000005A2" w:rsidRPr="000005A2" w14:paraId="33D5F4F9" w14:textId="77777777">
        <w:trPr>
          <w:tblCellSpacing w:w="15" w:type="dxa"/>
          <w:cantSplit/>
        </w:trPr>
        <w:tc>
          <w:tcPr>
            <w:tcW w:w="0" w:type="auto"/>
            <w:vAlign w:val="center"/>
            <w:hideMark/>
            <w:shd w:val="clear" w:color="auto" w:fill="auto"/>
          </w:tcPr>
          <w:p w14:paraId="46AF980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w:t>
            </w:r>
          </w:p>
        </w:tc>
        <w:tc>
          <w:tcPr>
            <w:tcW w:w="0" w:type="auto"/>
            <w:vAlign w:val="center"/>
            <w:hideMark/>
            <w:shd w:val="clear" w:color="auto" w:fill="auto"/>
          </w:tcPr>
          <w:p w14:paraId="5969611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Краткосрочные кредиты</w:t>
            </w:r>
          </w:p>
        </w:tc>
        <w:tc>
          <w:tcPr>
            <w:tcW w:w="0" w:type="auto"/>
            <w:vAlign w:val="center"/>
            <w:hideMark/>
            <w:shd w:val="clear" w:color="auto" w:fill="auto"/>
          </w:tcPr>
          <w:p w14:paraId="3ABEDA4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46C848E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c>
          <w:tcPr>
            <w:tcW w:w="0" w:type="auto"/>
            <w:vAlign w:val="center"/>
            <w:hideMark/>
            <w:shd w:val="clear" w:color="auto" w:fill="auto"/>
          </w:tcPr>
          <w:p w14:paraId="0CA1BCD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w:t>
            </w:r>
          </w:p>
        </w:tc>
      </w:tr>
      <w:tr w:rsidR="000005A2" w:rsidRPr="000005A2" w14:paraId="7A413C7B" w14:textId="77777777">
        <w:trPr>
          <w:tblCellSpacing w:w="15" w:type="dxa"/>
          <w:cantSplit/>
        </w:trPr>
        <w:tc>
          <w:tcPr>
            <w:tcW w:w="0" w:type="auto"/>
            <w:vAlign w:val="center"/>
            <w:hideMark/>
            <w:shd w:val="clear" w:color="auto" w:fill="auto"/>
          </w:tcPr>
          <w:p w14:paraId="3223B3C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w:t>
            </w:r>
          </w:p>
        </w:tc>
        <w:tc>
          <w:tcPr>
            <w:tcW w:w="0" w:type="auto"/>
            <w:vAlign w:val="center"/>
            <w:hideMark/>
            <w:shd w:val="clear" w:color="auto" w:fill="auto"/>
          </w:tcPr>
          <w:p w14:paraId="1EB4791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СОС + ДЗС (4+5)</w:t>
            </w:r>
          </w:p>
        </w:tc>
        <w:tc>
          <w:tcPr>
            <w:tcW w:w="0" w:type="auto"/>
            <w:vAlign w:val="center"/>
            <w:hideMark/>
            <w:shd w:val="clear" w:color="auto" w:fill="auto"/>
          </w:tcPr>
          <w:p w14:paraId="0C95354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288 342</w:t>
            </w:r>
          </w:p>
        </w:tc>
        <w:tc>
          <w:tcPr>
            <w:tcW w:w="0" w:type="auto"/>
            <w:vAlign w:val="center"/>
            <w:hideMark/>
            <w:shd w:val="clear" w:color="auto" w:fill="auto"/>
          </w:tcPr>
          <w:p w14:paraId="5328BB4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512 513</w:t>
            </w:r>
          </w:p>
        </w:tc>
        <w:tc>
          <w:tcPr>
            <w:tcW w:w="0" w:type="auto"/>
            <w:vAlign w:val="center"/>
            <w:hideMark/>
            <w:shd w:val="clear" w:color="auto" w:fill="auto"/>
          </w:tcPr>
          <w:p w14:paraId="5CA67E1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623 493</w:t>
            </w:r>
          </w:p>
        </w:tc>
      </w:tr>
      <w:tr w:rsidR="000005A2" w:rsidRPr="000005A2" w14:paraId="7F286D63" w14:textId="77777777">
        <w:trPr>
          <w:tblCellSpacing w:w="15" w:type="dxa"/>
          <w:cantSplit/>
        </w:trPr>
        <w:tc>
          <w:tcPr>
            <w:tcW w:w="0" w:type="auto"/>
            <w:vAlign w:val="center"/>
            <w:hideMark/>
            <w:shd w:val="clear" w:color="auto" w:fill="auto"/>
          </w:tcPr>
          <w:p w14:paraId="33BA36F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w:t>
            </w:r>
          </w:p>
        </w:tc>
        <w:tc>
          <w:tcPr>
            <w:tcW w:w="0" w:type="auto"/>
            <w:vAlign w:val="center"/>
            <w:hideMark/>
            <w:shd w:val="clear" w:color="auto" w:fill="auto"/>
          </w:tcPr>
          <w:p w14:paraId="09DC6EF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Общая величина ИФЗ (7+6)</w:t>
            </w:r>
          </w:p>
        </w:tc>
        <w:tc>
          <w:tcPr>
            <w:tcW w:w="0" w:type="auto"/>
            <w:vAlign w:val="center"/>
            <w:hideMark/>
            <w:shd w:val="clear" w:color="auto" w:fill="auto"/>
          </w:tcPr>
          <w:p w14:paraId="6898BDA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288 342</w:t>
            </w:r>
          </w:p>
        </w:tc>
        <w:tc>
          <w:tcPr>
            <w:tcW w:w="0" w:type="auto"/>
            <w:vAlign w:val="center"/>
            <w:hideMark/>
            <w:shd w:val="clear" w:color="auto" w:fill="auto"/>
          </w:tcPr>
          <w:p w14:paraId="46B0D96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512 513</w:t>
            </w:r>
          </w:p>
        </w:tc>
        <w:tc>
          <w:tcPr>
            <w:tcW w:w="0" w:type="auto"/>
            <w:vAlign w:val="center"/>
            <w:hideMark/>
            <w:shd w:val="clear" w:color="auto" w:fill="auto"/>
          </w:tcPr>
          <w:p w14:paraId="0990480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623 493</w:t>
            </w:r>
          </w:p>
        </w:tc>
      </w:tr>
      <w:tr w:rsidR="000005A2" w:rsidRPr="000005A2" w14:paraId="635F8267" w14:textId="77777777">
        <w:trPr>
          <w:tblCellSpacing w:w="15" w:type="dxa"/>
          <w:cantSplit/>
        </w:trPr>
        <w:tc>
          <w:tcPr>
            <w:tcW w:w="0" w:type="auto"/>
            <w:vAlign w:val="center"/>
            <w:hideMark/>
            <w:shd w:val="clear" w:color="auto" w:fill="auto"/>
          </w:tcPr>
          <w:p w14:paraId="4CF9734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w:t>
            </w:r>
          </w:p>
        </w:tc>
        <w:tc>
          <w:tcPr>
            <w:tcW w:w="0" w:type="auto"/>
            <w:vAlign w:val="center"/>
            <w:hideMark/>
            <w:shd w:val="clear" w:color="auto" w:fill="auto"/>
          </w:tcPr>
          <w:p w14:paraId="18C8AF5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Излишек/недостаток СОС (4–3)</w:t>
            </w:r>
          </w:p>
        </w:tc>
        <w:tc>
          <w:tcPr>
            <w:tcW w:w="0" w:type="auto"/>
            <w:vAlign w:val="center"/>
            <w:hideMark/>
            <w:shd w:val="clear" w:color="auto" w:fill="auto"/>
          </w:tcPr>
          <w:p w14:paraId="65FB145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-69 772</w:t>
            </w:r>
          </w:p>
        </w:tc>
        <w:tc>
          <w:tcPr>
            <w:tcW w:w="0" w:type="auto"/>
            <w:vAlign w:val="center"/>
            <w:hideMark/>
            <w:shd w:val="clear" w:color="auto" w:fill="auto"/>
          </w:tcPr>
          <w:p w14:paraId="6C490E5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-78 254</w:t>
            </w:r>
          </w:p>
        </w:tc>
        <w:tc>
          <w:tcPr>
            <w:tcW w:w="0" w:type="auto"/>
            <w:vAlign w:val="center"/>
            <w:hideMark/>
            <w:shd w:val="clear" w:color="auto" w:fill="auto"/>
          </w:tcPr>
          <w:p w14:paraId="49B9438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-23 107</w:t>
            </w:r>
          </w:p>
        </w:tc>
      </w:tr>
      <w:tr w:rsidR="000005A2" w:rsidRPr="000005A2" w14:paraId="3BBF2FF9" w14:textId="77777777">
        <w:trPr>
          <w:tblCellSpacing w:w="15" w:type="dxa"/>
          <w:cantSplit/>
        </w:trPr>
        <w:tc>
          <w:tcPr>
            <w:tcW w:w="0" w:type="auto"/>
            <w:vAlign w:val="center"/>
            <w:hideMark/>
            <w:shd w:val="clear" w:color="auto" w:fill="auto"/>
          </w:tcPr>
          <w:p w14:paraId="621AA1C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w:t>
            </w:r>
          </w:p>
        </w:tc>
        <w:tc>
          <w:tcPr>
            <w:tcW w:w="0" w:type="auto"/>
            <w:vAlign w:val="center"/>
            <w:hideMark/>
            <w:shd w:val="clear" w:color="auto" w:fill="auto"/>
          </w:tcPr>
          <w:p w14:paraId="32BC380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Излишек/недостаток СОС+ДЗС (7–3)</w:t>
            </w:r>
          </w:p>
        </w:tc>
        <w:tc>
          <w:tcPr>
            <w:tcW w:w="0" w:type="auto"/>
            <w:vAlign w:val="center"/>
            <w:hideMark/>
            <w:shd w:val="clear" w:color="auto" w:fill="auto"/>
          </w:tcPr>
          <w:p w14:paraId="79BDAF3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-49 772</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45 746</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87 223</w:t>
            </w:r>
          </w:p>
        </w:tc>
      </w:tr>
      <w:tr w:rsidR="000005A2" w:rsidRPr="000005A2" w14:paraId="7724073E" w14:textId="77777777">
        <w:trPr>
          <w:tblCellSpacing w:w="15" w:type="dxa"/>
          <w:cantSplit/>
        </w:trPr>
        <w:tc>
          <w:tcPr>
            <w:tcW w:w="0" w:type="auto"/>
            <w:vAlign w:val="center"/>
            <w:hideMark/>
            <w:shd w:val="clear" w:color="auto" w:fill="auto"/>
          </w:tcPr>
          <w:p w14:paraId="30A0425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lastRenderedPageBreak/>
              <w:t>11</w:t>
            </w:r>
          </w:p>
        </w:tc>
        <w:tc>
          <w:tcPr>
            <w:tcW w:w="0" w:type="auto"/>
            <w:vAlign w:val="center"/>
            <w:hideMark/>
            <w:shd w:val="clear" w:color="auto" w:fill="auto"/>
          </w:tcPr>
          <w:p w14:paraId="0F1CF59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Излишек/недостаток всех ИФЗ (8–3)</w:t>
            </w:r>
          </w:p>
        </w:tc>
        <w:tc>
          <w:tcPr>
            <w:tcW w:w="0" w:type="auto"/>
            <w:vAlign w:val="center"/>
            <w:hideMark/>
            <w:shd w:val="clear" w:color="auto" w:fill="auto"/>
          </w:tcPr>
          <w:p w14:paraId="6507803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-49 772</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45 746</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87 223</w:t>
            </w:r>
          </w:p>
        </w:tc>
      </w:tr>
      <w:tr w:rsidR="000005A2" w:rsidRPr="000005A2" w14:paraId="6161362D" w14:textId="77777777">
        <w:trPr>
          <w:tblCellSpacing w:w="15" w:type="dxa"/>
          <w:cantSplit/>
        </w:trPr>
        <w:tc>
          <w:tcPr>
            <w:tcW w:w="0" w:type="auto"/>
            <w:vAlign w:val="center"/>
            <w:hideMark/>
            <w:shd w:val="clear" w:color="auto" w:fill="auto"/>
          </w:tcPr>
          <w:p w14:paraId="3C36CED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w:t>
            </w:r>
          </w:p>
        </w:tc>
        <w:tc>
          <w:tcPr>
            <w:tcW w:w="0" w:type="auto"/>
            <w:vAlign w:val="center"/>
            <w:hideMark/>
            <w:shd w:val="clear" w:color="auto" w:fill="auto"/>
          </w:tcPr>
          <w:p w14:paraId="1DA99E3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Тип финансовой устойчивости</w:t>
            </w:r>
          </w:p>
        </w:tc>
        <w:tc>
          <w:tcPr>
            <w:tcW w:w="0" w:type="auto"/>
            <w:vAlign w:val="center"/>
            <w:hideMark/>
            <w:shd w:val="clear" w:color="auto" w:fill="auto"/>
          </w:tcPr>
          <w:p w14:paraId="0F277FD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Тип 4 (кризисное)</w:t>
            </w:r>
          </w:p>
        </w:tc>
        <w:tc>
          <w:tcPr>
            <w:tcW w:w="0" w:type="auto"/>
            <w:vAlign w:val="center"/>
            <w:hideMark/>
            <w:shd w:val="clear" w:color="auto" w:fill="auto"/>
          </w:tcPr>
          <w:p w14:paraId="79604F7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Тип 2 (нормальная)</w:t>
            </w:r>
          </w:p>
        </w:tc>
        <w:tc>
          <w:tcPr>
            <w:tcW w:w="0" w:type="auto"/>
            <w:vAlign w:val="center"/>
            <w:hideMark/>
            <w:shd w:val="clear" w:color="auto" w:fill="auto"/>
          </w:tcPr>
          <w:p w14:paraId="7ED58BC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Тип 2 (нормальная)</w:t>
            </w:r>
          </w:p>
        </w:tc>
      </w:tr>
    </w:tbl>
    <w:p w14:paraId="1904A28B"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Анализ табл. 2.7 показывает качественное улучшение финансовой устойчивости. В 2023 г. наблюдался кризисный тип устойчивости, так как собственных источников было недостаточно для покрытия запасов. Это означает, что часть запасов фактически финансировалась за счет краткосрочных обязательств, что повышало риск потери устойчивости при снижении оборота.</w:t>
      </w:r>
    </w:p>
    <w:p w14:paraId="61DC7B4C"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Далее в 2024-2025 гг. ситуация изменилась и тип устойчивости стал нормальным. Переход обеспечен ростом собственных оборотных средств и наличием долгосрочных источников финансирования. В результате компания получила устойчивую базу для покрытия запасов не только краткосрочными обязательствами.</w:t>
      </w:r>
    </w:p>
    <w:p w14:paraId="6272F36A" w14:textId="77777777" w:rsidR="00A8405D" w:rsidRPr="00A8405D" w:rsidRDefault="00A8405D" w:rsidP="00A8405D">
      <w:pPr>
        <w:spacing w:before="0" w:beforeAutospacing="1" w:after="0" w:afterAutospacing="1" w:line="360" w:lineRule="auto"/>
        <w:ind w:left="0" w:right="0" w:firstLine="709"/>
        <w:jc w:val="both"/>
        <w:outlineLvl w:val="2"/>
        <w:rPr>
          <w:rFonts w:eastAsia="Times New Roman" w:cs="Times New Roman"/>
          <w:b/>
          <w:bCs/>
          <w:kern w:val="0"/>
          <w:sz w:val="27"/>
          <w:szCs w:val="27"/>
          <w:lang w:eastAsia="ru-RU"/>
          <w14:ligatures w14:val="none"/>
        </w:rPr>
      </w:pPr>
      <w:r w:rsidRPr="00A8405D">
        <w:rPr>
          <w:rFonts w:eastAsia="Times New Roman" w:cs="Times New Roman" w:ascii="Times New Roman" w:hAnsi="Times New Roman"/>
          <w:b w:val="0"/>
          <w:bCs/>
          <w:kern w:val="0"/>
          <w:sz w:val="28"/>
          <w:szCs w:val="27"/>
          <w:lang w:eastAsia="ru-RU"/>
          <w14:ligatures w14:val="none"/>
        </w:rPr>
        <w:t>При этом недостаток собственных оборотных средств относительно запасов сохраняется, но в 2025 г. он существенно меньше, чем в 2023 г. Это означает, что риск, связанный с финансированием запасов, снизился, однако полностью проблема покрытия запасов только за счет собственных источников не устранена. Следовательно, ключевым направлением остается управление запасами и ускорение их оборачиваемости.</w:t>
      </w:r>
    </w:p>
    <w:p w14:paraId="646418B0"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69683C2E" w14:textId="219B7855"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2.8 – Относительные показатели финансовой устойчивости</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45"/>
        <w:gridCol w:w="1170"/>
        <w:gridCol w:w="736"/>
        <w:gridCol w:w="736"/>
        <w:gridCol w:w="751"/>
        <w:gridCol w:w="1134"/>
        <w:gridCol w:w="1134"/>
      </w:tblGrid>
      <w:tr w:rsidR="000005A2" w:rsidRPr="000005A2" w14:paraId="00735F4B" w14:textId="77777777">
        <w:trPr>
          <w:tblHeader w:val="true"/>
          <w:tblCellSpacing w:w="15" w:type="dxa"/>
          <w:tblHeader w:val="true"/>
          <w:cantSplit/>
        </w:trPr>
        <w:tc>
          <w:tcPr>
            <w:tcW w:w="0" w:type="auto"/>
            <w:vAlign w:val="center"/>
            <w:hideMark/>
            <w:shd w:val="clear" w:color="auto" w:fill="auto"/>
          </w:tcPr>
          <w:p w14:paraId="5ED996C3"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5C799FD0"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Норматив</w:t>
            </w:r>
          </w:p>
        </w:tc>
        <w:tc>
          <w:tcPr>
            <w:tcW w:w="0" w:type="auto"/>
            <w:vAlign w:val="center"/>
            <w:hideMark/>
            <w:shd w:val="clear" w:color="auto" w:fill="auto"/>
          </w:tcPr>
          <w:p w14:paraId="40F4DAC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w:t>
            </w:r>
          </w:p>
        </w:tc>
        <w:tc>
          <w:tcPr>
            <w:tcW w:w="0" w:type="auto"/>
            <w:vAlign w:val="center"/>
            <w:hideMark/>
            <w:shd w:val="clear" w:color="auto" w:fill="auto"/>
          </w:tcPr>
          <w:p w14:paraId="0C79296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w:t>
            </w:r>
          </w:p>
        </w:tc>
        <w:tc>
          <w:tcPr>
            <w:tcW w:w="0" w:type="auto"/>
            <w:vAlign w:val="center"/>
            <w:hideMark/>
            <w:shd w:val="clear" w:color="auto" w:fill="auto"/>
          </w:tcPr>
          <w:p w14:paraId="1F3647F6"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Отклонение 2025 г. от 2023 г.</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Отклонение 2025 г. от 2024 г.</w:t>
            </w:r>
          </w:p>
        </w:tc>
      </w:tr>
      <w:tr w:rsidR="000005A2" w:rsidRPr="000005A2" w14:paraId="5F44F677" w14:textId="77777777">
        <w:trPr>
          <w:tblCellSpacing w:w="15" w:type="dxa"/>
          <w:cantSplit/>
        </w:trPr>
        <w:tc>
          <w:tcPr>
            <w:tcW w:w="0" w:type="auto"/>
            <w:vAlign w:val="center"/>
            <w:hideMark/>
            <w:shd w:val="clear" w:color="auto" w:fill="auto"/>
          </w:tcPr>
          <w:p w14:paraId="651B793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концентрации СК</w:t>
            </w:r>
          </w:p>
        </w:tc>
        <w:tc>
          <w:tcPr>
            <w:tcW w:w="0" w:type="auto"/>
            <w:vAlign w:val="center"/>
            <w:hideMark/>
            <w:shd w:val="clear" w:color="auto" w:fill="auto"/>
          </w:tcPr>
          <w:p w14:paraId="6A05287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0,5</w:t>
            </w:r>
          </w:p>
        </w:tc>
        <w:tc>
          <w:tcPr>
            <w:tcW w:w="0" w:type="auto"/>
            <w:vAlign w:val="center"/>
            <w:hideMark/>
            <w:shd w:val="clear" w:color="auto" w:fill="auto"/>
          </w:tcPr>
          <w:p w14:paraId="62ED3B9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0,293</w:t>
            </w:r>
          </w:p>
        </w:tc>
        <w:tc>
          <w:tcPr>
            <w:tcW w:w="0" w:type="auto"/>
            <w:vAlign w:val="center"/>
            <w:hideMark/>
            <w:shd w:val="clear" w:color="auto" w:fill="auto"/>
          </w:tcPr>
          <w:p w14:paraId="4214B13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0,308</w:t>
            </w:r>
          </w:p>
        </w:tc>
        <w:tc>
          <w:tcPr>
            <w:tcW w:w="0" w:type="auto"/>
            <w:vAlign w:val="center"/>
            <w:hideMark/>
            <w:shd w:val="clear" w:color="auto" w:fill="auto"/>
          </w:tcPr>
          <w:p w14:paraId="2EDFEAF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0,425</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0,132</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0,117</w:t>
            </w:r>
          </w:p>
        </w:tc>
      </w:tr>
      <w:tr w:rsidR="000005A2" w:rsidRPr="000005A2" w14:paraId="0B93FD65" w14:textId="77777777">
        <w:trPr>
          <w:tblCellSpacing w:w="15" w:type="dxa"/>
          <w:cantSplit/>
        </w:trPr>
        <w:tc>
          <w:tcPr>
            <w:tcW w:w="0" w:type="auto"/>
            <w:vAlign w:val="center"/>
            <w:hideMark/>
            <w:shd w:val="clear" w:color="auto" w:fill="auto"/>
          </w:tcPr>
          <w:p w14:paraId="73B0280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финансовой устойчивости</w:t>
            </w:r>
          </w:p>
        </w:tc>
        <w:tc>
          <w:tcPr>
            <w:tcW w:w="0" w:type="auto"/>
            <w:vAlign w:val="center"/>
            <w:hideMark/>
            <w:shd w:val="clear" w:color="auto" w:fill="auto"/>
          </w:tcPr>
          <w:p w14:paraId="47FD0EA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0,7</w:t>
            </w:r>
          </w:p>
        </w:tc>
        <w:tc>
          <w:tcPr>
            <w:tcW w:w="0" w:type="auto"/>
            <w:vAlign w:val="center"/>
            <w:hideMark/>
            <w:shd w:val="clear" w:color="auto" w:fill="auto"/>
          </w:tcPr>
          <w:p w14:paraId="522802C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0,314</w:t>
            </w:r>
          </w:p>
        </w:tc>
        <w:tc>
          <w:tcPr>
            <w:tcW w:w="0" w:type="auto"/>
            <w:vAlign w:val="center"/>
            <w:hideMark/>
            <w:shd w:val="clear" w:color="auto" w:fill="auto"/>
          </w:tcPr>
          <w:p w14:paraId="640015B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0,404</w:t>
            </w:r>
          </w:p>
        </w:tc>
        <w:tc>
          <w:tcPr>
            <w:tcW w:w="0" w:type="auto"/>
            <w:vAlign w:val="center"/>
            <w:hideMark/>
            <w:shd w:val="clear" w:color="auto" w:fill="auto"/>
          </w:tcPr>
          <w:p w14:paraId="724CE90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0,515</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0,201</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0,111</w:t>
            </w:r>
          </w:p>
        </w:tc>
      </w:tr>
      <w:tr w:rsidR="000005A2" w:rsidRPr="000005A2" w14:paraId="69E3E01E" w14:textId="77777777">
        <w:trPr>
          <w:tblCellSpacing w:w="15" w:type="dxa"/>
          <w:cantSplit/>
        </w:trPr>
        <w:tc>
          <w:tcPr>
            <w:tcW w:w="0" w:type="auto"/>
            <w:vAlign w:val="center"/>
            <w:hideMark/>
            <w:shd w:val="clear" w:color="auto" w:fill="auto"/>
          </w:tcPr>
          <w:p w14:paraId="476CD55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маневренности СК</w:t>
            </w:r>
          </w:p>
        </w:tc>
        <w:tc>
          <w:tcPr>
            <w:tcW w:w="0" w:type="auto"/>
            <w:vAlign w:val="center"/>
            <w:hideMark/>
            <w:shd w:val="clear" w:color="auto" w:fill="auto"/>
          </w:tcPr>
          <w:p w14:paraId="3541800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0,3</w:t>
            </w:r>
          </w:p>
        </w:tc>
        <w:tc>
          <w:tcPr>
            <w:tcW w:w="0" w:type="auto"/>
            <w:vAlign w:val="center"/>
            <w:hideMark/>
            <w:shd w:val="clear" w:color="auto" w:fill="auto"/>
          </w:tcPr>
          <w:p w14:paraId="2CD8D44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0,993</w:t>
            </w:r>
          </w:p>
        </w:tc>
        <w:tc>
          <w:tcPr>
            <w:tcW w:w="0" w:type="auto"/>
            <w:vAlign w:val="center"/>
            <w:hideMark/>
            <w:shd w:val="clear" w:color="auto" w:fill="auto"/>
          </w:tcPr>
          <w:p w14:paraId="15544B7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0,985</w:t>
            </w:r>
          </w:p>
        </w:tc>
        <w:tc>
          <w:tcPr>
            <w:tcW w:w="0" w:type="auto"/>
            <w:vAlign w:val="center"/>
            <w:hideMark/>
            <w:shd w:val="clear" w:color="auto" w:fill="auto"/>
          </w:tcPr>
          <w:p w14:paraId="5DDFB30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0,984</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-0,009</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-0,001</w:t>
            </w:r>
          </w:p>
        </w:tc>
      </w:tr>
      <w:tr w:rsidR="000005A2" w:rsidRPr="000005A2" w14:paraId="068BBB39" w14:textId="77777777">
        <w:trPr>
          <w:tblCellSpacing w:w="15" w:type="dxa"/>
          <w:cantSplit/>
        </w:trPr>
        <w:tc>
          <w:tcPr>
            <w:tcW w:w="0" w:type="auto"/>
            <w:vAlign w:val="center"/>
            <w:hideMark/>
            <w:shd w:val="clear" w:color="auto" w:fill="auto"/>
          </w:tcPr>
          <w:p w14:paraId="6619D12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обеспеченности СОС</w:t>
            </w:r>
          </w:p>
        </w:tc>
        <w:tc>
          <w:tcPr>
            <w:tcW w:w="0" w:type="auto"/>
            <w:vAlign w:val="center"/>
            <w:hideMark/>
            <w:shd w:val="clear" w:color="auto" w:fill="auto"/>
          </w:tcPr>
          <w:p w14:paraId="077A122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0,1</w:t>
            </w:r>
          </w:p>
        </w:tc>
        <w:tc>
          <w:tcPr>
            <w:tcW w:w="0" w:type="auto"/>
            <w:vAlign w:val="center"/>
            <w:hideMark/>
            <w:shd w:val="clear" w:color="auto" w:fill="auto"/>
          </w:tcPr>
          <w:p w14:paraId="7117FA9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0,291</w:t>
            </w:r>
          </w:p>
        </w:tc>
        <w:tc>
          <w:tcPr>
            <w:tcW w:w="0" w:type="auto"/>
            <w:vAlign w:val="center"/>
            <w:hideMark/>
            <w:shd w:val="clear" w:color="auto" w:fill="auto"/>
          </w:tcPr>
          <w:p w14:paraId="3FF6A16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0,304</w:t>
            </w:r>
          </w:p>
        </w:tc>
        <w:tc>
          <w:tcPr>
            <w:tcW w:w="0" w:type="auto"/>
            <w:vAlign w:val="center"/>
            <w:hideMark/>
            <w:shd w:val="clear" w:color="auto" w:fill="auto"/>
          </w:tcPr>
          <w:p w14:paraId="739A6E7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0,421</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0,130</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0,117</w:t>
            </w:r>
          </w:p>
        </w:tc>
      </w:tr>
      <w:tr w:rsidR="000005A2" w:rsidRPr="000005A2" w14:paraId="38D9AAC2" w14:textId="77777777">
        <w:trPr>
          <w:tblCellSpacing w:w="15" w:type="dxa"/>
          <w:cantSplit/>
        </w:trPr>
        <w:tc>
          <w:tcPr>
            <w:tcW w:w="0" w:type="auto"/>
            <w:vAlign w:val="center"/>
            <w:hideMark/>
            <w:shd w:val="clear" w:color="auto" w:fill="auto"/>
          </w:tcPr>
          <w:p w14:paraId="399A28F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покрытия запасов СОС</w:t>
            </w:r>
          </w:p>
        </w:tc>
        <w:tc>
          <w:tcPr>
            <w:tcW w:w="0" w:type="auto"/>
            <w:vAlign w:val="center"/>
            <w:hideMark/>
            <w:shd w:val="clear" w:color="auto" w:fill="auto"/>
          </w:tcPr>
          <w:p w14:paraId="6A233CF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0,7</w:t>
            </w:r>
          </w:p>
        </w:tc>
        <w:tc>
          <w:tcPr>
            <w:tcW w:w="0" w:type="auto"/>
            <w:vAlign w:val="center"/>
            <w:hideMark/>
            <w:shd w:val="clear" w:color="auto" w:fill="auto"/>
          </w:tcPr>
          <w:p w14:paraId="64E78FE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0,798</w:t>
            </w:r>
          </w:p>
        </w:tc>
        <w:tc>
          <w:tcPr>
            <w:tcW w:w="0" w:type="auto"/>
            <w:vAlign w:val="center"/>
            <w:hideMark/>
            <w:shd w:val="clear" w:color="auto" w:fill="auto"/>
          </w:tcPr>
          <w:p w14:paraId="22884A2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0,834</w:t>
            </w:r>
          </w:p>
        </w:tc>
        <w:tc>
          <w:tcPr>
            <w:tcW w:w="0" w:type="auto"/>
            <w:vAlign w:val="center"/>
            <w:hideMark/>
            <w:shd w:val="clear" w:color="auto" w:fill="auto"/>
          </w:tcPr>
          <w:p w14:paraId="6191FE6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0,960</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0,162</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0,126</w:t>
            </w:r>
          </w:p>
        </w:tc>
      </w:tr>
      <w:tr w:rsidR="000005A2" w:rsidRPr="000005A2" w14:paraId="75811E60" w14:textId="77777777">
        <w:trPr>
          <w:tblCellSpacing w:w="15" w:type="dxa"/>
          <w:cantSplit/>
        </w:trPr>
        <w:tc>
          <w:tcPr>
            <w:tcW w:w="0" w:type="auto"/>
            <w:vAlign w:val="center"/>
            <w:hideMark/>
            <w:shd w:val="clear" w:color="auto" w:fill="auto"/>
          </w:tcPr>
          <w:p w14:paraId="1178993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соотношения мобильных и иммобилизованных активов</w:t>
            </w:r>
          </w:p>
        </w:tc>
        <w:tc>
          <w:tcPr>
            <w:tcW w:w="0" w:type="auto"/>
            <w:vAlign w:val="center"/>
            <w:hideMark/>
            <w:shd w:val="clear" w:color="auto" w:fill="auto"/>
          </w:tcPr>
          <w:p w14:paraId="5A998F9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0,5</w:t>
            </w:r>
          </w:p>
        </w:tc>
        <w:tc>
          <w:tcPr>
            <w:tcW w:w="0" w:type="auto"/>
            <w:vAlign w:val="center"/>
            <w:hideMark/>
            <w:shd w:val="clear" w:color="auto" w:fill="auto"/>
          </w:tcPr>
          <w:p w14:paraId="5025924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458,5</w:t>
            </w:r>
          </w:p>
        </w:tc>
        <w:tc>
          <w:tcPr>
            <w:tcW w:w="0" w:type="auto"/>
            <w:vAlign w:val="center"/>
            <w:hideMark/>
            <w:shd w:val="clear" w:color="auto" w:fill="auto"/>
          </w:tcPr>
          <w:p w14:paraId="4C6A920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210,9</w:t>
            </w:r>
          </w:p>
        </w:tc>
        <w:tc>
          <w:tcPr>
            <w:tcW w:w="0" w:type="auto"/>
            <w:vAlign w:val="center"/>
            <w:hideMark/>
            <w:shd w:val="clear" w:color="auto" w:fill="auto"/>
          </w:tcPr>
          <w:p w14:paraId="2F6FF7C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143,6</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-314,900</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-67,300</w:t>
            </w:r>
          </w:p>
        </w:tc>
      </w:tr>
      <w:tr w:rsidR="000005A2" w:rsidRPr="000005A2" w14:paraId="166A760E" w14:textId="77777777">
        <w:trPr>
          <w:tblCellSpacing w:w="15" w:type="dxa"/>
          <w:cantSplit/>
        </w:trPr>
        <w:tc>
          <w:tcPr>
            <w:tcW w:w="0" w:type="auto"/>
            <w:vAlign w:val="center"/>
            <w:hideMark/>
            <w:shd w:val="clear" w:color="auto" w:fill="auto"/>
          </w:tcPr>
          <w:p w14:paraId="7577329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имущества производственного назначения</w:t>
            </w:r>
          </w:p>
        </w:tc>
        <w:tc>
          <w:tcPr>
            <w:tcW w:w="0" w:type="auto"/>
            <w:vAlign w:val="center"/>
            <w:hideMark/>
            <w:shd w:val="clear" w:color="auto" w:fill="auto"/>
          </w:tcPr>
          <w:p w14:paraId="78DCFCC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0,6</w:t>
            </w:r>
          </w:p>
        </w:tc>
        <w:tc>
          <w:tcPr>
            <w:tcW w:w="0" w:type="auto"/>
            <w:vAlign w:val="center"/>
            <w:hideMark/>
            <w:shd w:val="clear" w:color="auto" w:fill="auto"/>
          </w:tcPr>
          <w:p w14:paraId="50DB7A5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0,366</w:t>
            </w:r>
          </w:p>
        </w:tc>
        <w:tc>
          <w:tcPr>
            <w:tcW w:w="0" w:type="auto"/>
            <w:vAlign w:val="center"/>
            <w:hideMark/>
            <w:shd w:val="clear" w:color="auto" w:fill="auto"/>
          </w:tcPr>
          <w:p w14:paraId="0EF0960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0,368</w:t>
            </w:r>
          </w:p>
        </w:tc>
        <w:tc>
          <w:tcPr>
            <w:tcW w:w="0" w:type="auto"/>
            <w:vAlign w:val="center"/>
            <w:hideMark/>
            <w:shd w:val="clear" w:color="auto" w:fill="auto"/>
          </w:tcPr>
          <w:p w14:paraId="3EB73B4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0,441</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0,075</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0,073</w:t>
            </w:r>
          </w:p>
        </w:tc>
      </w:tr>
      <w:tr w:rsidR="000005A2" w:rsidRPr="000005A2" w14:paraId="37415F57" w14:textId="77777777">
        <w:trPr>
          <w:tblCellSpacing w:w="15" w:type="dxa"/>
          <w:cantSplit/>
        </w:trPr>
        <w:tc>
          <w:tcPr>
            <w:tcW w:w="0" w:type="auto"/>
            <w:vAlign w:val="center"/>
            <w:hideMark/>
            <w:shd w:val="clear" w:color="auto" w:fill="auto"/>
          </w:tcPr>
          <w:p w14:paraId="0D3FA75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соотношения ЗС/СК</w:t>
            </w:r>
          </w:p>
        </w:tc>
        <w:tc>
          <w:tcPr>
            <w:tcW w:w="0" w:type="auto"/>
            <w:vAlign w:val="center"/>
            <w:hideMark/>
            <w:shd w:val="clear" w:color="auto" w:fill="auto"/>
          </w:tcPr>
          <w:p w14:paraId="5E038D8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1</w:t>
            </w:r>
          </w:p>
        </w:tc>
        <w:tc>
          <w:tcPr>
            <w:tcW w:w="0" w:type="auto"/>
            <w:vAlign w:val="center"/>
            <w:hideMark/>
            <w:shd w:val="clear" w:color="auto" w:fill="auto"/>
          </w:tcPr>
          <w:p w14:paraId="4959FEA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2,419</w:t>
            </w:r>
          </w:p>
        </w:tc>
        <w:tc>
          <w:tcPr>
            <w:tcW w:w="0" w:type="auto"/>
            <w:vAlign w:val="center"/>
            <w:hideMark/>
            <w:shd w:val="clear" w:color="auto" w:fill="auto"/>
          </w:tcPr>
          <w:p w14:paraId="1C8A97B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2,252</w:t>
            </w:r>
          </w:p>
        </w:tc>
        <w:tc>
          <w:tcPr>
            <w:tcW w:w="0" w:type="auto"/>
            <w:vAlign w:val="center"/>
            <w:hideMark/>
            <w:shd w:val="clear" w:color="auto" w:fill="auto"/>
          </w:tcPr>
          <w:p w14:paraId="0BEA516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1,354</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-1,065</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-0,898</w:t>
            </w:r>
          </w:p>
        </w:tc>
      </w:tr>
      <w:tr w:rsidR="000005A2" w:rsidRPr="000005A2" w14:paraId="0796C186" w14:textId="77777777">
        <w:trPr>
          <w:tblCellSpacing w:w="15" w:type="dxa"/>
          <w:cantSplit/>
        </w:trPr>
        <w:tc>
          <w:tcPr>
            <w:tcW w:w="0" w:type="auto"/>
            <w:vAlign w:val="center"/>
            <w:hideMark/>
            <w:shd w:val="clear" w:color="auto" w:fill="auto"/>
          </w:tcPr>
          <w:p w14:paraId="61F369A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долгосрочного привлечения ЗС</w:t>
            </w:r>
          </w:p>
        </w:tc>
        <w:tc>
          <w:tcPr>
            <w:tcW w:w="0" w:type="auto"/>
            <w:vAlign w:val="center"/>
            <w:hideMark/>
            <w:shd w:val="clear" w:color="auto" w:fill="auto"/>
          </w:tcPr>
          <w:p w14:paraId="52298F8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1F73EFA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0,031</w:t>
            </w:r>
          </w:p>
        </w:tc>
        <w:tc>
          <w:tcPr>
            <w:tcW w:w="0" w:type="auto"/>
            <w:vAlign w:val="center"/>
            <w:hideMark/>
            <w:shd w:val="clear" w:color="auto" w:fill="auto"/>
          </w:tcPr>
          <w:p w14:paraId="3DBEC48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0,140</w:t>
            </w:r>
          </w:p>
        </w:tc>
        <w:tc>
          <w:tcPr>
            <w:tcW w:w="0" w:type="auto"/>
            <w:vAlign w:val="center"/>
            <w:hideMark/>
            <w:shd w:val="clear" w:color="auto" w:fill="auto"/>
          </w:tcPr>
          <w:p w14:paraId="5A86FCA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0,156</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0,125</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0,016</w:t>
            </w:r>
          </w:p>
        </w:tc>
      </w:tr>
      <w:tr w:rsidR="000005A2" w:rsidRPr="000005A2" w14:paraId="42576078" w14:textId="77777777">
        <w:trPr>
          <w:tblCellSpacing w:w="15" w:type="dxa"/>
          <w:cantSplit/>
        </w:trPr>
        <w:tc>
          <w:tcPr>
            <w:tcW w:w="0" w:type="auto"/>
            <w:vAlign w:val="center"/>
            <w:hideMark/>
            <w:shd w:val="clear" w:color="auto" w:fill="auto"/>
          </w:tcPr>
          <w:p w14:paraId="3D8AF00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краткосрочного привлечения ЗС</w:t>
            </w:r>
          </w:p>
        </w:tc>
        <w:tc>
          <w:tcPr>
            <w:tcW w:w="0" w:type="auto"/>
            <w:vAlign w:val="center"/>
            <w:hideMark/>
            <w:shd w:val="clear" w:color="auto" w:fill="auto"/>
          </w:tcPr>
          <w:p w14:paraId="1626CE7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69CAFB6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0,969</w:t>
            </w:r>
          </w:p>
        </w:tc>
        <w:tc>
          <w:tcPr>
            <w:tcW w:w="0" w:type="auto"/>
            <w:vAlign w:val="center"/>
            <w:hideMark/>
            <w:shd w:val="clear" w:color="auto" w:fill="auto"/>
          </w:tcPr>
          <w:p w14:paraId="2B1C62C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0,860</w:t>
            </w:r>
          </w:p>
        </w:tc>
        <w:tc>
          <w:tcPr>
            <w:tcW w:w="0" w:type="auto"/>
            <w:vAlign w:val="center"/>
            <w:hideMark/>
            <w:shd w:val="clear" w:color="auto" w:fill="auto"/>
          </w:tcPr>
          <w:p w14:paraId="7B0678D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0,844</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-0,125</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-0,016</w:t>
            </w:r>
          </w:p>
        </w:tc>
      </w:tr>
      <w:tr w:rsidR="000005A2" w:rsidRPr="000005A2" w14:paraId="2CF2FC0B" w14:textId="77777777">
        <w:trPr>
          <w:tblCellSpacing w:w="15" w:type="dxa"/>
          <w:cantSplit/>
        </w:trPr>
        <w:tc>
          <w:tcPr>
            <w:tcW w:w="0" w:type="auto"/>
            <w:vAlign w:val="center"/>
            <w:hideMark/>
            <w:shd w:val="clear" w:color="auto" w:fill="auto"/>
          </w:tcPr>
          <w:p w14:paraId="2D1CBFA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кредиторской задолженности в составе КО</w:t>
            </w:r>
          </w:p>
        </w:tc>
        <w:tc>
          <w:tcPr>
            <w:tcW w:w="0" w:type="auto"/>
            <w:vAlign w:val="center"/>
            <w:hideMark/>
            <w:shd w:val="clear" w:color="auto" w:fill="auto"/>
          </w:tcPr>
          <w:p w14:paraId="42F0236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118B352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1,000</w:t>
            </w:r>
          </w:p>
        </w:tc>
        <w:tc>
          <w:tcPr>
            <w:tcW w:w="0" w:type="auto"/>
            <w:vAlign w:val="center"/>
            <w:hideMark/>
            <w:shd w:val="clear" w:color="auto" w:fill="auto"/>
          </w:tcPr>
          <w:p w14:paraId="24831A5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1,000</w:t>
            </w:r>
          </w:p>
        </w:tc>
        <w:tc>
          <w:tcPr>
            <w:tcW w:w="0" w:type="auto"/>
            <w:vAlign w:val="center"/>
            <w:hideMark/>
            <w:shd w:val="clear" w:color="auto" w:fill="auto"/>
          </w:tcPr>
          <w:p w14:paraId="5496818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1,000</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0,000</w:t>
            </w:r>
          </w:p>
        </w:tc>
        <w:tc>
          <w:tcPr>
            <w:tcW w:type="dxa" w:w="1134"/>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0,000</w:t>
            </w:r>
          </w:p>
        </w:tc>
      </w:tr>
    </w:tbl>
    <w:p>
      <w:pPr>
        <w:spacing w:before="0" w:after="0" w:line="360" w:lineRule="auto"/>
        <w:ind w:left="0" w:right="0" w:firstLine="709"/>
        <w:jc w:val="both"/>
      </w:pPr>
      <w:r>
        <w:rPr>
          <w:rFonts w:ascii="Times New Roman" w:hAnsi="Times New Roman" w:eastAsia="Times New Roman"/>
          <w:b w:val="0"/>
          <w:sz w:val="28"/>
        </w:rPr>
        <w:t>По данным таблицы 2.8 большинство относительных показателей финансовой устойчивости в 2023–2025 гг. улучшилось. Коэффициент концентрации собственного капитала вырос с 0,293 до 0,425, а коэффициент финансовой устойчивости — с 0,314 до 0,515. Одновременно соотношение заемных и собственных средств снизилось с 2,419 до 1,354. Несмотря на положительную динамику, коэффициенты автономии и финансовой устойчивости пока не достигли рекомендуемых значений, поэтому оптимизация структуры источников остается актуальной.</w:t>
      </w:r>
    </w:p>
    <w:p>
      <w:pPr>
        <w:spacing w:before="600" w:after="600" w:line="240" w:lineRule="auto"/>
        <w:ind w:left="0" w:firstLine="709"/>
        <w:jc w:val="left"/>
        <w:keepNext/>
        <w:keepLines/>
        <w:outlineLvl w:val="1"/>
      </w:pPr>
      <w:r>
        <w:rPr>
          <w:rFonts w:ascii="Times New Roman" w:hAnsi="Times New Roman" w:eastAsia="Times New Roman"/>
          <w:b/>
          <w:sz w:val="32"/>
        </w:rPr>
        <w:t>2.4 Анализ оборачиваемости капитала и деловой активности</w:t>
      </w:r>
    </w:p>
    <w:p>
      <w:pPr>
        <w:spacing w:before="0" w:after="0" w:line="360" w:lineRule="auto"/>
        <w:ind w:left="0" w:right="0" w:firstLine="709"/>
        <w:jc w:val="both"/>
      </w:pPr>
      <w:r>
        <w:rPr>
          <w:rFonts w:ascii="Times New Roman" w:hAnsi="Times New Roman" w:eastAsia="Times New Roman"/>
          <w:b w:val="0"/>
          <w:sz w:val="28"/>
        </w:rPr>
        <w:t>Деловая активность ООО «МИЛЛАБ» оценивается по скорости оборота капитала, оборотных активов, запасов и задолженности, а также по продолжительности операционного и финансового циклов.</w:t>
      </w:r>
    </w:p>
    <w:p w14:paraId="00BC0519"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lastRenderedPageBreak/>
        <w:t>Таблица 2.9 – Динамика показателей деловой активности</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587"/>
        <w:gridCol w:w="1012"/>
        <w:gridCol w:w="1012"/>
        <w:gridCol w:w="1027"/>
      </w:tblGrid>
      <w:tr w:rsidR="000005A2" w:rsidRPr="000005A2" w14:paraId="79BCB5AE" w14:textId="77777777">
        <w:trPr>
          <w:tblHeader w:val="true"/>
          <w:tblCellSpacing w:w="15" w:type="dxa"/>
          <w:tblHeader w:val="true"/>
          <w:cantSplit/>
        </w:trPr>
        <w:tc>
          <w:tcPr>
            <w:tcW w:w="0" w:type="auto"/>
            <w:vAlign w:val="center"/>
            <w:hideMark/>
            <w:shd w:val="clear" w:color="auto" w:fill="auto"/>
          </w:tcPr>
          <w:p w14:paraId="481C2E0E"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7C1F9BB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w:t>
            </w:r>
          </w:p>
        </w:tc>
        <w:tc>
          <w:tcPr>
            <w:tcW w:w="0" w:type="auto"/>
            <w:vAlign w:val="center"/>
            <w:hideMark/>
            <w:shd w:val="clear" w:color="auto" w:fill="auto"/>
          </w:tcPr>
          <w:p w14:paraId="63A67FF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w:t>
            </w:r>
          </w:p>
        </w:tc>
        <w:tc>
          <w:tcPr>
            <w:tcW w:w="0" w:type="auto"/>
            <w:vAlign w:val="center"/>
            <w:hideMark/>
            <w:shd w:val="clear" w:color="auto" w:fill="auto"/>
          </w:tcPr>
          <w:p w14:paraId="0589277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w:t>
            </w:r>
          </w:p>
        </w:tc>
      </w:tr>
      <w:tr w:rsidR="000005A2" w:rsidRPr="000005A2" w14:paraId="3CC266A6" w14:textId="77777777">
        <w:trPr>
          <w:tblCellSpacing w:w="15" w:type="dxa"/>
          <w:cantSplit/>
        </w:trPr>
        <w:tc>
          <w:tcPr>
            <w:tcW w:w="0" w:type="auto"/>
            <w:vAlign w:val="center"/>
            <w:hideMark/>
            <w:shd w:val="clear" w:color="auto" w:fill="auto"/>
          </w:tcPr>
          <w:p w14:paraId="5792DB2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Производительность труда, тыс. руб./чел.</w:t>
            </w:r>
          </w:p>
        </w:tc>
        <w:tc>
          <w:tcPr>
            <w:tcW w:w="0" w:type="auto"/>
            <w:vAlign w:val="center"/>
            <w:hideMark/>
            <w:shd w:val="clear" w:color="auto" w:fill="auto"/>
          </w:tcPr>
          <w:p w14:paraId="37EE6C9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15 115,95</w:t>
            </w:r>
          </w:p>
        </w:tc>
        <w:tc>
          <w:tcPr>
            <w:tcW w:w="0" w:type="auto"/>
            <w:vAlign w:val="center"/>
            <w:hideMark/>
            <w:shd w:val="clear" w:color="auto" w:fill="auto"/>
          </w:tcPr>
          <w:p w14:paraId="50C9B02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17 644,82</w:t>
            </w:r>
          </w:p>
        </w:tc>
        <w:tc>
          <w:tcPr>
            <w:tcW w:w="0" w:type="auto"/>
            <w:vAlign w:val="center"/>
            <w:hideMark/>
            <w:shd w:val="clear" w:color="auto" w:fill="auto"/>
          </w:tcPr>
          <w:p w14:paraId="6476CDC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16 583,32</w:t>
            </w:r>
          </w:p>
        </w:tc>
      </w:tr>
      <w:tr w:rsidR="000005A2" w:rsidRPr="000005A2" w14:paraId="5C9FC504" w14:textId="77777777">
        <w:trPr>
          <w:tblCellSpacing w:w="15" w:type="dxa"/>
          <w:cantSplit/>
        </w:trPr>
        <w:tc>
          <w:tcPr>
            <w:tcW w:w="0" w:type="auto"/>
            <w:vAlign w:val="center"/>
            <w:hideMark/>
            <w:shd w:val="clear" w:color="auto" w:fill="auto"/>
          </w:tcPr>
          <w:p w14:paraId="08E8D01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Фондоотдача, руб.</w:t>
            </w:r>
          </w:p>
        </w:tc>
        <w:tc>
          <w:tcPr>
            <w:tcW w:w="0" w:type="auto"/>
            <w:vAlign w:val="center"/>
            <w:hideMark/>
            <w:shd w:val="clear" w:color="auto" w:fill="auto"/>
          </w:tcPr>
          <w:p w14:paraId="6683B76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490,53</w:t>
            </w:r>
          </w:p>
        </w:tc>
        <w:tc>
          <w:tcPr>
            <w:tcW w:w="0" w:type="auto"/>
            <w:vAlign w:val="center"/>
            <w:hideMark/>
            <w:shd w:val="clear" w:color="auto" w:fill="auto"/>
          </w:tcPr>
          <w:p w14:paraId="661FDB5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463,65</w:t>
            </w:r>
          </w:p>
        </w:tc>
        <w:tc>
          <w:tcPr>
            <w:tcW w:w="0" w:type="auto"/>
            <w:vAlign w:val="center"/>
            <w:hideMark/>
            <w:shd w:val="clear" w:color="auto" w:fill="auto"/>
          </w:tcPr>
          <w:p w14:paraId="6F2E41D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286,13</w:t>
            </w:r>
          </w:p>
        </w:tc>
      </w:tr>
      <w:tr w:rsidR="000005A2" w:rsidRPr="000005A2" w14:paraId="109888A8" w14:textId="77777777">
        <w:trPr>
          <w:tblCellSpacing w:w="15" w:type="dxa"/>
          <w:cantSplit/>
        </w:trPr>
        <w:tc>
          <w:tcPr>
            <w:tcW w:w="0" w:type="auto"/>
            <w:vAlign w:val="center"/>
            <w:hideMark/>
            <w:shd w:val="clear" w:color="auto" w:fill="auto"/>
          </w:tcPr>
          <w:p w14:paraId="78561F6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оборачиваемости всего капитала</w:t>
            </w:r>
          </w:p>
        </w:tc>
        <w:tc>
          <w:tcPr>
            <w:tcW w:w="0" w:type="auto"/>
            <w:vAlign w:val="center"/>
            <w:hideMark/>
            <w:shd w:val="clear" w:color="auto" w:fill="auto"/>
          </w:tcPr>
          <w:p w14:paraId="1B00141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1,763</w:t>
            </w:r>
          </w:p>
        </w:tc>
        <w:tc>
          <w:tcPr>
            <w:tcW w:w="0" w:type="auto"/>
            <w:vAlign w:val="center"/>
            <w:hideMark/>
            <w:shd w:val="clear" w:color="auto" w:fill="auto"/>
          </w:tcPr>
          <w:p w14:paraId="6D10072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1,695</w:t>
            </w:r>
          </w:p>
        </w:tc>
        <w:tc>
          <w:tcPr>
            <w:tcW w:w="0" w:type="auto"/>
            <w:vAlign w:val="center"/>
            <w:hideMark/>
            <w:shd w:val="clear" w:color="auto" w:fill="auto"/>
          </w:tcPr>
          <w:p w14:paraId="1AF0527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1,545</w:t>
            </w:r>
          </w:p>
        </w:tc>
      </w:tr>
      <w:tr w:rsidR="000005A2" w:rsidRPr="000005A2" w14:paraId="62BF9F35" w14:textId="77777777">
        <w:trPr>
          <w:tblCellSpacing w:w="15" w:type="dxa"/>
          <w:cantSplit/>
        </w:trPr>
        <w:tc>
          <w:tcPr>
            <w:tcW w:w="0" w:type="auto"/>
            <w:vAlign w:val="center"/>
            <w:hideMark/>
            <w:shd w:val="clear" w:color="auto" w:fill="auto"/>
          </w:tcPr>
          <w:p w14:paraId="46BF5E5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оборачиваемости собственного капитала</w:t>
            </w:r>
          </w:p>
        </w:tc>
        <w:tc>
          <w:tcPr>
            <w:tcW w:w="0" w:type="auto"/>
            <w:vAlign w:val="center"/>
            <w:hideMark/>
            <w:shd w:val="clear" w:color="auto" w:fill="auto"/>
          </w:tcPr>
          <w:p w14:paraId="3691EF4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6,434</w:t>
            </w:r>
          </w:p>
        </w:tc>
        <w:tc>
          <w:tcPr>
            <w:tcW w:w="0" w:type="auto"/>
            <w:vAlign w:val="center"/>
            <w:hideMark/>
            <w:shd w:val="clear" w:color="auto" w:fill="auto"/>
          </w:tcPr>
          <w:p w14:paraId="1794D32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5,626</w:t>
            </w:r>
          </w:p>
        </w:tc>
        <w:tc>
          <w:tcPr>
            <w:tcW w:w="0" w:type="auto"/>
            <w:vAlign w:val="center"/>
            <w:hideMark/>
            <w:shd w:val="clear" w:color="auto" w:fill="auto"/>
          </w:tcPr>
          <w:p w14:paraId="4374612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4,235</w:t>
            </w:r>
          </w:p>
        </w:tc>
      </w:tr>
      <w:tr w:rsidR="000005A2" w:rsidRPr="000005A2" w14:paraId="00815A80" w14:textId="77777777">
        <w:trPr>
          <w:tblCellSpacing w:w="15" w:type="dxa"/>
          <w:cantSplit/>
        </w:trPr>
        <w:tc>
          <w:tcPr>
            <w:tcW w:w="0" w:type="auto"/>
            <w:vAlign w:val="center"/>
            <w:hideMark/>
            <w:shd w:val="clear" w:color="auto" w:fill="auto"/>
          </w:tcPr>
          <w:p w14:paraId="6C4B9B2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оборачиваемости оборотных активов</w:t>
            </w:r>
          </w:p>
        </w:tc>
        <w:tc>
          <w:tcPr>
            <w:tcW w:w="0" w:type="auto"/>
            <w:vAlign w:val="center"/>
            <w:hideMark/>
            <w:shd w:val="clear" w:color="auto" w:fill="auto"/>
          </w:tcPr>
          <w:p w14:paraId="2B8B29E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1,769</w:t>
            </w:r>
          </w:p>
        </w:tc>
        <w:tc>
          <w:tcPr>
            <w:tcW w:w="0" w:type="auto"/>
            <w:vAlign w:val="center"/>
            <w:hideMark/>
            <w:shd w:val="clear" w:color="auto" w:fill="auto"/>
          </w:tcPr>
          <w:p w14:paraId="14D2CEB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1,701</w:t>
            </w:r>
          </w:p>
        </w:tc>
        <w:tc>
          <w:tcPr>
            <w:tcW w:w="0" w:type="auto"/>
            <w:vAlign w:val="center"/>
            <w:hideMark/>
            <w:shd w:val="clear" w:color="auto" w:fill="auto"/>
          </w:tcPr>
          <w:p w14:paraId="7650455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1,554</w:t>
            </w:r>
          </w:p>
        </w:tc>
      </w:tr>
      <w:tr w:rsidR="000005A2" w:rsidRPr="000005A2" w14:paraId="2CCA7BA6" w14:textId="77777777">
        <w:trPr>
          <w:tblCellSpacing w:w="15" w:type="dxa"/>
          <w:cantSplit/>
        </w:trPr>
        <w:tc>
          <w:tcPr>
            <w:tcW w:w="0" w:type="auto"/>
            <w:vAlign w:val="center"/>
            <w:hideMark/>
            <w:shd w:val="clear" w:color="auto" w:fill="auto"/>
          </w:tcPr>
          <w:p w14:paraId="7D799B04"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оборачиваемости запасов</w:t>
            </w:r>
          </w:p>
        </w:tc>
        <w:tc>
          <w:tcPr>
            <w:tcW w:w="0" w:type="auto"/>
            <w:vAlign w:val="center"/>
            <w:hideMark/>
            <w:shd w:val="clear" w:color="auto" w:fill="auto"/>
          </w:tcPr>
          <w:p w14:paraId="3D3CE35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5,366</w:t>
            </w:r>
          </w:p>
        </w:tc>
        <w:tc>
          <w:tcPr>
            <w:tcW w:w="0" w:type="auto"/>
            <w:vAlign w:val="center"/>
            <w:hideMark/>
            <w:shd w:val="clear" w:color="auto" w:fill="auto"/>
          </w:tcPr>
          <w:p w14:paraId="63EA3B6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4,666</w:t>
            </w:r>
          </w:p>
        </w:tc>
        <w:tc>
          <w:tcPr>
            <w:tcW w:w="0" w:type="auto"/>
            <w:vAlign w:val="center"/>
            <w:hideMark/>
            <w:shd w:val="clear" w:color="auto" w:fill="auto"/>
          </w:tcPr>
          <w:p w14:paraId="2BF68EA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3,880</w:t>
            </w:r>
          </w:p>
        </w:tc>
      </w:tr>
      <w:tr w:rsidR="000005A2" w:rsidRPr="000005A2" w14:paraId="64026A5A" w14:textId="77777777">
        <w:trPr>
          <w:tblCellSpacing w:w="15" w:type="dxa"/>
          <w:cantSplit/>
        </w:trPr>
        <w:tc>
          <w:tcPr>
            <w:tcW w:w="0" w:type="auto"/>
            <w:vAlign w:val="center"/>
            <w:hideMark/>
            <w:shd w:val="clear" w:color="auto" w:fill="auto"/>
          </w:tcPr>
          <w:p w14:paraId="6EF65BE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оборачиваемости дебиторской задолженности</w:t>
            </w:r>
          </w:p>
        </w:tc>
        <w:tc>
          <w:tcPr>
            <w:tcW w:w="0" w:type="auto"/>
            <w:vAlign w:val="center"/>
            <w:hideMark/>
            <w:shd w:val="clear" w:color="auto" w:fill="auto"/>
          </w:tcPr>
          <w:p w14:paraId="7C2FB90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3,084</w:t>
            </w:r>
          </w:p>
        </w:tc>
        <w:tc>
          <w:tcPr>
            <w:tcW w:w="0" w:type="auto"/>
            <w:vAlign w:val="center"/>
            <w:hideMark/>
            <w:shd w:val="clear" w:color="auto" w:fill="auto"/>
          </w:tcPr>
          <w:p w14:paraId="4DD9355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2,983</w:t>
            </w:r>
          </w:p>
        </w:tc>
        <w:tc>
          <w:tcPr>
            <w:tcW w:w="0" w:type="auto"/>
            <w:vAlign w:val="center"/>
            <w:hideMark/>
            <w:shd w:val="clear" w:color="auto" w:fill="auto"/>
          </w:tcPr>
          <w:p w14:paraId="20E09D6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3,106</w:t>
            </w:r>
          </w:p>
        </w:tc>
      </w:tr>
      <w:tr w:rsidR="000005A2" w:rsidRPr="000005A2" w14:paraId="4360B0AC" w14:textId="77777777">
        <w:trPr>
          <w:tblCellSpacing w:w="15" w:type="dxa"/>
          <w:cantSplit/>
        </w:trPr>
        <w:tc>
          <w:tcPr>
            <w:tcW w:w="0" w:type="auto"/>
            <w:vAlign w:val="center"/>
            <w:hideMark/>
            <w:shd w:val="clear" w:color="auto" w:fill="auto"/>
          </w:tcPr>
          <w:p w14:paraId="4BB6EFE9"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оборачиваемости кредиторской задолженности</w:t>
            </w:r>
          </w:p>
        </w:tc>
        <w:tc>
          <w:tcPr>
            <w:tcW w:w="0" w:type="auto"/>
            <w:vAlign w:val="center"/>
            <w:hideMark/>
            <w:shd w:val="clear" w:color="auto" w:fill="auto"/>
          </w:tcPr>
          <w:p w14:paraId="441EA91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2,480</w:t>
            </w:r>
          </w:p>
        </w:tc>
        <w:tc>
          <w:tcPr>
            <w:tcW w:w="0" w:type="auto"/>
            <w:vAlign w:val="center"/>
            <w:hideMark/>
            <w:shd w:val="clear" w:color="auto" w:fill="auto"/>
          </w:tcPr>
          <w:p w14:paraId="6749C35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2,675</w:t>
            </w:r>
          </w:p>
        </w:tc>
        <w:tc>
          <w:tcPr>
            <w:tcW w:w="0" w:type="auto"/>
            <w:vAlign w:val="center"/>
            <w:hideMark/>
            <w:shd w:val="clear" w:color="auto" w:fill="auto"/>
          </w:tcPr>
          <w:p w14:paraId="13D73D8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2,852</w:t>
            </w:r>
          </w:p>
        </w:tc>
      </w:tr>
      <w:tr w:rsidR="000005A2" w:rsidRPr="000005A2" w14:paraId="0EC205CB" w14:textId="77777777">
        <w:trPr>
          <w:tblCellSpacing w:w="15" w:type="dxa"/>
          <w:cantSplit/>
        </w:trPr>
        <w:tc>
          <w:tcPr>
            <w:tcW w:w="0" w:type="auto"/>
            <w:vAlign w:val="center"/>
            <w:hideMark/>
            <w:shd w:val="clear" w:color="auto" w:fill="auto"/>
          </w:tcPr>
          <w:p w14:paraId="6F6692A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Продолжительность оборота всего капитала, дней</w:t>
            </w:r>
          </w:p>
        </w:tc>
        <w:tc>
          <w:tcPr>
            <w:tcW w:w="0" w:type="auto"/>
            <w:vAlign w:val="center"/>
            <w:hideMark/>
            <w:shd w:val="clear" w:color="auto" w:fill="auto"/>
          </w:tcPr>
          <w:p w14:paraId="4D14ADD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207,0</w:t>
            </w:r>
          </w:p>
        </w:tc>
        <w:tc>
          <w:tcPr>
            <w:tcW w:w="0" w:type="auto"/>
            <w:vAlign w:val="center"/>
            <w:hideMark/>
            <w:shd w:val="clear" w:color="auto" w:fill="auto"/>
          </w:tcPr>
          <w:p w14:paraId="2D5CF7B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215,4</w:t>
            </w:r>
          </w:p>
        </w:tc>
        <w:tc>
          <w:tcPr>
            <w:tcW w:w="0" w:type="auto"/>
            <w:vAlign w:val="center"/>
            <w:hideMark/>
            <w:shd w:val="clear" w:color="auto" w:fill="auto"/>
          </w:tcPr>
          <w:p w14:paraId="62987B6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236,2</w:t>
            </w:r>
          </w:p>
        </w:tc>
      </w:tr>
      <w:tr w:rsidR="000005A2" w:rsidRPr="000005A2" w14:paraId="086284F1" w14:textId="77777777">
        <w:trPr>
          <w:tblCellSpacing w:w="15" w:type="dxa"/>
          <w:cantSplit/>
        </w:trPr>
        <w:tc>
          <w:tcPr>
            <w:tcW w:w="0" w:type="auto"/>
            <w:vAlign w:val="center"/>
            <w:hideMark/>
            <w:shd w:val="clear" w:color="auto" w:fill="auto"/>
          </w:tcPr>
          <w:p w14:paraId="4464F02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Продолжительность оборота собственного капитала, дней</w:t>
            </w:r>
          </w:p>
        </w:tc>
        <w:tc>
          <w:tcPr>
            <w:tcW w:w="0" w:type="auto"/>
            <w:vAlign w:val="center"/>
            <w:hideMark/>
            <w:shd w:val="clear" w:color="auto" w:fill="auto"/>
          </w:tcPr>
          <w:p w14:paraId="6F5DAC8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56,7</w:t>
            </w:r>
          </w:p>
        </w:tc>
        <w:tc>
          <w:tcPr>
            <w:tcW w:w="0" w:type="auto"/>
            <w:vAlign w:val="center"/>
            <w:hideMark/>
            <w:shd w:val="clear" w:color="auto" w:fill="auto"/>
          </w:tcPr>
          <w:p w14:paraId="77AFD4B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64,9</w:t>
            </w:r>
          </w:p>
        </w:tc>
        <w:tc>
          <w:tcPr>
            <w:tcW w:w="0" w:type="auto"/>
            <w:vAlign w:val="center"/>
            <w:hideMark/>
            <w:shd w:val="clear" w:color="auto" w:fill="auto"/>
          </w:tcPr>
          <w:p w14:paraId="2F81248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86,2</w:t>
            </w:r>
          </w:p>
        </w:tc>
      </w:tr>
      <w:tr w:rsidR="000005A2" w:rsidRPr="000005A2" w14:paraId="54C6EEF0" w14:textId="77777777">
        <w:trPr>
          <w:tblCellSpacing w:w="15" w:type="dxa"/>
          <w:cantSplit/>
        </w:trPr>
        <w:tc>
          <w:tcPr>
            <w:tcW w:w="0" w:type="auto"/>
            <w:vAlign w:val="center"/>
            <w:hideMark/>
            <w:shd w:val="clear" w:color="auto" w:fill="auto"/>
          </w:tcPr>
          <w:p w14:paraId="4692D2B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Продолжительность оборота оборотных активов, дней</w:t>
            </w:r>
          </w:p>
        </w:tc>
        <w:tc>
          <w:tcPr>
            <w:tcW w:w="0" w:type="auto"/>
            <w:vAlign w:val="center"/>
            <w:hideMark/>
            <w:shd w:val="clear" w:color="auto" w:fill="auto"/>
          </w:tcPr>
          <w:p w14:paraId="09AB778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206,4</w:t>
            </w:r>
          </w:p>
        </w:tc>
        <w:tc>
          <w:tcPr>
            <w:tcW w:w="0" w:type="auto"/>
            <w:vAlign w:val="center"/>
            <w:hideMark/>
            <w:shd w:val="clear" w:color="auto" w:fill="auto"/>
          </w:tcPr>
          <w:p w14:paraId="12161C5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214,6</w:t>
            </w:r>
          </w:p>
        </w:tc>
        <w:tc>
          <w:tcPr>
            <w:tcW w:w="0" w:type="auto"/>
            <w:vAlign w:val="center"/>
            <w:hideMark/>
            <w:shd w:val="clear" w:color="auto" w:fill="auto"/>
          </w:tcPr>
          <w:p w14:paraId="754AE1D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234,9</w:t>
            </w:r>
          </w:p>
        </w:tc>
      </w:tr>
      <w:tr w:rsidR="000005A2" w:rsidRPr="000005A2" w14:paraId="203F5E9E" w14:textId="77777777">
        <w:trPr>
          <w:tblCellSpacing w:w="15" w:type="dxa"/>
          <w:cantSplit/>
        </w:trPr>
        <w:tc>
          <w:tcPr>
            <w:tcW w:w="0" w:type="auto"/>
            <w:vAlign w:val="center"/>
            <w:hideMark/>
            <w:shd w:val="clear" w:color="auto" w:fill="auto"/>
          </w:tcPr>
          <w:p w14:paraId="6EC9548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Продолжительность оборота запасов, дней</w:t>
            </w:r>
          </w:p>
        </w:tc>
        <w:tc>
          <w:tcPr>
            <w:tcW w:w="0" w:type="auto"/>
            <w:vAlign w:val="center"/>
            <w:hideMark/>
            <w:shd w:val="clear" w:color="auto" w:fill="auto"/>
          </w:tcPr>
          <w:p w14:paraId="3CBC11F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68,0</w:t>
            </w:r>
          </w:p>
        </w:tc>
        <w:tc>
          <w:tcPr>
            <w:tcW w:w="0" w:type="auto"/>
            <w:vAlign w:val="center"/>
            <w:hideMark/>
            <w:shd w:val="clear" w:color="auto" w:fill="auto"/>
          </w:tcPr>
          <w:p w14:paraId="1608F0D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78,2</w:t>
            </w:r>
          </w:p>
        </w:tc>
        <w:tc>
          <w:tcPr>
            <w:tcW w:w="0" w:type="auto"/>
            <w:vAlign w:val="center"/>
            <w:hideMark/>
            <w:shd w:val="clear" w:color="auto" w:fill="auto"/>
          </w:tcPr>
          <w:p w14:paraId="700C3AF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94,1</w:t>
            </w:r>
          </w:p>
        </w:tc>
      </w:tr>
      <w:tr w:rsidR="000005A2" w:rsidRPr="000005A2" w14:paraId="7D6B2207" w14:textId="77777777">
        <w:trPr>
          <w:tblCellSpacing w:w="15" w:type="dxa"/>
          <w:cantSplit/>
        </w:trPr>
        <w:tc>
          <w:tcPr>
            <w:tcW w:w="0" w:type="auto"/>
            <w:vAlign w:val="center"/>
            <w:hideMark/>
            <w:shd w:val="clear" w:color="auto" w:fill="auto"/>
          </w:tcPr>
          <w:p w14:paraId="3A1D862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Продолжительность оборота дебиторской задолженности, дней</w:t>
            </w:r>
          </w:p>
        </w:tc>
        <w:tc>
          <w:tcPr>
            <w:tcW w:w="0" w:type="auto"/>
            <w:vAlign w:val="center"/>
            <w:hideMark/>
            <w:shd w:val="clear" w:color="auto" w:fill="auto"/>
          </w:tcPr>
          <w:p w14:paraId="19AF525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118,4</w:t>
            </w:r>
          </w:p>
        </w:tc>
        <w:tc>
          <w:tcPr>
            <w:tcW w:w="0" w:type="auto"/>
            <w:vAlign w:val="center"/>
            <w:hideMark/>
            <w:shd w:val="clear" w:color="auto" w:fill="auto"/>
          </w:tcPr>
          <w:p w14:paraId="75F6AFD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122,4</w:t>
            </w:r>
          </w:p>
        </w:tc>
        <w:tc>
          <w:tcPr>
            <w:tcW w:w="0" w:type="auto"/>
            <w:vAlign w:val="center"/>
            <w:hideMark/>
            <w:shd w:val="clear" w:color="auto" w:fill="auto"/>
          </w:tcPr>
          <w:p w14:paraId="13C4BBF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117,5</w:t>
            </w:r>
          </w:p>
        </w:tc>
      </w:tr>
      <w:tr w:rsidR="000005A2" w:rsidRPr="000005A2" w14:paraId="1B131942" w14:textId="77777777">
        <w:trPr>
          <w:tblCellSpacing w:w="15" w:type="dxa"/>
          <w:cantSplit/>
        </w:trPr>
        <w:tc>
          <w:tcPr>
            <w:tcW w:w="0" w:type="auto"/>
            <w:vAlign w:val="center"/>
            <w:hideMark/>
            <w:shd w:val="clear" w:color="auto" w:fill="auto"/>
          </w:tcPr>
          <w:p w14:paraId="1205750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Продолжительность оборота кредиторской задолженности, дней</w:t>
            </w:r>
          </w:p>
        </w:tc>
        <w:tc>
          <w:tcPr>
            <w:tcW w:w="0" w:type="auto"/>
            <w:vAlign w:val="center"/>
            <w:hideMark/>
            <w:shd w:val="clear" w:color="auto" w:fill="auto"/>
          </w:tcPr>
          <w:p w14:paraId="7668868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147,2</w:t>
            </w:r>
          </w:p>
        </w:tc>
        <w:tc>
          <w:tcPr>
            <w:tcW w:w="0" w:type="auto"/>
            <w:vAlign w:val="center"/>
            <w:hideMark/>
            <w:shd w:val="clear" w:color="auto" w:fill="auto"/>
          </w:tcPr>
          <w:p w14:paraId="22FCFCB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136,4</w:t>
            </w:r>
          </w:p>
        </w:tc>
        <w:tc>
          <w:tcPr>
            <w:tcW w:w="0" w:type="auto"/>
            <w:vAlign w:val="center"/>
            <w:hideMark/>
            <w:shd w:val="clear" w:color="auto" w:fill="auto"/>
          </w:tcPr>
          <w:p w14:paraId="5E771FF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128,0</w:t>
            </w:r>
          </w:p>
        </w:tc>
      </w:tr>
      <w:tr w:rsidR="000005A2" w:rsidRPr="000005A2" w14:paraId="1818C2CC" w14:textId="77777777">
        <w:trPr>
          <w:tblCellSpacing w:w="15" w:type="dxa"/>
          <w:cantSplit/>
        </w:trPr>
        <w:tc>
          <w:tcPr>
            <w:tcW w:w="0" w:type="auto"/>
            <w:vAlign w:val="center"/>
            <w:hideMark/>
            <w:shd w:val="clear" w:color="auto" w:fill="auto"/>
          </w:tcPr>
          <w:p w14:paraId="46BCC57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Операционный цикл, дней</w:t>
            </w:r>
          </w:p>
        </w:tc>
        <w:tc>
          <w:tcPr>
            <w:tcW w:w="0" w:type="auto"/>
            <w:vAlign w:val="center"/>
            <w:hideMark/>
            <w:shd w:val="clear" w:color="auto" w:fill="auto"/>
          </w:tcPr>
          <w:p w14:paraId="52F0C49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186,4</w:t>
            </w:r>
          </w:p>
        </w:tc>
        <w:tc>
          <w:tcPr>
            <w:tcW w:w="0" w:type="auto"/>
            <w:vAlign w:val="center"/>
            <w:hideMark/>
            <w:shd w:val="clear" w:color="auto" w:fill="auto"/>
          </w:tcPr>
          <w:p w14:paraId="79B3BF6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200,6</w:t>
            </w:r>
          </w:p>
        </w:tc>
        <w:tc>
          <w:tcPr>
            <w:tcW w:w="0" w:type="auto"/>
            <w:vAlign w:val="center"/>
            <w:hideMark/>
            <w:shd w:val="clear" w:color="auto" w:fill="auto"/>
          </w:tcPr>
          <w:p w14:paraId="7FC3DD9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211,6</w:t>
            </w:r>
          </w:p>
        </w:tc>
      </w:tr>
      <w:tr w:rsidR="000005A2" w:rsidRPr="000005A2" w14:paraId="32D18D49" w14:textId="77777777">
        <w:trPr>
          <w:tblCellSpacing w:w="15" w:type="dxa"/>
          <w:cantSplit/>
        </w:trPr>
        <w:tc>
          <w:tcPr>
            <w:tcW w:w="0" w:type="auto"/>
            <w:vAlign w:val="center"/>
            <w:hideMark/>
            <w:shd w:val="clear" w:color="auto" w:fill="auto"/>
          </w:tcPr>
          <w:p w14:paraId="08F5D6F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Финансовый цикл, дней</w:t>
            </w:r>
          </w:p>
        </w:tc>
        <w:tc>
          <w:tcPr>
            <w:tcW w:w="0" w:type="auto"/>
            <w:vAlign w:val="center"/>
            <w:hideMark/>
            <w:shd w:val="clear" w:color="auto" w:fill="auto"/>
          </w:tcPr>
          <w:p w14:paraId="5A4486D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39,2</w:t>
            </w:r>
          </w:p>
        </w:tc>
        <w:tc>
          <w:tcPr>
            <w:tcW w:w="0" w:type="auto"/>
            <w:vAlign w:val="center"/>
            <w:hideMark/>
            <w:shd w:val="clear" w:color="auto" w:fill="auto"/>
          </w:tcPr>
          <w:p w14:paraId="11F4C58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64,2</w:t>
            </w:r>
          </w:p>
        </w:tc>
        <w:tc>
          <w:tcPr>
            <w:tcW w:w="0" w:type="auto"/>
            <w:vAlign w:val="center"/>
            <w:hideMark/>
            <w:shd w:val="clear" w:color="auto" w:fill="auto"/>
          </w:tcPr>
          <w:p w14:paraId="764AE8C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83,7</w:t>
            </w:r>
          </w:p>
        </w:tc>
      </w:tr>
    </w:tbl>
    <w:p>
      <w:pPr>
        <w:spacing w:before="0" w:after="0" w:line="360" w:lineRule="auto"/>
        <w:ind w:left="0" w:right="0" w:firstLine="709"/>
        <w:jc w:val="both"/>
      </w:pPr>
      <w:r>
        <w:rPr>
          <w:rFonts w:ascii="Times New Roman" w:hAnsi="Times New Roman" w:eastAsia="Times New Roman"/>
          <w:b w:val="0"/>
          <w:sz w:val="28"/>
        </w:rPr>
        <w:t>Данные таблицы 2.9 свидетельствуют о замедлении деловой активности. Продолжительность оборота оборотных активов увеличилась с 206,4 до 234,9 дня, запасов — с 68,0 до 94,1 дня, а финансового цикла — с 39,2 до 83,7 дня. Положительной тенденцией является сокращение периода погашения дебиторской задолженности в 2025 г. до 117,5 дня, однако рост запасов продолжает отвлекать значительный объем средств из оборота.</w:t>
      </w:r>
    </w:p>
    <w:p>
      <w:pPr>
        <w:spacing w:before="600" w:after="600" w:line="240" w:lineRule="auto"/>
        <w:ind w:left="0" w:firstLine="709"/>
        <w:jc w:val="left"/>
        <w:keepNext/>
        <w:keepLines/>
        <w:outlineLvl w:val="1"/>
      </w:pPr>
      <w:r>
        <w:rPr>
          <w:rFonts w:ascii="Times New Roman" w:hAnsi="Times New Roman" w:eastAsia="Times New Roman"/>
          <w:b/>
          <w:sz w:val="32"/>
        </w:rPr>
        <w:t>2.5 Анализ рентабельности деятельности</w:t>
      </w:r>
    </w:p>
    <w:p>
      <w:pPr>
        <w:spacing w:before="0" w:after="0" w:line="360" w:lineRule="auto"/>
        <w:ind w:left="0" w:right="0" w:firstLine="709"/>
        <w:jc w:val="both"/>
      </w:pPr>
      <w:r>
        <w:rPr>
          <w:rFonts w:ascii="Times New Roman" w:hAnsi="Times New Roman" w:eastAsia="Times New Roman"/>
          <w:b w:val="0"/>
          <w:sz w:val="28"/>
        </w:rPr>
        <w:t>Завершающим этапом анализа является оценка финансовых результатов и рентабельности. Она позволяет установить, насколько эффективно организация использует капитал и формирует прибыль при сложившемся объеме продаж.</w:t>
      </w:r>
    </w:p>
    <w:p w14:paraId="2C2605C2"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2.10 – Результаты финансово-хозяйственной деятельности</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82"/>
        <w:gridCol w:w="1343"/>
        <w:gridCol w:w="970"/>
        <w:gridCol w:w="1344"/>
        <w:gridCol w:w="970"/>
        <w:gridCol w:w="1344"/>
        <w:gridCol w:w="985"/>
      </w:tblGrid>
      <w:tr w:rsidR="000005A2" w:rsidRPr="000005A2" w14:paraId="1F613AD1" w14:textId="77777777">
        <w:trPr>
          <w:tblHeader w:val="true"/>
          <w:tblCellSpacing w:w="15" w:type="dxa"/>
          <w:tblHeader w:val="true"/>
          <w:cantSplit/>
        </w:trPr>
        <w:tc>
          <w:tcPr>
            <w:tcW w:w="0" w:type="auto"/>
            <w:vAlign w:val="center"/>
            <w:hideMark/>
            <w:shd w:val="clear" w:color="auto" w:fill="auto"/>
          </w:tcPr>
          <w:p w14:paraId="49B7ADF4"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2699589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 тыс. руб.</w:t>
            </w:r>
          </w:p>
        </w:tc>
        <w:tc>
          <w:tcPr>
            <w:tcW w:w="0" w:type="auto"/>
            <w:vAlign w:val="center"/>
            <w:hideMark/>
            <w:shd w:val="clear" w:color="auto" w:fill="auto"/>
          </w:tcPr>
          <w:p w14:paraId="63E932E2"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 %</w:t>
            </w:r>
          </w:p>
        </w:tc>
        <w:tc>
          <w:tcPr>
            <w:tcW w:w="0" w:type="auto"/>
            <w:vAlign w:val="center"/>
            <w:hideMark/>
            <w:shd w:val="clear" w:color="auto" w:fill="auto"/>
          </w:tcPr>
          <w:p w14:paraId="0451FC9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 тыс. руб.</w:t>
            </w:r>
          </w:p>
        </w:tc>
        <w:tc>
          <w:tcPr>
            <w:tcW w:w="0" w:type="auto"/>
            <w:vAlign w:val="center"/>
            <w:hideMark/>
            <w:shd w:val="clear" w:color="auto" w:fill="auto"/>
          </w:tcPr>
          <w:p w14:paraId="5854FE2E"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 %</w:t>
            </w:r>
          </w:p>
        </w:tc>
        <w:tc>
          <w:tcPr>
            <w:tcW w:w="0" w:type="auto"/>
            <w:vAlign w:val="center"/>
            <w:hideMark/>
            <w:shd w:val="clear" w:color="auto" w:fill="auto"/>
          </w:tcPr>
          <w:p w14:paraId="4FA8212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 тыс. руб.</w:t>
            </w:r>
          </w:p>
        </w:tc>
        <w:tc>
          <w:tcPr>
            <w:tcW w:w="0" w:type="auto"/>
            <w:vAlign w:val="center"/>
            <w:hideMark/>
            <w:shd w:val="clear" w:color="auto" w:fill="auto"/>
          </w:tcPr>
          <w:p w14:paraId="000D757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 %</w:t>
            </w:r>
          </w:p>
        </w:tc>
      </w:tr>
      <w:tr w:rsidR="000005A2" w:rsidRPr="000005A2" w14:paraId="51F54F70" w14:textId="77777777">
        <w:trPr>
          <w:tblCellSpacing w:w="15" w:type="dxa"/>
          <w:cantSplit/>
        </w:trPr>
        <w:tc>
          <w:tcPr>
            <w:tcW w:w="0" w:type="auto"/>
            <w:vAlign w:val="center"/>
            <w:hideMark/>
            <w:shd w:val="clear" w:color="auto" w:fill="auto"/>
          </w:tcPr>
          <w:p w14:paraId="701A27C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Выручка</w:t>
            </w:r>
          </w:p>
        </w:tc>
        <w:tc>
          <w:tcPr>
            <w:tcW w:w="0" w:type="auto"/>
            <w:vAlign w:val="center"/>
            <w:hideMark/>
            <w:shd w:val="clear" w:color="auto" w:fill="auto"/>
          </w:tcPr>
          <w:p w14:paraId="36762D6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1 148 812</w:t>
            </w:r>
          </w:p>
        </w:tc>
        <w:tc>
          <w:tcPr>
            <w:tcW w:w="0" w:type="auto"/>
            <w:vAlign w:val="center"/>
            <w:hideMark/>
            <w:shd w:val="clear" w:color="auto" w:fill="auto"/>
          </w:tcPr>
          <w:p w14:paraId="6EB8B65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100,00</w:t>
            </w:r>
          </w:p>
        </w:tc>
        <w:tc>
          <w:tcPr>
            <w:tcW w:w="0" w:type="auto"/>
            <w:vAlign w:val="center"/>
            <w:hideMark/>
            <w:shd w:val="clear" w:color="auto" w:fill="auto"/>
          </w:tcPr>
          <w:p w14:paraId="3F37ECF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1 870 351</w:t>
            </w:r>
          </w:p>
        </w:tc>
        <w:tc>
          <w:tcPr>
            <w:tcW w:w="0" w:type="auto"/>
            <w:vAlign w:val="center"/>
            <w:hideMark/>
            <w:shd w:val="clear" w:color="auto" w:fill="auto"/>
          </w:tcPr>
          <w:p w14:paraId="5F8B878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100,00</w:t>
            </w:r>
          </w:p>
        </w:tc>
        <w:tc>
          <w:tcPr>
            <w:tcW w:w="0" w:type="auto"/>
            <w:vAlign w:val="center"/>
            <w:hideMark/>
            <w:shd w:val="clear" w:color="auto" w:fill="auto"/>
          </w:tcPr>
          <w:p w14:paraId="06DBACF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1 940 248</w:t>
            </w:r>
          </w:p>
        </w:tc>
        <w:tc>
          <w:tcPr>
            <w:tcW w:w="0" w:type="auto"/>
            <w:vAlign w:val="center"/>
            <w:hideMark/>
            <w:shd w:val="clear" w:color="auto" w:fill="auto"/>
          </w:tcPr>
          <w:p w14:paraId="34879F4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100,00</w:t>
            </w:r>
          </w:p>
        </w:tc>
      </w:tr>
      <w:tr w:rsidR="000005A2" w:rsidRPr="000005A2" w14:paraId="7EA69318" w14:textId="77777777">
        <w:trPr>
          <w:tblCellSpacing w:w="15" w:type="dxa"/>
          <w:cantSplit/>
        </w:trPr>
        <w:tc>
          <w:tcPr>
            <w:tcW w:w="0" w:type="auto"/>
            <w:vAlign w:val="center"/>
            <w:hideMark/>
            <w:shd w:val="clear" w:color="auto" w:fill="auto"/>
          </w:tcPr>
          <w:p w14:paraId="4AF558D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Себестоимость</w:t>
            </w:r>
          </w:p>
        </w:tc>
        <w:tc>
          <w:tcPr>
            <w:tcW w:w="0" w:type="auto"/>
            <w:vAlign w:val="center"/>
            <w:hideMark/>
            <w:shd w:val="clear" w:color="auto" w:fill="auto"/>
          </w:tcPr>
          <w:p w14:paraId="415D680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662 437</w:t>
            </w:r>
          </w:p>
        </w:tc>
        <w:tc>
          <w:tcPr>
            <w:tcW w:w="0" w:type="auto"/>
            <w:vAlign w:val="center"/>
            <w:hideMark/>
            <w:shd w:val="clear" w:color="auto" w:fill="auto"/>
          </w:tcPr>
          <w:p w14:paraId="376C920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57,66</w:t>
            </w:r>
          </w:p>
        </w:tc>
        <w:tc>
          <w:tcPr>
            <w:tcW w:w="0" w:type="auto"/>
            <w:vAlign w:val="center"/>
            <w:hideMark/>
            <w:shd w:val="clear" w:color="auto" w:fill="auto"/>
          </w:tcPr>
          <w:p w14:paraId="5B2C282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1 153 396</w:t>
            </w:r>
          </w:p>
        </w:tc>
        <w:tc>
          <w:tcPr>
            <w:tcW w:w="0" w:type="auto"/>
            <w:vAlign w:val="center"/>
            <w:hideMark/>
            <w:shd w:val="clear" w:color="auto" w:fill="auto"/>
          </w:tcPr>
          <w:p w14:paraId="480D772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61,67</w:t>
            </w:r>
          </w:p>
        </w:tc>
        <w:tc>
          <w:tcPr>
            <w:tcW w:w="0" w:type="auto"/>
            <w:vAlign w:val="center"/>
            <w:hideMark/>
            <w:shd w:val="clear" w:color="auto" w:fill="auto"/>
          </w:tcPr>
          <w:p w14:paraId="47A0C6D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1 199 477</w:t>
            </w:r>
          </w:p>
        </w:tc>
        <w:tc>
          <w:tcPr>
            <w:tcW w:w="0" w:type="auto"/>
            <w:vAlign w:val="center"/>
            <w:hideMark/>
            <w:shd w:val="clear" w:color="auto" w:fill="auto"/>
          </w:tcPr>
          <w:p w14:paraId="7DFA193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61,82</w:t>
            </w:r>
          </w:p>
        </w:tc>
      </w:tr>
      <w:tr w:rsidR="000005A2" w:rsidRPr="000005A2" w14:paraId="2526E670" w14:textId="77777777">
        <w:trPr>
          <w:tblCellSpacing w:w="15" w:type="dxa"/>
          <w:cantSplit/>
        </w:trPr>
        <w:tc>
          <w:tcPr>
            <w:tcW w:w="0" w:type="auto"/>
            <w:vAlign w:val="center"/>
            <w:hideMark/>
            <w:shd w:val="clear" w:color="auto" w:fill="auto"/>
          </w:tcPr>
          <w:p w14:paraId="5765F56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Валовая прибыль</w:t>
            </w:r>
          </w:p>
        </w:tc>
        <w:tc>
          <w:tcPr>
            <w:tcW w:w="0" w:type="auto"/>
            <w:vAlign w:val="center"/>
            <w:hideMark/>
            <w:shd w:val="clear" w:color="auto" w:fill="auto"/>
          </w:tcPr>
          <w:p w14:paraId="7D85649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486 375</w:t>
            </w:r>
          </w:p>
        </w:tc>
        <w:tc>
          <w:tcPr>
            <w:tcW w:w="0" w:type="auto"/>
            <w:vAlign w:val="center"/>
            <w:hideMark/>
            <w:shd w:val="clear" w:color="auto" w:fill="auto"/>
          </w:tcPr>
          <w:p w14:paraId="0170B05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42,34</w:t>
            </w:r>
          </w:p>
        </w:tc>
        <w:tc>
          <w:tcPr>
            <w:tcW w:w="0" w:type="auto"/>
            <w:vAlign w:val="center"/>
            <w:hideMark/>
            <w:shd w:val="clear" w:color="auto" w:fill="auto"/>
          </w:tcPr>
          <w:p w14:paraId="5B2A28D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716 955</w:t>
            </w:r>
          </w:p>
        </w:tc>
        <w:tc>
          <w:tcPr>
            <w:tcW w:w="0" w:type="auto"/>
            <w:vAlign w:val="center"/>
            <w:hideMark/>
            <w:shd w:val="clear" w:color="auto" w:fill="auto"/>
          </w:tcPr>
          <w:p w14:paraId="7B6E7AA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38,33</w:t>
            </w:r>
          </w:p>
        </w:tc>
        <w:tc>
          <w:tcPr>
            <w:tcW w:w="0" w:type="auto"/>
            <w:vAlign w:val="center"/>
            <w:hideMark/>
            <w:shd w:val="clear" w:color="auto" w:fill="auto"/>
          </w:tcPr>
          <w:p w14:paraId="5864523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740 771</w:t>
            </w:r>
          </w:p>
        </w:tc>
        <w:tc>
          <w:tcPr>
            <w:tcW w:w="0" w:type="auto"/>
            <w:vAlign w:val="center"/>
            <w:hideMark/>
            <w:shd w:val="clear" w:color="auto" w:fill="auto"/>
          </w:tcPr>
          <w:p w14:paraId="1BB2605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38,18</w:t>
            </w:r>
          </w:p>
        </w:tc>
      </w:tr>
      <w:tr w:rsidR="000005A2" w:rsidRPr="000005A2" w14:paraId="20B37C99" w14:textId="77777777">
        <w:trPr>
          <w:tblCellSpacing w:w="15" w:type="dxa"/>
          <w:cantSplit/>
        </w:trPr>
        <w:tc>
          <w:tcPr>
            <w:tcW w:w="0" w:type="auto"/>
            <w:vAlign w:val="center"/>
            <w:hideMark/>
            <w:shd w:val="clear" w:color="auto" w:fill="auto"/>
          </w:tcPr>
          <w:p w14:paraId="606321B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Коммерческие расходы</w:t>
            </w:r>
          </w:p>
        </w:tc>
        <w:tc>
          <w:tcPr>
            <w:tcW w:w="0" w:type="auto"/>
            <w:vAlign w:val="center"/>
            <w:hideMark/>
            <w:shd w:val="clear" w:color="auto" w:fill="auto"/>
          </w:tcPr>
          <w:p w14:paraId="5610565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254 860</w:t>
            </w:r>
          </w:p>
        </w:tc>
        <w:tc>
          <w:tcPr>
            <w:tcW w:w="0" w:type="auto"/>
            <w:vAlign w:val="center"/>
            <w:hideMark/>
            <w:shd w:val="clear" w:color="auto" w:fill="auto"/>
          </w:tcPr>
          <w:p w14:paraId="4BCC6B8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22,19</w:t>
            </w:r>
          </w:p>
        </w:tc>
        <w:tc>
          <w:tcPr>
            <w:tcW w:w="0" w:type="auto"/>
            <w:vAlign w:val="center"/>
            <w:hideMark/>
            <w:shd w:val="clear" w:color="auto" w:fill="auto"/>
          </w:tcPr>
          <w:p w14:paraId="7C459E1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487 360</w:t>
            </w:r>
          </w:p>
        </w:tc>
        <w:tc>
          <w:tcPr>
            <w:tcW w:w="0" w:type="auto"/>
            <w:vAlign w:val="center"/>
            <w:hideMark/>
            <w:shd w:val="clear" w:color="auto" w:fill="auto"/>
          </w:tcPr>
          <w:p w14:paraId="15CEAAD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26,06</w:t>
            </w:r>
          </w:p>
        </w:tc>
        <w:tc>
          <w:tcPr>
            <w:tcW w:w="0" w:type="auto"/>
            <w:vAlign w:val="center"/>
            <w:hideMark/>
            <w:shd w:val="clear" w:color="auto" w:fill="auto"/>
          </w:tcPr>
          <w:p w14:paraId="347D469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517 162</w:t>
            </w:r>
          </w:p>
        </w:tc>
        <w:tc>
          <w:tcPr>
            <w:tcW w:w="0" w:type="auto"/>
            <w:vAlign w:val="center"/>
            <w:hideMark/>
            <w:shd w:val="clear" w:color="auto" w:fill="auto"/>
          </w:tcPr>
          <w:p w14:paraId="4509B6B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26,65</w:t>
            </w:r>
          </w:p>
        </w:tc>
      </w:tr>
      <w:tr w:rsidR="000005A2" w:rsidRPr="000005A2" w14:paraId="7F96E27D" w14:textId="77777777">
        <w:trPr>
          <w:tblCellSpacing w:w="15" w:type="dxa"/>
          <w:cantSplit/>
        </w:trPr>
        <w:tc>
          <w:tcPr>
            <w:tcW w:w="0" w:type="auto"/>
            <w:vAlign w:val="center"/>
            <w:hideMark/>
            <w:shd w:val="clear" w:color="auto" w:fill="auto"/>
          </w:tcPr>
          <w:p w14:paraId="20BFC59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Прибыль от продаж</w:t>
            </w:r>
          </w:p>
        </w:tc>
        <w:tc>
          <w:tcPr>
            <w:tcW w:w="0" w:type="auto"/>
            <w:vAlign w:val="center"/>
            <w:hideMark/>
            <w:shd w:val="clear" w:color="auto" w:fill="auto"/>
          </w:tcPr>
          <w:p w14:paraId="780ADFD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231 515</w:t>
            </w:r>
          </w:p>
        </w:tc>
        <w:tc>
          <w:tcPr>
            <w:tcW w:w="0" w:type="auto"/>
            <w:vAlign w:val="center"/>
            <w:hideMark/>
            <w:shd w:val="clear" w:color="auto" w:fill="auto"/>
          </w:tcPr>
          <w:p w14:paraId="5439C2E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20,15</w:t>
            </w:r>
          </w:p>
        </w:tc>
        <w:tc>
          <w:tcPr>
            <w:tcW w:w="0" w:type="auto"/>
            <w:vAlign w:val="center"/>
            <w:hideMark/>
            <w:shd w:val="clear" w:color="auto" w:fill="auto"/>
          </w:tcPr>
          <w:p w14:paraId="46F6C73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229 595</w:t>
            </w:r>
          </w:p>
        </w:tc>
        <w:tc>
          <w:tcPr>
            <w:tcW w:w="0" w:type="auto"/>
            <w:vAlign w:val="center"/>
            <w:hideMark/>
            <w:shd w:val="clear" w:color="auto" w:fill="auto"/>
          </w:tcPr>
          <w:p w14:paraId="0444BA9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12,28</w:t>
            </w:r>
          </w:p>
        </w:tc>
        <w:tc>
          <w:tcPr>
            <w:tcW w:w="0" w:type="auto"/>
            <w:vAlign w:val="center"/>
            <w:hideMark/>
            <w:shd w:val="clear" w:color="auto" w:fill="auto"/>
          </w:tcPr>
          <w:p w14:paraId="5BB7A64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223 609</w:t>
            </w:r>
          </w:p>
        </w:tc>
        <w:tc>
          <w:tcPr>
            <w:tcW w:w="0" w:type="auto"/>
            <w:vAlign w:val="center"/>
            <w:hideMark/>
            <w:shd w:val="clear" w:color="auto" w:fill="auto"/>
          </w:tcPr>
          <w:p w14:paraId="2F73913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11,53</w:t>
            </w:r>
          </w:p>
        </w:tc>
      </w:tr>
      <w:tr w:rsidR="000005A2" w:rsidRPr="000005A2" w14:paraId="62CCB4BE" w14:textId="77777777">
        <w:trPr>
          <w:tblCellSpacing w:w="15" w:type="dxa"/>
          <w:cantSplit/>
        </w:trPr>
        <w:tc>
          <w:tcPr>
            <w:tcW w:w="0" w:type="auto"/>
            <w:vAlign w:val="center"/>
            <w:hideMark/>
            <w:shd w:val="clear" w:color="auto" w:fill="auto"/>
          </w:tcPr>
          <w:p w14:paraId="5A7BCAB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Прибыль до налогообложения</w:t>
            </w:r>
          </w:p>
        </w:tc>
        <w:tc>
          <w:tcPr>
            <w:tcW w:w="0" w:type="auto"/>
            <w:vAlign w:val="center"/>
            <w:hideMark/>
            <w:shd w:val="clear" w:color="auto" w:fill="auto"/>
          </w:tcPr>
          <w:p w14:paraId="5A1DEC9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235 736</w:t>
            </w:r>
          </w:p>
        </w:tc>
        <w:tc>
          <w:tcPr>
            <w:tcW w:w="0" w:type="auto"/>
            <w:vAlign w:val="center"/>
            <w:hideMark/>
            <w:shd w:val="clear" w:color="auto" w:fill="auto"/>
          </w:tcPr>
          <w:p w14:paraId="490AF3B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20,52</w:t>
            </w:r>
          </w:p>
        </w:tc>
        <w:tc>
          <w:tcPr>
            <w:tcW w:w="0" w:type="auto"/>
            <w:vAlign w:val="center"/>
            <w:hideMark/>
            <w:shd w:val="clear" w:color="auto" w:fill="auto"/>
          </w:tcPr>
          <w:p w14:paraId="4435760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203 752</w:t>
            </w:r>
          </w:p>
        </w:tc>
        <w:tc>
          <w:tcPr>
            <w:tcW w:w="0" w:type="auto"/>
            <w:vAlign w:val="center"/>
            <w:hideMark/>
            <w:shd w:val="clear" w:color="auto" w:fill="auto"/>
          </w:tcPr>
          <w:p w14:paraId="51FE82C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10,89</w:t>
            </w:r>
          </w:p>
        </w:tc>
        <w:tc>
          <w:tcPr>
            <w:tcW w:w="0" w:type="auto"/>
            <w:vAlign w:val="center"/>
            <w:hideMark/>
            <w:shd w:val="clear" w:color="auto" w:fill="auto"/>
          </w:tcPr>
          <w:p w14:paraId="2BEBCCA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203 169</w:t>
            </w:r>
          </w:p>
        </w:tc>
        <w:tc>
          <w:tcPr>
            <w:tcW w:w="0" w:type="auto"/>
            <w:vAlign w:val="center"/>
            <w:hideMark/>
            <w:shd w:val="clear" w:color="auto" w:fill="auto"/>
          </w:tcPr>
          <w:p w14:paraId="101723F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10,47</w:t>
            </w:r>
          </w:p>
        </w:tc>
      </w:tr>
      <w:tr w:rsidR="000005A2" w:rsidRPr="000005A2" w14:paraId="2DD4BEB2" w14:textId="77777777">
        <w:trPr>
          <w:tblCellSpacing w:w="15" w:type="dxa"/>
          <w:cantSplit/>
        </w:trPr>
        <w:tc>
          <w:tcPr>
            <w:tcW w:w="0" w:type="auto"/>
            <w:vAlign w:val="center"/>
            <w:hideMark/>
            <w:shd w:val="clear" w:color="auto" w:fill="auto"/>
          </w:tcPr>
          <w:p w14:paraId="623EC55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Чистая прибыль</w:t>
            </w:r>
          </w:p>
        </w:tc>
        <w:tc>
          <w:tcPr>
            <w:tcW w:w="0" w:type="auto"/>
            <w:vAlign w:val="center"/>
            <w:hideMark/>
            <w:shd w:val="clear" w:color="auto" w:fill="auto"/>
          </w:tcPr>
          <w:p w14:paraId="1D24D50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187 443</w:t>
            </w:r>
          </w:p>
        </w:tc>
        <w:tc>
          <w:tcPr>
            <w:tcW w:w="0" w:type="auto"/>
            <w:vAlign w:val="center"/>
            <w:hideMark/>
            <w:shd w:val="clear" w:color="auto" w:fill="auto"/>
          </w:tcPr>
          <w:p w14:paraId="290C1E4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16,32</w:t>
            </w:r>
          </w:p>
        </w:tc>
        <w:tc>
          <w:tcPr>
            <w:tcW w:w="0" w:type="auto"/>
            <w:vAlign w:val="center"/>
            <w:hideMark/>
            <w:shd w:val="clear" w:color="auto" w:fill="auto"/>
          </w:tcPr>
          <w:p w14:paraId="50F2ED0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162 784</w:t>
            </w:r>
          </w:p>
        </w:tc>
        <w:tc>
          <w:tcPr>
            <w:tcW w:w="0" w:type="auto"/>
            <w:vAlign w:val="center"/>
            <w:hideMark/>
            <w:shd w:val="clear" w:color="auto" w:fill="auto"/>
          </w:tcPr>
          <w:p w14:paraId="127CE258"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8,70</w:t>
            </w:r>
          </w:p>
        </w:tc>
        <w:tc>
          <w:tcPr>
            <w:tcW w:w="0" w:type="auto"/>
            <w:vAlign w:val="center"/>
            <w:hideMark/>
            <w:shd w:val="clear" w:color="auto" w:fill="auto"/>
          </w:tcPr>
          <w:p w14:paraId="5C03FC8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150 088</w:t>
            </w:r>
          </w:p>
        </w:tc>
        <w:tc>
          <w:tcPr>
            <w:tcW w:w="0" w:type="auto"/>
            <w:vAlign w:val="center"/>
            <w:hideMark/>
            <w:shd w:val="clear" w:color="auto" w:fill="auto"/>
          </w:tcPr>
          <w:p w14:paraId="1FFC51A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7,74</w:t>
            </w:r>
          </w:p>
        </w:tc>
      </w:tr>
    </w:tbl>
    <w:p>
      <w:pPr>
        <w:spacing w:before="0" w:after="0" w:line="360" w:lineRule="auto"/>
        <w:ind w:left="0" w:right="0" w:firstLine="709"/>
        <w:jc w:val="both"/>
      </w:pPr>
      <w:r>
        <w:rPr>
          <w:rFonts w:ascii="Times New Roman" w:hAnsi="Times New Roman" w:eastAsia="Times New Roman"/>
          <w:b w:val="0"/>
          <w:sz w:val="28"/>
        </w:rPr>
        <w:t>Структурный анализ финансовых результатов показывает, что доля себестоимости в выручке выросла с 57,66 до 61,82%, а доля коммерческих расходов — с 22,19 до 26,65%. В результате доля прибыли от продаж сократилась с 20,15 до 11,53%, а чистой прибыли — с 16,32 до 7,74%. Следовательно, рост выручки не сопровождался сопоставимым повышением эффективности.</w:t>
      </w:r>
    </w:p>
    <w:p w14:paraId="55A47C64"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2.11 – Рентабельность капитала, продукции и продаж</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36"/>
        <w:gridCol w:w="1129"/>
        <w:gridCol w:w="1129"/>
        <w:gridCol w:w="1144"/>
      </w:tblGrid>
      <w:tr w:rsidR="000005A2" w:rsidRPr="000005A2" w14:paraId="70AC938B" w14:textId="77777777">
        <w:trPr>
          <w:tblHeader w:val="true"/>
          <w:tblCellSpacing w:w="15" w:type="dxa"/>
          <w:tblHeader w:val="true"/>
          <w:cantSplit/>
        </w:trPr>
        <w:tc>
          <w:tcPr>
            <w:tcW w:w="0" w:type="auto"/>
            <w:vAlign w:val="center"/>
            <w:hideMark/>
            <w:shd w:val="clear" w:color="auto" w:fill="auto"/>
          </w:tcPr>
          <w:p w14:paraId="2244FE58"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4BDE2CAA"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 %</w:t>
            </w:r>
          </w:p>
        </w:tc>
        <w:tc>
          <w:tcPr>
            <w:tcW w:w="0" w:type="auto"/>
            <w:vAlign w:val="center"/>
            <w:hideMark/>
            <w:shd w:val="clear" w:color="auto" w:fill="auto"/>
          </w:tcPr>
          <w:p w14:paraId="25646687"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2024 г., %</w:t>
            </w:r>
          </w:p>
        </w:tc>
        <w:tc>
          <w:tcPr>
            <w:tcW w:w="0" w:type="auto"/>
            <w:vAlign w:val="center"/>
            <w:hideMark/>
            <w:shd w:val="clear" w:color="auto" w:fill="auto"/>
          </w:tcPr>
          <w:p w14:paraId="17BE0AAF"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 %</w:t>
            </w:r>
          </w:p>
        </w:tc>
      </w:tr>
      <w:tr w:rsidR="000005A2" w:rsidRPr="000005A2" w14:paraId="6C903ED4" w14:textId="77777777">
        <w:trPr>
          <w:tblCellSpacing w:w="15" w:type="dxa"/>
          <w:cantSplit/>
        </w:trPr>
        <w:tc>
          <w:tcPr>
            <w:tcW w:w="0" w:type="auto"/>
            <w:vAlign w:val="center"/>
            <w:hideMark/>
            <w:shd w:val="clear" w:color="auto" w:fill="auto"/>
          </w:tcPr>
          <w:p w14:paraId="27A52FA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Рентабельность всего капитала</w:t>
            </w:r>
          </w:p>
        </w:tc>
        <w:tc>
          <w:tcPr>
            <w:tcW w:w="0" w:type="auto"/>
            <w:vAlign w:val="center"/>
            <w:hideMark/>
            <w:shd w:val="clear" w:color="auto" w:fill="auto"/>
          </w:tcPr>
          <w:p w14:paraId="072148A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28,76</w:t>
            </w:r>
          </w:p>
        </w:tc>
        <w:tc>
          <w:tcPr>
            <w:tcW w:w="0" w:type="auto"/>
            <w:vAlign w:val="center"/>
            <w:hideMark/>
            <w:shd w:val="clear" w:color="auto" w:fill="auto"/>
          </w:tcPr>
          <w:p w14:paraId="22EDBAC3"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14,75</w:t>
            </w:r>
          </w:p>
        </w:tc>
        <w:tc>
          <w:tcPr>
            <w:tcW w:w="0" w:type="auto"/>
            <w:vAlign w:val="center"/>
            <w:hideMark/>
            <w:shd w:val="clear" w:color="auto" w:fill="auto"/>
          </w:tcPr>
          <w:p w14:paraId="1522A13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11,95</w:t>
            </w:r>
          </w:p>
        </w:tc>
      </w:tr>
      <w:tr w:rsidR="000005A2" w:rsidRPr="000005A2" w14:paraId="6C40B039" w14:textId="77777777">
        <w:trPr>
          <w:tblCellSpacing w:w="15" w:type="dxa"/>
          <w:cantSplit/>
        </w:trPr>
        <w:tc>
          <w:tcPr>
            <w:tcW w:w="0" w:type="auto"/>
            <w:vAlign w:val="center"/>
            <w:hideMark/>
            <w:shd w:val="clear" w:color="auto" w:fill="auto"/>
          </w:tcPr>
          <w:p w14:paraId="74C74885"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Рентабельность собственного капитала</w:t>
            </w:r>
          </w:p>
        </w:tc>
        <w:tc>
          <w:tcPr>
            <w:tcW w:w="0" w:type="auto"/>
            <w:vAlign w:val="center"/>
            <w:hideMark/>
            <w:shd w:val="clear" w:color="auto" w:fill="auto"/>
          </w:tcPr>
          <w:p w14:paraId="1C35F9C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104,99</w:t>
            </w:r>
          </w:p>
        </w:tc>
        <w:tc>
          <w:tcPr>
            <w:tcW w:w="0" w:type="auto"/>
            <w:vAlign w:val="center"/>
            <w:hideMark/>
            <w:shd w:val="clear" w:color="auto" w:fill="auto"/>
          </w:tcPr>
          <w:p w14:paraId="5DBAEFB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48,97</w:t>
            </w:r>
          </w:p>
        </w:tc>
        <w:tc>
          <w:tcPr>
            <w:tcW w:w="0" w:type="auto"/>
            <w:vAlign w:val="center"/>
            <w:hideMark/>
            <w:shd w:val="clear" w:color="auto" w:fill="auto"/>
          </w:tcPr>
          <w:p w14:paraId="678B762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32,76</w:t>
            </w:r>
          </w:p>
        </w:tc>
      </w:tr>
      <w:tr w:rsidR="000005A2" w:rsidRPr="000005A2" w14:paraId="7E03209F" w14:textId="77777777">
        <w:trPr>
          <w:tblCellSpacing w:w="15" w:type="dxa"/>
          <w:cantSplit/>
        </w:trPr>
        <w:tc>
          <w:tcPr>
            <w:tcW w:w="0" w:type="auto"/>
            <w:vAlign w:val="center"/>
            <w:hideMark/>
            <w:shd w:val="clear" w:color="auto" w:fill="auto"/>
          </w:tcPr>
          <w:p w14:paraId="08B576C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Рентабельность основных средств</w:t>
            </w:r>
          </w:p>
        </w:tc>
        <w:tc>
          <w:tcPr>
            <w:tcW w:w="0" w:type="auto"/>
            <w:vAlign w:val="center"/>
            <w:hideMark/>
            <w:shd w:val="clear" w:color="auto" w:fill="auto"/>
          </w:tcPr>
          <w:p w14:paraId="349AF56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8 003,54</w:t>
            </w:r>
          </w:p>
        </w:tc>
        <w:tc>
          <w:tcPr>
            <w:tcW w:w="0" w:type="auto"/>
            <w:vAlign w:val="center"/>
            <w:hideMark/>
            <w:shd w:val="clear" w:color="auto" w:fill="auto"/>
          </w:tcPr>
          <w:p w14:paraId="37C652D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4 035,30</w:t>
            </w:r>
          </w:p>
        </w:tc>
        <w:tc>
          <w:tcPr>
            <w:tcW w:w="0" w:type="auto"/>
            <w:vAlign w:val="center"/>
            <w:hideMark/>
            <w:shd w:val="clear" w:color="auto" w:fill="auto"/>
          </w:tcPr>
          <w:p w14:paraId="4E646F0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2 213,36</w:t>
            </w:r>
          </w:p>
        </w:tc>
      </w:tr>
      <w:tr w:rsidR="000005A2" w:rsidRPr="000005A2" w14:paraId="568C1280" w14:textId="77777777">
        <w:trPr>
          <w:tblCellSpacing w:w="15" w:type="dxa"/>
          <w:cantSplit/>
        </w:trPr>
        <w:tc>
          <w:tcPr>
            <w:tcW w:w="0" w:type="auto"/>
            <w:vAlign w:val="center"/>
            <w:hideMark/>
            <w:shd w:val="clear" w:color="auto" w:fill="auto"/>
          </w:tcPr>
          <w:p w14:paraId="59077ADB"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Рентабельность оборотных средств</w:t>
            </w:r>
          </w:p>
        </w:tc>
        <w:tc>
          <w:tcPr>
            <w:tcW w:w="0" w:type="auto"/>
            <w:vAlign w:val="center"/>
            <w:hideMark/>
            <w:shd w:val="clear" w:color="auto" w:fill="auto"/>
          </w:tcPr>
          <w:p w14:paraId="0F01109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28,86</w:t>
            </w:r>
          </w:p>
        </w:tc>
        <w:tc>
          <w:tcPr>
            <w:tcW w:w="0" w:type="auto"/>
            <w:vAlign w:val="center"/>
            <w:hideMark/>
            <w:shd w:val="clear" w:color="auto" w:fill="auto"/>
          </w:tcPr>
          <w:p w14:paraId="36E5E29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14,80</w:t>
            </w:r>
          </w:p>
        </w:tc>
        <w:tc>
          <w:tcPr>
            <w:tcW w:w="0" w:type="auto"/>
            <w:vAlign w:val="center"/>
            <w:hideMark/>
            <w:shd w:val="clear" w:color="auto" w:fill="auto"/>
          </w:tcPr>
          <w:p w14:paraId="2C33B3F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12,02</w:t>
            </w:r>
          </w:p>
        </w:tc>
      </w:tr>
      <w:tr w:rsidR="000005A2" w:rsidRPr="000005A2" w14:paraId="02D414E6" w14:textId="77777777">
        <w:trPr>
          <w:tblCellSpacing w:w="15" w:type="dxa"/>
          <w:cantSplit/>
        </w:trPr>
        <w:tc>
          <w:tcPr>
            <w:tcW w:w="0" w:type="auto"/>
            <w:vAlign w:val="center"/>
            <w:hideMark/>
            <w:shd w:val="clear" w:color="auto" w:fill="auto"/>
          </w:tcPr>
          <w:p w14:paraId="56AE976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Рентабельность реализованной продукции</w:t>
            </w:r>
          </w:p>
        </w:tc>
        <w:tc>
          <w:tcPr>
            <w:tcW w:w="0" w:type="auto"/>
            <w:vAlign w:val="center"/>
            <w:hideMark/>
            <w:shd w:val="clear" w:color="auto" w:fill="auto"/>
          </w:tcPr>
          <w:p w14:paraId="02F45C7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25,24</w:t>
            </w:r>
          </w:p>
        </w:tc>
        <w:tc>
          <w:tcPr>
            <w:tcW w:w="0" w:type="auto"/>
            <w:vAlign w:val="center"/>
            <w:hideMark/>
            <w:shd w:val="clear" w:color="auto" w:fill="auto"/>
          </w:tcPr>
          <w:p w14:paraId="738CCEB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13,99</w:t>
            </w:r>
          </w:p>
        </w:tc>
        <w:tc>
          <w:tcPr>
            <w:tcW w:w="0" w:type="auto"/>
            <w:vAlign w:val="center"/>
            <w:hideMark/>
            <w:shd w:val="clear" w:color="auto" w:fill="auto"/>
          </w:tcPr>
          <w:p w14:paraId="7BE45D1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13,03</w:t>
            </w:r>
          </w:p>
        </w:tc>
      </w:tr>
      <w:tr w:rsidR="000005A2" w:rsidRPr="000005A2" w14:paraId="78B91478" w14:textId="77777777">
        <w:trPr>
          <w:tblCellSpacing w:w="15" w:type="dxa"/>
          <w:cantSplit/>
        </w:trPr>
        <w:tc>
          <w:tcPr>
            <w:tcW w:w="0" w:type="auto"/>
            <w:vAlign w:val="center"/>
            <w:hideMark/>
            <w:shd w:val="clear" w:color="auto" w:fill="auto"/>
          </w:tcPr>
          <w:p w14:paraId="1D32716E"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lastRenderedPageBreak/>
              <w:t>Рентабельность продаж</w:t>
            </w:r>
          </w:p>
        </w:tc>
        <w:tc>
          <w:tcPr>
            <w:tcW w:w="0" w:type="auto"/>
            <w:vAlign w:val="center"/>
            <w:hideMark/>
            <w:shd w:val="clear" w:color="auto" w:fill="auto"/>
          </w:tcPr>
          <w:p w14:paraId="3336537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20,15</w:t>
            </w:r>
          </w:p>
        </w:tc>
        <w:tc>
          <w:tcPr>
            <w:tcW w:w="0" w:type="auto"/>
            <w:vAlign w:val="center"/>
            <w:hideMark/>
            <w:shd w:val="clear" w:color="auto" w:fill="auto"/>
          </w:tcPr>
          <w:p w14:paraId="462BF5A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12,28</w:t>
            </w:r>
          </w:p>
        </w:tc>
        <w:tc>
          <w:tcPr>
            <w:tcW w:w="0" w:type="auto"/>
            <w:vAlign w:val="center"/>
            <w:hideMark/>
            <w:shd w:val="clear" w:color="auto" w:fill="auto"/>
          </w:tcPr>
          <w:p w14:paraId="1F7C258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11,53</w:t>
            </w:r>
          </w:p>
        </w:tc>
      </w:tr>
    </w:tbl>
    <w:p>
      <w:pPr>
        <w:spacing w:before="0" w:after="0" w:line="360" w:lineRule="auto"/>
        <w:ind w:left="0" w:right="0" w:firstLine="709"/>
        <w:jc w:val="both"/>
      </w:pPr>
      <w:r>
        <w:rPr>
          <w:rFonts w:ascii="Times New Roman" w:hAnsi="Times New Roman" w:eastAsia="Times New Roman"/>
          <w:b w:val="0"/>
          <w:sz w:val="28"/>
        </w:rPr>
        <w:t>Все показатели рентабельности за рассматриваемый период снизились. Рентабельность всего капитала уменьшилась с 28,76 до 11,95%, собственного капитала — со 104,99 до 32,76%, продаж — с 20,15 до 11,53%. Основная причина заключается в снижении маржинальности продаж при одновременном увеличении капитала и стоимости используемых ресурсов.</w:t>
      </w:r>
    </w:p>
    <w:p w14:paraId="6F532AAA"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2.12 – «Золотое правило экономики»</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7"/>
        <w:gridCol w:w="1020"/>
        <w:gridCol w:w="1020"/>
        <w:gridCol w:w="1662"/>
      </w:tblGrid>
      <w:tr w:rsidR="000005A2" w:rsidRPr="000005A2" w14:paraId="023748E6" w14:textId="77777777">
        <w:trPr>
          <w:tblHeader w:val="true"/>
          <w:tblCellSpacing w:w="15" w:type="dxa"/>
          <w:tblHeader w:val="true"/>
          <w:cantSplit/>
        </w:trPr>
        <w:tc>
          <w:tcPr>
            <w:tcW w:w="0" w:type="auto"/>
            <w:vAlign w:val="center"/>
            <w:hideMark/>
            <w:shd w:val="clear" w:color="auto" w:fill="auto"/>
          </w:tcPr>
          <w:p w14:paraId="6498AB53"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4FF17AD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w:t>
            </w:r>
          </w:p>
        </w:tc>
        <w:tc>
          <w:tcPr>
            <w:tcW w:w="0" w:type="auto"/>
            <w:vAlign w:val="center"/>
            <w:hideMark/>
            <w:shd w:val="clear" w:color="auto" w:fill="auto"/>
          </w:tcPr>
          <w:p w14:paraId="7E01CB2A"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w:t>
            </w:r>
          </w:p>
        </w:tc>
        <w:tc>
          <w:tcPr>
            <w:tcW w:w="0" w:type="auto"/>
            <w:vAlign w:val="center"/>
            <w:hideMark/>
            <w:shd w:val="clear" w:color="auto" w:fill="auto"/>
          </w:tcPr>
          <w:p w14:paraId="25DBF449"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Темп роста, %</w:t>
            </w:r>
          </w:p>
        </w:tc>
      </w:tr>
      <w:tr w:rsidR="000005A2" w:rsidRPr="000005A2" w14:paraId="54F6FF64" w14:textId="77777777">
        <w:trPr>
          <w:tblCellSpacing w:w="15" w:type="dxa"/>
          <w:cantSplit/>
        </w:trPr>
        <w:tc>
          <w:tcPr>
            <w:tcW w:w="0" w:type="auto"/>
            <w:vAlign w:val="center"/>
            <w:hideMark/>
            <w:shd w:val="clear" w:color="auto" w:fill="auto"/>
          </w:tcPr>
          <w:p w14:paraId="1DF451C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Среднегодовые активы, тыс. руб.</w:t>
            </w:r>
          </w:p>
        </w:tc>
        <w:tc>
          <w:tcPr>
            <w:tcW w:w="0" w:type="auto"/>
            <w:vAlign w:val="center"/>
            <w:hideMark/>
            <w:shd w:val="clear" w:color="auto" w:fill="auto"/>
          </w:tcPr>
          <w:p w14:paraId="40F14DC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651 733,5</w:t>
            </w:r>
          </w:p>
        </w:tc>
        <w:tc>
          <w:tcPr>
            <w:tcW w:w="0" w:type="auto"/>
            <w:vAlign w:val="center"/>
            <w:hideMark/>
            <w:shd w:val="clear" w:color="auto" w:fill="auto"/>
          </w:tcPr>
          <w:p w14:paraId="0441B50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1 255 565</w:t>
            </w:r>
          </w:p>
        </w:tc>
        <w:tc>
          <w:tcPr>
            <w:tcW w:w="0" w:type="auto"/>
            <w:vAlign w:val="center"/>
            <w:hideMark/>
            <w:shd w:val="clear" w:color="auto" w:fill="auto"/>
          </w:tcPr>
          <w:p w14:paraId="67CA3F9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192,68</w:t>
            </w:r>
          </w:p>
        </w:tc>
      </w:tr>
      <w:tr w:rsidR="000005A2" w:rsidRPr="000005A2" w14:paraId="21436AE5" w14:textId="77777777">
        <w:trPr>
          <w:tblCellSpacing w:w="15" w:type="dxa"/>
          <w:cantSplit/>
        </w:trPr>
        <w:tc>
          <w:tcPr>
            <w:tcW w:w="0" w:type="auto"/>
            <w:vAlign w:val="center"/>
            <w:hideMark/>
            <w:shd w:val="clear" w:color="auto" w:fill="auto"/>
          </w:tcPr>
          <w:p w14:paraId="22B07041"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Выручка, тыс. руб.</w:t>
            </w:r>
          </w:p>
        </w:tc>
        <w:tc>
          <w:tcPr>
            <w:tcW w:w="0" w:type="auto"/>
            <w:vAlign w:val="center"/>
            <w:hideMark/>
            <w:shd w:val="clear" w:color="auto" w:fill="auto"/>
          </w:tcPr>
          <w:p w14:paraId="65CF27AE"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1 148 812</w:t>
            </w:r>
          </w:p>
        </w:tc>
        <w:tc>
          <w:tcPr>
            <w:tcW w:w="0" w:type="auto"/>
            <w:vAlign w:val="center"/>
            <w:hideMark/>
            <w:shd w:val="clear" w:color="auto" w:fill="auto"/>
          </w:tcPr>
          <w:p w14:paraId="573235A5"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1 940 248</w:t>
            </w:r>
          </w:p>
        </w:tc>
        <w:tc>
          <w:tcPr>
            <w:tcW w:w="0" w:type="auto"/>
            <w:vAlign w:val="center"/>
            <w:hideMark/>
            <w:shd w:val="clear" w:color="auto" w:fill="auto"/>
          </w:tcPr>
          <w:p w14:paraId="3C40E95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168,89</w:t>
            </w:r>
          </w:p>
        </w:tc>
      </w:tr>
      <w:tr w:rsidR="000005A2" w:rsidRPr="000005A2" w14:paraId="632AD9F8" w14:textId="77777777">
        <w:trPr>
          <w:tblCellSpacing w:w="15" w:type="dxa"/>
          <w:cantSplit/>
        </w:trPr>
        <w:tc>
          <w:tcPr>
            <w:tcW w:w="0" w:type="auto"/>
            <w:vAlign w:val="center"/>
            <w:hideMark/>
            <w:shd w:val="clear" w:color="auto" w:fill="auto"/>
          </w:tcPr>
          <w:p w14:paraId="32689BF3"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Прибыль от продаж, тыс. руб.</w:t>
            </w:r>
          </w:p>
        </w:tc>
        <w:tc>
          <w:tcPr>
            <w:tcW w:w="0" w:type="auto"/>
            <w:vAlign w:val="center"/>
            <w:hideMark/>
            <w:shd w:val="clear" w:color="auto" w:fill="auto"/>
          </w:tcPr>
          <w:p w14:paraId="72337B1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231 515</w:t>
            </w:r>
          </w:p>
        </w:tc>
        <w:tc>
          <w:tcPr>
            <w:tcW w:w="0" w:type="auto"/>
            <w:vAlign w:val="center"/>
            <w:hideMark/>
            <w:shd w:val="clear" w:color="auto" w:fill="auto"/>
          </w:tcPr>
          <w:p w14:paraId="3C05011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223 609</w:t>
            </w:r>
          </w:p>
        </w:tc>
        <w:tc>
          <w:tcPr>
            <w:tcW w:w="0" w:type="auto"/>
            <w:vAlign w:val="center"/>
            <w:hideMark/>
            <w:shd w:val="clear" w:color="auto" w:fill="auto"/>
          </w:tcPr>
          <w:p w14:paraId="27076E9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96,59</w:t>
            </w:r>
          </w:p>
        </w:tc>
      </w:tr>
    </w:tbl>
    <w:p>
      <w:pPr>
        <w:spacing w:before="0" w:after="0" w:line="360" w:lineRule="auto"/>
        <w:ind w:left="0" w:right="0" w:firstLine="709"/>
        <w:jc w:val="both"/>
      </w:pPr>
      <w:r>
        <w:rPr>
          <w:rFonts w:ascii="Times New Roman" w:hAnsi="Times New Roman" w:eastAsia="Times New Roman"/>
          <w:b w:val="0"/>
          <w:sz w:val="28"/>
        </w:rPr>
        <w:t>Темп роста активов составил 192,68%, выручки — 168,89%, тогда как прибыль от продаж снизилась до 96,59% уровня 2023 г. Таким образом, золотое правило экономики организации не выполняется: активы растут быстрее выручки, а прибыль не демонстрирует роста. Это подтверждает необходимость ускорения оборачиваемости и контроля затрат.</w:t>
      </w:r>
    </w:p>
    <w:p w14:paraId="7DF8D8A1"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2.13 – Факторный анализ рентабельности активов</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44"/>
        <w:gridCol w:w="1386"/>
        <w:gridCol w:w="1438"/>
      </w:tblGrid>
      <w:tr w:rsidR="000005A2" w:rsidRPr="000005A2" w14:paraId="572F0920" w14:textId="77777777">
        <w:trPr>
          <w:tblHeader w:val="true"/>
          <w:tblCellSpacing w:w="15" w:type="dxa"/>
          <w:tblHeader w:val="true"/>
          <w:cantSplit/>
        </w:trPr>
        <w:tc>
          <w:tcPr>
            <w:tcW w:w="0" w:type="auto"/>
            <w:vAlign w:val="center"/>
            <w:hideMark/>
            <w:shd w:val="clear" w:color="auto" w:fill="auto"/>
          </w:tcPr>
          <w:p w14:paraId="4E9B9B03"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4296AC1D"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 (баз.)</w:t>
            </w:r>
          </w:p>
        </w:tc>
        <w:tc>
          <w:tcPr>
            <w:tcW w:w="0" w:type="auto"/>
            <w:vAlign w:val="center"/>
            <w:hideMark/>
            <w:shd w:val="clear" w:color="auto" w:fill="auto"/>
          </w:tcPr>
          <w:p w14:paraId="2955AF33"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 (</w:t>
            </w:r>
            <w:proofErr w:type="spellStart"/>
            <w:r w:rsidRPr="000005A2">
              <w:rPr>
                <w:rFonts w:eastAsia="Times New Roman" w:cs="Times New Roman" w:ascii="Times New Roman" w:hAnsi="Times New Roman"/>
                <w:b w:val="0"/>
                <w:bCs/>
                <w:i w:val="0"/>
                <w:kern w:val="0"/>
                <w:sz w:val="24"/>
                <w:lang w:eastAsia="ru-RU"/>
                <w14:ligatures w14:val="none"/>
              </w:rPr>
              <w:t>отч</w:t>
            </w:r>
            <w:proofErr w:type="spellEnd"/>
            <w:r w:rsidRPr="000005A2">
              <w:rPr>
                <w:rFonts w:eastAsia="Times New Roman" w:cs="Times New Roman" w:ascii="Times New Roman" w:hAnsi="Times New Roman"/>
                <w:b w:val="0"/>
                <w:bCs/>
                <w:i w:val="0"/>
                <w:kern w:val="0"/>
                <w:sz w:val="24"/>
                <w:lang w:eastAsia="ru-RU"/>
                <w14:ligatures w14:val="none"/>
              </w:rPr>
              <w:t>.)</w:t>
            </w:r>
          </w:p>
        </w:tc>
      </w:tr>
      <w:tr w:rsidR="000005A2" w:rsidRPr="000005A2" w14:paraId="0F61C401" w14:textId="77777777">
        <w:trPr>
          <w:tblCellSpacing w:w="15" w:type="dxa"/>
          <w:cantSplit/>
        </w:trPr>
        <w:tc>
          <w:tcPr>
            <w:tcW w:w="0" w:type="auto"/>
            <w:vAlign w:val="center"/>
            <w:hideMark/>
            <w:shd w:val="clear" w:color="auto" w:fill="auto"/>
          </w:tcPr>
          <w:p w14:paraId="427DE30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оборачиваемости собственного капитала</w:t>
            </w:r>
          </w:p>
        </w:tc>
        <w:tc>
          <w:tcPr>
            <w:tcW w:w="0" w:type="auto"/>
            <w:vAlign w:val="center"/>
            <w:hideMark/>
            <w:shd w:val="clear" w:color="auto" w:fill="auto"/>
          </w:tcPr>
          <w:p w14:paraId="727C15B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6,434</w:t>
            </w:r>
          </w:p>
        </w:tc>
        <w:tc>
          <w:tcPr>
            <w:tcW w:w="0" w:type="auto"/>
            <w:vAlign w:val="center"/>
            <w:hideMark/>
            <w:shd w:val="clear" w:color="auto" w:fill="auto"/>
          </w:tcPr>
          <w:p w14:paraId="1D598C2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4,235</w:t>
            </w:r>
          </w:p>
        </w:tc>
      </w:tr>
      <w:tr w:rsidR="000005A2" w:rsidRPr="000005A2" w14:paraId="7A50F184" w14:textId="77777777">
        <w:trPr>
          <w:tblCellSpacing w:w="15" w:type="dxa"/>
          <w:cantSplit/>
        </w:trPr>
        <w:tc>
          <w:tcPr>
            <w:tcW w:w="0" w:type="auto"/>
            <w:vAlign w:val="center"/>
            <w:hideMark/>
            <w:shd w:val="clear" w:color="auto" w:fill="auto"/>
          </w:tcPr>
          <w:p w14:paraId="34A91110"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концентрации собственного капитала</w:t>
            </w:r>
          </w:p>
        </w:tc>
        <w:tc>
          <w:tcPr>
            <w:tcW w:w="0" w:type="auto"/>
            <w:vAlign w:val="center"/>
            <w:hideMark/>
            <w:shd w:val="clear" w:color="auto" w:fill="auto"/>
          </w:tcPr>
          <w:p w14:paraId="55005D3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0,274</w:t>
            </w:r>
          </w:p>
        </w:tc>
        <w:tc>
          <w:tcPr>
            <w:tcW w:w="0" w:type="auto"/>
            <w:vAlign w:val="center"/>
            <w:hideMark/>
            <w:shd w:val="clear" w:color="auto" w:fill="auto"/>
          </w:tcPr>
          <w:p w14:paraId="0A04EEF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0,365</w:t>
            </w:r>
          </w:p>
        </w:tc>
      </w:tr>
      <w:tr w:rsidR="000005A2" w:rsidRPr="000005A2" w14:paraId="29C288AB" w14:textId="77777777">
        <w:trPr>
          <w:tblCellSpacing w:w="15" w:type="dxa"/>
          <w:cantSplit/>
        </w:trPr>
        <w:tc>
          <w:tcPr>
            <w:tcW w:w="0" w:type="auto"/>
            <w:vAlign w:val="center"/>
            <w:hideMark/>
            <w:shd w:val="clear" w:color="auto" w:fill="auto"/>
          </w:tcPr>
          <w:p w14:paraId="0E4E491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Рентабельность продаж по чистой прибыли, %</w:t>
            </w:r>
          </w:p>
        </w:tc>
        <w:tc>
          <w:tcPr>
            <w:tcW w:w="0" w:type="auto"/>
            <w:vAlign w:val="center"/>
            <w:hideMark/>
            <w:shd w:val="clear" w:color="auto" w:fill="auto"/>
          </w:tcPr>
          <w:p w14:paraId="6C56E62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16,32</w:t>
            </w:r>
          </w:p>
        </w:tc>
        <w:tc>
          <w:tcPr>
            <w:tcW w:w="0" w:type="auto"/>
            <w:vAlign w:val="center"/>
            <w:hideMark/>
            <w:shd w:val="clear" w:color="auto" w:fill="auto"/>
          </w:tcPr>
          <w:p w14:paraId="5CC918A0"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7,74</w:t>
            </w:r>
          </w:p>
        </w:tc>
      </w:tr>
      <w:tr w:rsidR="000005A2" w:rsidRPr="000005A2" w14:paraId="7D33F01C" w14:textId="77777777">
        <w:trPr>
          <w:tblCellSpacing w:w="15" w:type="dxa"/>
          <w:cantSplit/>
        </w:trPr>
        <w:tc>
          <w:tcPr>
            <w:tcW w:w="0" w:type="auto"/>
            <w:vAlign w:val="center"/>
            <w:hideMark/>
            <w:shd w:val="clear" w:color="auto" w:fill="auto"/>
          </w:tcPr>
          <w:p w14:paraId="2701DA18"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Рентабельность активов, %</w:t>
            </w:r>
          </w:p>
        </w:tc>
        <w:tc>
          <w:tcPr>
            <w:tcW w:w="0" w:type="auto"/>
            <w:vAlign w:val="center"/>
            <w:hideMark/>
            <w:shd w:val="clear" w:color="auto" w:fill="auto"/>
          </w:tcPr>
          <w:p w14:paraId="0D18999F"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28,76</w:t>
            </w:r>
          </w:p>
        </w:tc>
        <w:tc>
          <w:tcPr>
            <w:tcW w:w="0" w:type="auto"/>
            <w:vAlign w:val="center"/>
            <w:hideMark/>
            <w:shd w:val="clear" w:color="auto" w:fill="auto"/>
          </w:tcPr>
          <w:p w14:paraId="03CA2682"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11,96</w:t>
            </w:r>
          </w:p>
        </w:tc>
      </w:tr>
      <w:tr w:rsidR="000005A2" w:rsidRPr="000005A2" w14:paraId="15F18772" w14:textId="77777777">
        <w:trPr>
          <w:tblCellSpacing w:w="15" w:type="dxa"/>
          <w:cantSplit/>
        </w:trPr>
        <w:tc>
          <w:tcPr>
            <w:tcW w:w="0" w:type="auto"/>
            <w:vAlign w:val="center"/>
            <w:hideMark/>
            <w:shd w:val="clear" w:color="auto" w:fill="auto"/>
          </w:tcPr>
          <w:p w14:paraId="4C8F6CC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xml:space="preserve">Влияние оборачиваемости собственного капитала, </w:t>
            </w:r>
            <w:proofErr w:type="spellStart"/>
            <w:r w:rsidRPr="000005A2">
              <w:rPr>
                <w:rFonts w:eastAsia="Times New Roman" w:cs="Times New Roman" w:ascii="Times New Roman" w:hAnsi="Times New Roman"/>
                <w:b w:val="0"/>
                <w:i w:val="0"/>
                <w:kern w:val="0"/>
                <w:sz w:val="24"/>
                <w:lang w:eastAsia="ru-RU"/>
                <w14:ligatures w14:val="none"/>
              </w:rPr>
              <w:t>п.п</w:t>
            </w:r>
            <w:proofErr w:type="spellEnd"/>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354D5CB9"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73EAE8C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-9,82</w:t>
            </w:r>
          </w:p>
        </w:tc>
      </w:tr>
      <w:tr w:rsidR="000005A2" w:rsidRPr="000005A2" w14:paraId="2C07941B" w14:textId="77777777">
        <w:trPr>
          <w:tblCellSpacing w:w="15" w:type="dxa"/>
          <w:cantSplit/>
        </w:trPr>
        <w:tc>
          <w:tcPr>
            <w:tcW w:w="0" w:type="auto"/>
            <w:vAlign w:val="center"/>
            <w:hideMark/>
            <w:shd w:val="clear" w:color="auto" w:fill="auto"/>
          </w:tcPr>
          <w:p w14:paraId="6DE5CFD7"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xml:space="preserve">Влияние концентрации собственного капитала, </w:t>
            </w:r>
            <w:proofErr w:type="spellStart"/>
            <w:r w:rsidRPr="000005A2">
              <w:rPr>
                <w:rFonts w:eastAsia="Times New Roman" w:cs="Times New Roman" w:ascii="Times New Roman" w:hAnsi="Times New Roman"/>
                <w:b w:val="0"/>
                <w:i w:val="0"/>
                <w:kern w:val="0"/>
                <w:sz w:val="24"/>
                <w:lang w:eastAsia="ru-RU"/>
                <w14:ligatures w14:val="none"/>
              </w:rPr>
              <w:t>п.п</w:t>
            </w:r>
            <w:proofErr w:type="spellEnd"/>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24636A7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pPr>
              <w:spacing w:before="0" w:after="0" w:line="240" w:lineRule="auto"/>
              <w:ind w:left="0" w:right="0" w:firstLine="0"/>
              <w:jc w:val="center"/>
            </w:pPr>
            <w:r>
              <w:rPr>
                <w:rFonts w:ascii="Times New Roman" w:hAnsi="Times New Roman" w:eastAsia="Times New Roman"/>
                <w:b w:val="0"/>
                <w:i w:val="0"/>
                <w:sz w:val="24"/>
              </w:rPr>
              <w:t>6,28</w:t>
            </w:r>
          </w:p>
        </w:tc>
      </w:tr>
      <w:tr w:rsidR="000005A2" w:rsidRPr="000005A2" w14:paraId="6ADF7142" w14:textId="77777777">
        <w:trPr>
          <w:tblCellSpacing w:w="15" w:type="dxa"/>
          <w:cantSplit/>
        </w:trPr>
        <w:tc>
          <w:tcPr>
            <w:tcW w:w="0" w:type="auto"/>
            <w:vAlign w:val="center"/>
            <w:hideMark/>
            <w:shd w:val="clear" w:color="auto" w:fill="auto"/>
          </w:tcPr>
          <w:p w14:paraId="39C999EA"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 xml:space="preserve">Влияние рентабельности продаж, </w:t>
            </w:r>
            <w:proofErr w:type="spellStart"/>
            <w:r w:rsidRPr="000005A2">
              <w:rPr>
                <w:rFonts w:eastAsia="Times New Roman" w:cs="Times New Roman" w:ascii="Times New Roman" w:hAnsi="Times New Roman"/>
                <w:b w:val="0"/>
                <w:i w:val="0"/>
                <w:kern w:val="0"/>
                <w:sz w:val="24"/>
                <w:lang w:eastAsia="ru-RU"/>
                <w14:ligatures w14:val="none"/>
              </w:rPr>
              <w:t>п.п</w:t>
            </w:r>
            <w:proofErr w:type="spellEnd"/>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06227224"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7281712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-13,26</w:t>
            </w:r>
          </w:p>
        </w:tc>
      </w:tr>
      <w:tr w:rsidR="000005A2" w:rsidRPr="000005A2" w14:paraId="1DD88278" w14:textId="77777777">
        <w:trPr>
          <w:tblCellSpacing w:w="15" w:type="dxa"/>
          <w:cantSplit/>
        </w:trPr>
        <w:tc>
          <w:tcPr>
            <w:tcW w:w="0" w:type="auto"/>
            <w:vAlign w:val="center"/>
            <w:hideMark/>
            <w:shd w:val="clear" w:color="auto" w:fill="auto"/>
          </w:tcPr>
          <w:p w14:paraId="1908EDE2"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 xml:space="preserve">Итого изменение, </w:t>
            </w:r>
            <w:proofErr w:type="spellStart"/>
            <w:r w:rsidRPr="000005A2">
              <w:rPr>
                <w:rFonts w:eastAsia="Times New Roman" w:cs="Times New Roman" w:ascii="Times New Roman" w:hAnsi="Times New Roman"/>
                <w:b w:val="0"/>
                <w:bCs/>
                <w:i w:val="0"/>
                <w:kern w:val="0"/>
                <w:sz w:val="24"/>
                <w:lang w:eastAsia="ru-RU"/>
                <w14:ligatures w14:val="none"/>
              </w:rPr>
              <w:t>п.п</w:t>
            </w:r>
            <w:proofErr w:type="spellEnd"/>
            <w:r w:rsidRPr="000005A2">
              <w:rPr>
                <w:rFonts w:eastAsia="Times New Roman" w:cs="Times New Roman" w:ascii="Times New Roman" w:hAnsi="Times New Roman"/>
                <w:b w:val="0"/>
                <w:bCs/>
                <w:i w:val="0"/>
                <w:kern w:val="0"/>
                <w:sz w:val="24"/>
                <w:lang w:eastAsia="ru-RU"/>
                <w14:ligatures w14:val="none"/>
              </w:rPr>
              <w:t>.</w:t>
            </w:r>
          </w:p>
        </w:tc>
        <w:tc>
          <w:tcPr>
            <w:tcW w:w="0" w:type="auto"/>
            <w:vAlign w:val="center"/>
            <w:hideMark/>
            <w:shd w:val="clear" w:color="auto" w:fill="auto"/>
          </w:tcPr>
          <w:p w14:paraId="069AC927"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w:t>
            </w:r>
          </w:p>
        </w:tc>
        <w:tc>
          <w:tcPr>
            <w:tcW w:w="0" w:type="auto"/>
            <w:vAlign w:val="center"/>
            <w:hideMark/>
            <w:shd w:val="clear" w:color="auto" w:fill="auto"/>
          </w:tcPr>
          <w:p w14:paraId="7B238CA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-16,80</w:t>
            </w:r>
          </w:p>
        </w:tc>
      </w:tr>
    </w:tbl>
    <w:p>
      <w:pPr>
        <w:spacing w:before="0" w:after="0" w:line="360" w:lineRule="auto"/>
        <w:ind w:left="0" w:right="0" w:firstLine="709"/>
        <w:jc w:val="both"/>
      </w:pPr>
      <w:r>
        <w:rPr>
          <w:rFonts w:ascii="Times New Roman" w:hAnsi="Times New Roman" w:eastAsia="Times New Roman"/>
          <w:b w:val="0"/>
          <w:sz w:val="28"/>
        </w:rPr>
        <w:t>Факторный анализ рентабельности активов показал ее снижение на 16,80 п.п. Негативное влияние оказали замедление оборачиваемости и сокращение рентабельности продаж. Положительное изменение концентрации собственного капитала не смогло компенсировать ухудшение операционной эффективности.</w:t>
      </w:r>
    </w:p>
    <w:p w14:paraId="1612034C" w14:textId="77777777" w:rsidR="000005A2" w:rsidRPr="000005A2" w:rsidRDefault="000005A2" w:rsidP="000005A2">
      <w:pPr>
        <w:spacing w:before="120" w:beforeAutospacing="1" w:after="120" w:afterAutospacing="1" w:line="240" w:lineRule="auto"/>
        <w:ind w:left="0" w:firstLine="0"/>
        <w:jc w:val="left"/>
        <w:outlineLvl w:val="2"/>
        <w:rPr>
          <w:rFonts w:eastAsia="Times New Roman" w:cs="Times New Roman"/>
          <w:b/>
          <w:bCs/>
          <w:kern w:val="0"/>
          <w:sz w:val="27"/>
          <w:szCs w:val="27"/>
          <w:lang w:eastAsia="ru-RU"/>
          <w14:ligatures w14:val="none"/>
        </w:rPr>
        <w:keepNext/>
        <w:keepLines/>
      </w:pPr>
      <w:r w:rsidRPr="000005A2">
        <w:rPr>
          <w:rFonts w:eastAsia="Times New Roman" w:cs="Times New Roman" w:ascii="Times New Roman" w:hAnsi="Times New Roman"/>
          <w:b w:val="0"/>
          <w:bCs/>
          <w:kern w:val="0"/>
          <w:sz w:val="28"/>
          <w:szCs w:val="27"/>
          <w:lang w:eastAsia="ru-RU"/>
          <w14:ligatures w14:val="none"/>
        </w:rPr>
        <w:t>Таблица 2.14 – Факторный анализ рентабельности собственного капитала</w:t>
      </w:r>
    </w:p>
    <w:tbl>
      <w:tblPr>
        <w:tblW w:w="0" w:type="auto"/>
        <w:jc w:val="center"/>
        <w:tblLayout w:type="autofit"/>
        <w:tblCellMar>
          <w:top w:w="15" w:type="dxa"/>
          <w:left w:w="15" w:type="dxa"/>
          <w:bottom w:w="15" w:type="dxa"/>
          <w:right w:w="15"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15"/>
        <w:gridCol w:w="1386"/>
        <w:gridCol w:w="1438"/>
      </w:tblGrid>
      <w:tr w:rsidR="000005A2" w:rsidRPr="000005A2" w14:paraId="44E0478B" w14:textId="77777777">
        <w:trPr>
          <w:tblHeader w:val="true"/>
          <w:tblCellSpacing w:w="15" w:type="dxa"/>
          <w:tblHeader w:val="true"/>
          <w:cantSplit/>
        </w:trPr>
        <w:tc>
          <w:tcPr>
            <w:tcW w:w="0" w:type="auto"/>
            <w:vAlign w:val="center"/>
            <w:hideMark/>
            <w:shd w:val="clear" w:color="auto" w:fill="auto"/>
          </w:tcPr>
          <w:p w14:paraId="4C153BF2" w14:textId="77777777" w:rsidR="000005A2" w:rsidRPr="000005A2" w:rsidRDefault="000005A2" w:rsidP="000005A2">
            <w:pPr>
              <w:spacing w:line="240" w:lineRule="auto" w:before="0" w:after="0"/>
              <w:ind w:left="0" w:right="0" w:firstLine="0"/>
              <w:jc w:val="left"/>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Показатель</w:t>
            </w:r>
          </w:p>
        </w:tc>
        <w:tc>
          <w:tcPr>
            <w:tcW w:w="0" w:type="auto"/>
            <w:vAlign w:val="center"/>
            <w:hideMark/>
            <w:shd w:val="clear" w:color="auto" w:fill="auto"/>
          </w:tcPr>
          <w:p w14:paraId="65A99BBD"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2023 г. (баз.)</w:t>
            </w:r>
          </w:p>
        </w:tc>
        <w:tc>
          <w:tcPr>
            <w:tcW w:w="0" w:type="auto"/>
            <w:vAlign w:val="center"/>
            <w:hideMark/>
            <w:shd w:val="clear" w:color="auto" w:fill="auto"/>
          </w:tcPr>
          <w:p w14:paraId="36C87FEC" w14:textId="77777777" w:rsidR="000005A2" w:rsidRPr="000005A2" w:rsidRDefault="000005A2" w:rsidP="000005A2">
            <w:pPr>
              <w:spacing w:line="240" w:lineRule="auto" w:before="0" w:after="0"/>
              <w:ind w:left="0" w:right="0" w:firstLine="0"/>
              <w:jc w:val="center"/>
              <w:rPr>
                <w:rFonts w:eastAsia="Times New Roman" w:cs="Times New Roman"/>
                <w:b/>
                <w:bCs/>
                <w:kern w:val="0"/>
                <w:sz w:val="24"/>
                <w:lang w:eastAsia="ru-RU"/>
                <w14:ligatures w14:val="none"/>
              </w:rPr>
            </w:pPr>
            <w:r w:rsidRPr="000005A2">
              <w:rPr>
                <w:rFonts w:eastAsia="Times New Roman" w:cs="Times New Roman" w:ascii="Times New Roman" w:hAnsi="Times New Roman"/>
                <w:b w:val="0"/>
                <w:bCs/>
                <w:i w:val="0"/>
                <w:kern w:val="0"/>
                <w:sz w:val="24"/>
                <w:lang w:eastAsia="ru-RU"/>
                <w14:ligatures w14:val="none"/>
              </w:rPr>
              <w:t>2025 г. (</w:t>
            </w:r>
            <w:proofErr w:type="spellStart"/>
            <w:r w:rsidRPr="000005A2">
              <w:rPr>
                <w:rFonts w:eastAsia="Times New Roman" w:cs="Times New Roman" w:ascii="Times New Roman" w:hAnsi="Times New Roman"/>
                <w:b w:val="0"/>
                <w:bCs/>
                <w:i w:val="0"/>
                <w:kern w:val="0"/>
                <w:sz w:val="24"/>
                <w:lang w:eastAsia="ru-RU"/>
                <w14:ligatures w14:val="none"/>
              </w:rPr>
              <w:t>отч</w:t>
            </w:r>
            <w:proofErr w:type="spellEnd"/>
            <w:r w:rsidRPr="000005A2">
              <w:rPr>
                <w:rFonts w:eastAsia="Times New Roman" w:cs="Times New Roman" w:ascii="Times New Roman" w:hAnsi="Times New Roman"/>
                <w:b w:val="0"/>
                <w:bCs/>
                <w:i w:val="0"/>
                <w:kern w:val="0"/>
                <w:sz w:val="24"/>
                <w:lang w:eastAsia="ru-RU"/>
                <w14:ligatures w14:val="none"/>
              </w:rPr>
              <w:t>.)</w:t>
            </w:r>
          </w:p>
        </w:tc>
      </w:tr>
      <w:tr w:rsidR="000005A2" w:rsidRPr="000005A2" w14:paraId="703C95DA" w14:textId="77777777">
        <w:trPr>
          <w:tblCellSpacing w:w="15" w:type="dxa"/>
          <w:cantSplit/>
        </w:trPr>
        <w:tc>
          <w:tcPr>
            <w:tcW w:w="0" w:type="auto"/>
            <w:vAlign w:val="center"/>
            <w:hideMark/>
            <w:shd w:val="clear" w:color="auto" w:fill="auto"/>
          </w:tcPr>
          <w:p w14:paraId="6B256BEC"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Рентабельность продаж, %</w:t>
            </w:r>
          </w:p>
        </w:tc>
        <w:tc>
          <w:tcPr>
            <w:tcW w:w="0" w:type="auto"/>
            <w:vAlign w:val="center"/>
            <w:hideMark/>
            <w:shd w:val="clear" w:color="auto" w:fill="auto"/>
          </w:tcPr>
          <w:p w14:paraId="15AA211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16,32</w:t>
            </w:r>
          </w:p>
        </w:tc>
        <w:tc>
          <w:tcPr>
            <w:tcW w:w="0" w:type="auto"/>
            <w:vAlign w:val="center"/>
            <w:hideMark/>
            <w:shd w:val="clear" w:color="auto" w:fill="auto"/>
          </w:tcPr>
          <w:p w14:paraId="3AC3450B"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7,74</w:t>
            </w:r>
          </w:p>
        </w:tc>
      </w:tr>
      <w:tr w:rsidR="000005A2" w:rsidRPr="000005A2" w14:paraId="602B6F05" w14:textId="77777777">
        <w:trPr>
          <w:tblCellSpacing w:w="15" w:type="dxa"/>
          <w:cantSplit/>
        </w:trPr>
        <w:tc>
          <w:tcPr>
            <w:tcW w:w="0" w:type="auto"/>
            <w:vAlign w:val="center"/>
            <w:hideMark/>
            <w:shd w:val="clear" w:color="auto" w:fill="auto"/>
          </w:tcPr>
          <w:p w14:paraId="5F4DCABF"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оборачиваемости активов</w:t>
            </w:r>
          </w:p>
        </w:tc>
        <w:tc>
          <w:tcPr>
            <w:tcW w:w="0" w:type="auto"/>
            <w:vAlign w:val="center"/>
            <w:hideMark/>
            <w:shd w:val="clear" w:color="auto" w:fill="auto"/>
          </w:tcPr>
          <w:p w14:paraId="4667F9A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1,763</w:t>
            </w:r>
          </w:p>
        </w:tc>
        <w:tc>
          <w:tcPr>
            <w:tcW w:w="0" w:type="auto"/>
            <w:vAlign w:val="center"/>
            <w:hideMark/>
            <w:shd w:val="clear" w:color="auto" w:fill="auto"/>
          </w:tcPr>
          <w:p w14:paraId="1DE11D3D"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1,545</w:t>
            </w:r>
          </w:p>
        </w:tc>
      </w:tr>
      <w:tr w:rsidR="000005A2" w:rsidRPr="000005A2" w14:paraId="3E242F7E" w14:textId="77777777">
        <w:trPr>
          <w:tblCellSpacing w:w="15" w:type="dxa"/>
          <w:cantSplit/>
        </w:trPr>
        <w:tc>
          <w:tcPr>
            <w:tcW w:w="0" w:type="auto"/>
            <w:vAlign w:val="center"/>
            <w:hideMark/>
            <w:shd w:val="clear" w:color="auto" w:fill="auto"/>
          </w:tcPr>
          <w:p w14:paraId="7D4F060D"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Коэффициент финансовой зависимости</w:t>
            </w:r>
          </w:p>
        </w:tc>
        <w:tc>
          <w:tcPr>
            <w:tcW w:w="0" w:type="auto"/>
            <w:vAlign w:val="center"/>
            <w:hideMark/>
            <w:shd w:val="clear" w:color="auto" w:fill="auto"/>
          </w:tcPr>
          <w:p w14:paraId="5BA82EDC"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3,650</w:t>
            </w:r>
          </w:p>
        </w:tc>
        <w:tc>
          <w:tcPr>
            <w:tcW w:w="0" w:type="auto"/>
            <w:vAlign w:val="center"/>
            <w:hideMark/>
            <w:shd w:val="clear" w:color="auto" w:fill="auto"/>
          </w:tcPr>
          <w:p w14:paraId="5E1A9DCA"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2,741</w:t>
            </w:r>
          </w:p>
        </w:tc>
      </w:tr>
      <w:tr w:rsidR="000005A2" w:rsidRPr="000005A2" w14:paraId="6699AF06" w14:textId="77777777">
        <w:trPr>
          <w:tblCellSpacing w:w="15" w:type="dxa"/>
          <w:cantSplit/>
        </w:trPr>
        <w:tc>
          <w:tcPr>
            <w:tcW w:w="0" w:type="auto"/>
            <w:vAlign w:val="center"/>
            <w:hideMark/>
            <w:shd w:val="clear" w:color="auto" w:fill="auto"/>
          </w:tcPr>
          <w:p w14:paraId="0D3EB7D6" w14:textId="77777777" w:rsidR="000005A2" w:rsidRPr="000005A2" w:rsidRDefault="000005A2" w:rsidP="000005A2">
            <w:pPr>
              <w:spacing w:line="240" w:lineRule="auto" w:before="0" w:after="0"/>
              <w:ind w:left="0" w:right="0" w:firstLine="0"/>
              <w:jc w:val="left"/>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Рентабельность собственного капитала, %</w:t>
            </w:r>
          </w:p>
        </w:tc>
        <w:tc>
          <w:tcPr>
            <w:tcW w:w="0" w:type="auto"/>
            <w:vAlign w:val="center"/>
            <w:hideMark/>
            <w:shd w:val="clear" w:color="auto" w:fill="auto"/>
          </w:tcPr>
          <w:p w14:paraId="3A1F5606"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104,99</w:t>
            </w:r>
          </w:p>
        </w:tc>
        <w:tc>
          <w:tcPr>
            <w:tcW w:w="0" w:type="auto"/>
            <w:vAlign w:val="center"/>
            <w:hideMark/>
            <w:shd w:val="clear" w:color="auto" w:fill="auto"/>
          </w:tcPr>
          <w:p w14:paraId="5F33F061" w14:textId="77777777" w:rsidR="000005A2" w:rsidRPr="000005A2" w:rsidRDefault="000005A2" w:rsidP="000005A2">
            <w:pPr>
              <w:spacing w:line="240" w:lineRule="auto" w:before="0" w:after="0"/>
              <w:ind w:left="0" w:right="0" w:firstLine="0"/>
              <w:jc w:val="center"/>
              <w:rPr>
                <w:rFonts w:eastAsia="Times New Roman" w:cs="Times New Roman"/>
                <w:kern w:val="0"/>
                <w:sz w:val="24"/>
                <w:lang w:eastAsia="ru-RU"/>
                <w14:ligatures w14:val="none"/>
              </w:rPr>
            </w:pPr>
            <w:r w:rsidRPr="000005A2">
              <w:rPr>
                <w:rFonts w:eastAsia="Times New Roman" w:cs="Times New Roman" w:ascii="Times New Roman" w:hAnsi="Times New Roman"/>
                <w:b w:val="0"/>
                <w:i w:val="0"/>
                <w:kern w:val="0"/>
                <w:sz w:val="24"/>
                <w:lang w:eastAsia="ru-RU"/>
                <w14:ligatures w14:val="none"/>
              </w:rPr>
              <w:t>32,76</w:t>
            </w:r>
          </w:p>
        </w:tc>
      </w:tr>
    </w:tbl>
    <w:p>
      <w:pPr>
        <w:spacing w:before="0" w:after="0" w:line="360" w:lineRule="auto"/>
        <w:ind w:left="0" w:right="0" w:firstLine="709"/>
        <w:jc w:val="both"/>
      </w:pPr>
      <w:r>
        <w:rPr>
          <w:rFonts w:ascii="Times New Roman" w:hAnsi="Times New Roman" w:eastAsia="Times New Roman"/>
          <w:b w:val="0"/>
          <w:sz w:val="28"/>
        </w:rPr>
        <w:t>По модели Дюпона рентабельность собственного капитала снизилась со 104,99 до 32,76%. Это обусловлено одновременным уменьшением рентабельности продаж, оборачиваемости активов и финансового рычага. Следовательно, дальнейшее повышение устойчивости должно сопровождаться мерами по ускорению оборота активов и восстановлению прибыльности продаж.</w:t>
      </w:r>
    </w:p>
    <w:p w14:paraId="06ABEA93" w14:textId="77777777" w:rsidR="00746089" w:rsidRDefault="00746089"/>
    <w:p w14:paraId="5D8C50C1" w14:textId="77777777" w:rsidR="00746089" w:rsidRDefault="00746089"/>
    <w:p w14:paraId="6788FB4B" w14:textId="77777777" w:rsidR="00746089" w:rsidRDefault="00746089" w:rsidP="00746089">
      <w:pPr>
        <w:pStyle w:val="a3"/>
      </w:pPr>
    </w:p>
    <w:p w14:paraId="38F975F0" w14:textId="77777777" w:rsidR="00746089" w:rsidRDefault="00746089"/>
    <w:p w14:paraId="6CB76C18" w14:textId="77777777" w:rsidR="00746089" w:rsidRDefault="00746089"/>
    <w:p w14:paraId="3CFDE7BB" w14:textId="77777777" w:rsidR="00746089" w:rsidRDefault="00746089"/>
    <w:p w14:paraId="37879C2F" w14:textId="77777777" w:rsidR="00746089" w:rsidRDefault="00746089"/>
    <w:p w14:paraId="7F5A8486" w14:textId="77777777" w:rsidR="00746089" w:rsidRDefault="00746089"/>
    <w:p w14:paraId="2B9CA444" w14:textId="77777777" w:rsidR="00746089" w:rsidRDefault="00746089"/>
    <w:p w14:paraId="1A134E71" w14:textId="77777777" w:rsidR="00746089" w:rsidRDefault="00746089"/>
    <w:p w14:paraId="494CE695" w14:textId="77777777" w:rsidR="00746089" w:rsidRDefault="00746089"/>
    <w:p w14:paraId="1C9C6D5B" w14:textId="77777777" w:rsidR="00746089" w:rsidRDefault="00746089" w:rsidP="00746089"/>
    <w:p>
      <w:pPr>
        <w:pageBreakBefore/>
        <w:spacing w:before="720" w:after="720" w:line="240" w:lineRule="auto"/>
        <w:ind w:left="0" w:firstLine="0"/>
        <w:jc w:val="center"/>
        <w:keepNext/>
        <w:keepLines/>
        <w:outlineLvl w:val="0"/>
      </w:pPr>
      <w:r>
        <w:rPr>
          <w:rFonts w:ascii="Times New Roman" w:hAnsi="Times New Roman" w:eastAsia="Times New Roman"/>
          <w:b/>
          <w:sz w:val="36"/>
        </w:rPr>
        <w:t>3 Основные направления улучшения финансового состояния ООО «МИЛЛАБ»</w:t>
      </w:r>
    </w:p>
    <w:p>
      <w:pPr>
        <w:spacing w:before="0" w:after="0" w:line="360" w:lineRule="auto"/>
        <w:ind w:left="0" w:right="0" w:firstLine="709"/>
        <w:jc w:val="both"/>
      </w:pPr>
      <w:r>
        <w:rPr>
          <w:rFonts w:ascii="Times New Roman" w:hAnsi="Times New Roman" w:eastAsia="Times New Roman"/>
          <w:b w:val="0"/>
          <w:sz w:val="28"/>
        </w:rPr>
        <w:t>Результаты анализа показали, что организация укрепила собственный капитал и ликвидность, однако сохраняет зависимость от заемных источников, а продолжительность оборота активов и финансового цикла увеличивается. Поэтому предлагаемые мероприятия направлены на дальнейшее повышение финансовой устойчивости и ускорение оборачиваемости оборотных средств.</w:t>
      </w:r>
    </w:p>
    <w:p>
      <w:pPr>
        <w:spacing w:before="600" w:after="600" w:line="240" w:lineRule="auto"/>
        <w:ind w:left="0" w:firstLine="709"/>
        <w:jc w:val="left"/>
        <w:keepNext/>
        <w:keepLines/>
        <w:outlineLvl w:val="1"/>
      </w:pPr>
      <w:r>
        <w:rPr>
          <w:rFonts w:ascii="Times New Roman" w:hAnsi="Times New Roman" w:eastAsia="Times New Roman"/>
          <w:b/>
          <w:sz w:val="32"/>
        </w:rPr>
        <w:t>3.1 Оптимизация структуры источников средств в целях повышения финансовой устойчивости</w:t>
      </w:r>
    </w:p>
    <w:p>
      <w:pPr>
        <w:spacing w:before="0" w:after="0" w:line="360" w:lineRule="auto"/>
        <w:ind w:left="0" w:right="0" w:firstLine="709"/>
        <w:jc w:val="both"/>
      </w:pPr>
      <w:r>
        <w:rPr>
          <w:rFonts w:ascii="Times New Roman" w:hAnsi="Times New Roman" w:eastAsia="Times New Roman"/>
          <w:b w:val="0"/>
          <w:sz w:val="28"/>
        </w:rPr>
        <w:t>В качестве первого направления предлагается капитализировать прогнозную чистую прибыль в размере 150 088 тыс. руб., не распределяя ее между собственниками, и направить 50 000 тыс. руб. денежных средств на погашение наиболее срочной части кредиторской задолженности. Мероприятие увеличит собственный капитал и одновременно снизит краткосрочную долговую нагрузку.</w:t>
      </w:r>
    </w:p>
    <w:p>
      <w:pPr>
        <w:keepNext/>
        <w:spacing w:before="120" w:after="120" w:line="240" w:lineRule="auto"/>
        <w:ind w:left="0" w:firstLine="0"/>
        <w:jc w:val="left"/>
        <w:keepLines/>
      </w:pPr>
      <w:r>
        <w:rPr>
          <w:rFonts w:ascii="Times New Roman" w:hAnsi="Times New Roman" w:eastAsia="Times New Roman"/>
          <w:b w:val="0"/>
          <w:sz w:val="28"/>
        </w:rPr>
        <w:t>Таблица 3.1 – Структура источников средств до и после предложенных мероприятий</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rPr>
          <w:tblHeader w:val="true"/>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Показатель</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2025 г. (до мероприятий)</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Прогноз (после мероприятий)</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Изменение</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Собственный капитал, тыс. руб.</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521 656</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671 744</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150 088</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Долгосрочные обязательства, тыс. руб.</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110 330</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110 330</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Краткосрочные обязательства, тыс. руб.</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596 079</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546 079</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−50 000</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Валюта баланса, тыс. руб.</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1 228 066</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1 328 153</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100 087</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Коэффициент концентрации собственного капитала</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0,425</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0,506</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0,081</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Коэффициент финансовой устойчивости</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0,515</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0,589</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0,074</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Коэффициент соотношения заемных и собственных средств</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1,354</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0,977</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−0,377</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Коэффициент обеспеченности собственными оборотными средствами</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0,421</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0,503</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0,082</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Коэффициент покрытия запасов собственными оборотными средствами</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0,960</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1,237</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0,277</w:t>
            </w:r>
          </w:p>
        </w:tc>
      </w:tr>
    </w:tbl>
    <w:p>
      <w:pPr>
        <w:spacing w:before="0" w:after="0" w:line="360" w:lineRule="auto"/>
        <w:ind w:left="0" w:right="0" w:firstLine="709"/>
        <w:jc w:val="both"/>
      </w:pPr>
      <w:r>
        <w:rPr>
          <w:rFonts w:ascii="Times New Roman" w:hAnsi="Times New Roman" w:eastAsia="Times New Roman"/>
          <w:b w:val="0"/>
          <w:sz w:val="28"/>
        </w:rPr>
        <w:t>После реализации мероприятия коэффициент автономии превысит минимально приемлемый уровень 0,5, а соотношение заемных и собственных средств снизится до 0,977. Запасы будут полностью покрываться собственными оборотными средствами. Следовательно, риск зависимости от краткосрочных кредиторов уменьшится, а структура источников станет более устойчивой.</w:t>
      </w:r>
    </w:p>
    <w:p>
      <w:pPr>
        <w:spacing w:before="600" w:after="600" w:line="240" w:lineRule="auto"/>
        <w:ind w:left="0" w:firstLine="709"/>
        <w:jc w:val="left"/>
        <w:keepNext/>
        <w:keepLines/>
        <w:outlineLvl w:val="1"/>
      </w:pPr>
      <w:r>
        <w:rPr>
          <w:rFonts w:ascii="Times New Roman" w:hAnsi="Times New Roman" w:eastAsia="Times New Roman"/>
          <w:b/>
          <w:sz w:val="32"/>
        </w:rPr>
        <w:t>3.2 Пути ускорения оборачиваемости активов</w:t>
      </w:r>
    </w:p>
    <w:p>
      <w:pPr>
        <w:spacing w:before="0" w:after="0" w:line="360" w:lineRule="auto"/>
        <w:ind w:left="0" w:right="0" w:firstLine="709"/>
        <w:jc w:val="both"/>
      </w:pPr>
      <w:r>
        <w:rPr>
          <w:rFonts w:ascii="Times New Roman" w:hAnsi="Times New Roman" w:eastAsia="Times New Roman"/>
          <w:b w:val="0"/>
          <w:sz w:val="28"/>
        </w:rPr>
        <w:t>Основным резервом ускорения оборота является сокращение периода хранения запасов: внедрение ABC/XYZ-анализа, установление нормативов складских остатков, регулярное выявление медленно реализуемых позиций и согласование с поставщиками более частых поставок небольшими партиями. В качестве целевого ориентира принят уровень продолжительности оборота оборотных активов 2024 г. — 214,6 дня.</w:t>
      </w:r>
    </w:p>
    <w:p>
      <w:pPr>
        <w:keepNext/>
        <w:spacing w:before="120" w:after="120" w:line="240" w:lineRule="auto"/>
        <w:ind w:left="0" w:firstLine="0"/>
        <w:jc w:val="left"/>
        <w:keepLines/>
      </w:pPr>
      <w:r>
        <w:rPr>
          <w:rFonts w:ascii="Times New Roman" w:hAnsi="Times New Roman" w:eastAsia="Times New Roman"/>
          <w:b w:val="0"/>
          <w:sz w:val="28"/>
        </w:rPr>
        <w:t>Таблица 3.2 – Расчёт резерва высвобождения средств из оборота за счёт ускорения оборачиваемости</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rPr>
          <w:tblHeader w:val="true"/>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Показатель</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2025 г.</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Целевое значение</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Изменение</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Выручка, тыс. руб.</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1 940 248</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1 940 248</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Однодневная выручка, тыс. руб.</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5 315,75</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5 315,75</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Коэффициент оборачиваемости оборотных активов</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1,554</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1,701</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0,147</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Продолжительность оборота оборотных активов, дней</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234,9</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214,6</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−20,3</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Расчётный резерв высвобождения средств, тыс. руб.</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107 910</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107 910</w:t>
            </w:r>
          </w:p>
        </w:tc>
      </w:tr>
    </w:tbl>
    <w:p>
      <w:pPr>
        <w:spacing w:before="0" w:after="0" w:line="360" w:lineRule="auto"/>
        <w:ind w:left="0" w:right="0" w:firstLine="709"/>
        <w:jc w:val="both"/>
      </w:pPr>
      <w:r>
        <w:rPr>
          <w:rFonts w:ascii="Times New Roman" w:hAnsi="Times New Roman" w:eastAsia="Times New Roman"/>
          <w:b w:val="0"/>
          <w:sz w:val="28"/>
        </w:rPr>
        <w:t>Расчёт выполнен как произведение однодневной выручки на сокращение продолжительности оборота: 5 315,75 × 20,3 = 107 910 тыс. руб. Высвобожденные средства целесообразно использовать для погашения наиболее срочных обязательств и финансирования текущей деятельности без дополнительного привлечения заемного капитала.</w:t>
      </w:r>
    </w:p>
    <w:p>
      <w:pPr>
        <w:keepNext/>
        <w:spacing w:before="120" w:after="120" w:line="240" w:lineRule="auto"/>
        <w:ind w:left="0" w:firstLine="0"/>
        <w:jc w:val="left"/>
        <w:keepLines/>
      </w:pPr>
      <w:r>
        <w:rPr>
          <w:rFonts w:ascii="Times New Roman" w:hAnsi="Times New Roman" w:eastAsia="Times New Roman"/>
          <w:b w:val="0"/>
          <w:sz w:val="28"/>
        </w:rPr>
        <w:t>Таблица 3.3 – Итоговый прогнозный эффект предложенных мероприятий</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rPr>
          <w:tblHeader w:val="true"/>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Показатель</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2025 г.</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Прогноз</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Экономический эффект</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Коэффициент концентрации собственного капитала</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0,425</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0,506</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Повышение финансовой независимости</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Коэффициент финансовой устойчивости</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0,515</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0,589</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Рост доли устойчивых источников</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Соотношение заемных и собственных средств</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1,354</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0,977</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Снижение долговой нагрузки</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Коэффициент текущей ликвидности</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2,046</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2,416</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Укрепление платёжеспособности</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Коэффициент оборачиваемости оборотных активов</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1,554</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1,701</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Ускорение оборота</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Продолжительность оборота оборотных активов, дней</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234,9</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214,6</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Сокращение на 20,3 дня</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Продолжительность финансового цикла, дней</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83,7</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63,4</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Сокращение на 20,3 дня</w:t>
            </w:r>
          </w:p>
        </w:tc>
      </w:tr>
      <w:tr>
        <w:trPr>
          <w:cantSplit/>
        </w:trPr>
        <w:tc>
          <w:tcPr>
            <w:tcW w:type="dxa" w:w="2409"/>
            <w:vAlign w:val="center"/>
            <w:shd w:val="clear" w:color="auto" w:fill="auto"/>
          </w:tcPr>
          <w:p>
            <w:pPr>
              <w:spacing w:before="0" w:after="0" w:line="240" w:lineRule="auto"/>
              <w:ind w:left="0" w:right="0" w:firstLine="0"/>
              <w:jc w:val="left"/>
            </w:pPr>
            <w:r>
              <w:rPr>
                <w:rFonts w:ascii="Times New Roman" w:hAnsi="Times New Roman" w:eastAsia="Times New Roman"/>
                <w:b w:val="0"/>
                <w:i w:val="0"/>
                <w:sz w:val="24"/>
              </w:rPr>
              <w:t>Высвобождение средств из оборота, тыс. руб.</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107 910</w:t>
            </w:r>
          </w:p>
        </w:tc>
        <w:tc>
          <w:tcPr>
            <w:tcW w:type="dxa" w:w="2409"/>
            <w:vAlign w:val="center"/>
            <w:shd w:val="clear" w:color="auto" w:fill="auto"/>
          </w:tcPr>
          <w:p>
            <w:pPr>
              <w:spacing w:before="0" w:after="0" w:line="240" w:lineRule="auto"/>
              <w:ind w:left="0" w:right="0" w:firstLine="0"/>
              <w:jc w:val="center"/>
            </w:pPr>
            <w:r>
              <w:rPr>
                <w:rFonts w:ascii="Times New Roman" w:hAnsi="Times New Roman" w:eastAsia="Times New Roman"/>
                <w:b w:val="0"/>
                <w:i w:val="0"/>
                <w:sz w:val="24"/>
              </w:rPr>
              <w:t>Дополнительный внутренний источник финансирования</w:t>
            </w:r>
          </w:p>
        </w:tc>
      </w:tr>
    </w:tbl>
    <w:p>
      <w:pPr>
        <w:spacing w:before="0" w:after="0" w:line="360" w:lineRule="auto"/>
        <w:ind w:left="0" w:right="0" w:firstLine="709"/>
        <w:jc w:val="both"/>
      </w:pPr>
      <w:r>
        <w:rPr>
          <w:rFonts w:ascii="Times New Roman" w:hAnsi="Times New Roman" w:eastAsia="Times New Roman"/>
          <w:b w:val="0"/>
          <w:sz w:val="28"/>
        </w:rPr>
        <w:t>Совокупный эффект предложенных мероприятий выражается в повышении автономии, снижении зависимости от заемных средств и высвобождении 107 910 тыс. руб. из оборота. Реализация мероприятий позволит ООО «МИЛЛАБ» укрепить платёжеспособность и финансовую устойчивость без сокращения масштабов основной деятельности.</w:t>
      </w:r>
    </w:p>
    <w:p>
      <w:pPr>
        <w:pageBreakBefore/>
        <w:spacing w:line="240" w:lineRule="auto" w:before="720" w:after="720"/>
        <w:ind w:left="0" w:firstLine="0"/>
        <w:jc w:val="center"/>
        <w:keepLines/>
        <w:keepNext/>
        <w:outlineLvl w:val="0"/>
      </w:pPr>
      <w:r>
        <w:rPr>
          <w:rFonts w:ascii="Times New Roman" w:hAnsi="Times New Roman" w:eastAsia="Times New Roman"/>
          <w:b/>
          <w:sz w:val="36"/>
        </w:rPr>
        <w:t>Заключение</w:t>
      </w:r>
    </w:p>
    <w:p>
      <w:pPr>
        <w:spacing w:line="360" w:lineRule="auto" w:before="0" w:after="0"/>
        <w:ind w:left="0" w:right="0" w:firstLine="709"/>
        <w:jc w:val="both"/>
      </w:pPr>
      <w:r>
        <w:rPr>
          <w:rFonts w:ascii="Times New Roman" w:hAnsi="Times New Roman" w:eastAsia="Times New Roman"/>
          <w:b w:val="0"/>
          <w:sz w:val="28"/>
        </w:rPr>
        <w:t>Проведённый анализ позволил комплексно оценить финансовое состояние ООО «МИЛЛАБ» за 2023–2025 гг. Организация осуществляет поставки лабораторного и аналитического оборудования и оказывает сервисное сопровождение, поэтому для неё характерны высокая доля оборотных активов, значительные товарные запасы и существенный объём расчётов с контрагентами. За исследуемый период масштабы деятельности увеличились: выручка выросла с 1 148 812 тыс. руб. в 2023 г. до 1 940 248 тыс. руб. в 2025 г., или на 68,89%. Среднегодовая численность работников увеличилась с 76 до 117 человек, а стоимость основных средств — более чем в три раза. Это свидетельствует о расширении деятельности и укреплении материально-технической базы организации.</w:t>
      </w:r>
    </w:p>
    <w:p>
      <w:pPr>
        <w:spacing w:line="360" w:lineRule="auto" w:before="0" w:after="0"/>
        <w:ind w:left="0" w:right="0" w:firstLine="709"/>
        <w:jc w:val="both"/>
      </w:pPr>
      <w:r>
        <w:rPr>
          <w:rFonts w:ascii="Times New Roman" w:hAnsi="Times New Roman" w:eastAsia="Times New Roman"/>
          <w:b w:val="0"/>
          <w:sz w:val="28"/>
        </w:rPr>
        <w:t>Одновременно увеличение ресурсного потенциала не сопровождалось сопоставимым ростом финансовой отдачи. Чистая прибыль сократилась со 187 443 тыс. руб. до 150 088 тыс. руб., а прибыль от продаж — с 231 515 тыс. руб. до 223 609 тыс. руб. Себестоимость и коммерческие расходы росли быстрее выручки. Рентабельность продаж уменьшилась с 20,15 до 11,53%, а доля чистой прибыли в выручке — с 16,32 до 7,74%. Следовательно, основная проблема организации заключается не в недостатке объёма продаж, а в снижении маржинальности и увеличении затрат на обеспечение расширившегося оборота.</w:t>
      </w:r>
    </w:p>
    <w:p>
      <w:pPr>
        <w:spacing w:line="360" w:lineRule="auto" w:before="0" w:after="0"/>
        <w:ind w:left="0" w:right="0" w:firstLine="709"/>
        <w:jc w:val="both"/>
      </w:pPr>
      <w:r>
        <w:rPr>
          <w:rFonts w:ascii="Times New Roman" w:hAnsi="Times New Roman" w:eastAsia="Times New Roman"/>
          <w:b w:val="0"/>
          <w:sz w:val="28"/>
        </w:rPr>
        <w:t>Анализ имущества показал, что валюта баланса в 2025 г. составила 1 228 066 тыс. руб., превысив значение 2023 г. на 32,87%. Более 99% имущества представлено оборотными активами. В их структуре возросла доля запасов, тогда как дебиторская задолженность после увеличения в 2024 г. в 2025 г. сократилась. Положительной тенденцией является рост денежных средств до 149 589 тыс. руб. Однако накопление запасов до 534 588 тыс. руб. увеличивает потребность в финансировании и создаёт риск замедления оборота капитала.</w:t>
      </w:r>
    </w:p>
    <w:p>
      <w:pPr>
        <w:spacing w:line="360" w:lineRule="auto" w:before="0" w:after="0"/>
        <w:ind w:left="0" w:right="0" w:firstLine="709"/>
        <w:jc w:val="both"/>
      </w:pPr>
      <w:r>
        <w:rPr>
          <w:rFonts w:ascii="Times New Roman" w:hAnsi="Times New Roman" w:eastAsia="Times New Roman"/>
          <w:b w:val="0"/>
          <w:sz w:val="28"/>
        </w:rPr>
        <w:t>Структура источников формирования имущества улучшилась. Собственный капитал увеличился с 270 354 тыс. руб. до 521 656 тыс. руб., а его доля — с 29,25 до 42,48%. Доля краткосрочных обязательств сократилась с 68,59 до 48,54%. Коэффициент финансовой устойчивости повысился с 0,314 до 0,515, а соотношение заёмных и собственных средств снизилось с 2,419 до 1,354. Тем не менее коэффициент автономии ещё не достиг рекомендуемого значения 0,5, поэтому организация продолжает зависеть от привлечённых источников.</w:t>
      </w:r>
    </w:p>
    <w:p>
      <w:pPr>
        <w:spacing w:line="360" w:lineRule="auto" w:before="0" w:after="0"/>
        <w:ind w:left="0" w:right="0" w:firstLine="709"/>
        <w:jc w:val="both"/>
      </w:pPr>
      <w:r>
        <w:rPr>
          <w:rFonts w:ascii="Times New Roman" w:hAnsi="Times New Roman" w:eastAsia="Times New Roman"/>
          <w:b w:val="0"/>
          <w:sz w:val="28"/>
        </w:rPr>
        <w:t>Оценка ликвидности показала укрепление краткосрочной платёжеспособности. Коэффициент абсолютной ликвидности вырос с 0,072 до 0,251, критической ликвидности — с 0,922 до 1,146, текущей ликвидности — с 1,455 до 2,046. В 2025 г. основные относительные показатели соответствуют рекомендуемым ориентирам. При этом баланс не является абсолютно ликвидным из-за недостатка наиболее ликвидных активов для покрытия наиболее срочных обязательств. Организация компенсирует этот недостаток значительным объёмом дебиторской задолженности, качество и сроки погашения которой требуют постоянного контроля.</w:t>
      </w:r>
    </w:p>
    <w:p>
      <w:pPr>
        <w:spacing w:line="360" w:lineRule="auto" w:before="0" w:after="0"/>
        <w:ind w:left="0" w:right="0" w:firstLine="709"/>
        <w:jc w:val="both"/>
      </w:pPr>
      <w:r>
        <w:rPr>
          <w:rFonts w:ascii="Times New Roman" w:hAnsi="Times New Roman" w:eastAsia="Times New Roman"/>
          <w:b w:val="0"/>
          <w:sz w:val="28"/>
        </w:rPr>
        <w:t>Абсолютные показатели финансовой устойчивости также демонстрируют положительную динамику. В 2023 г. финансовое состояние соответствовало кризисному типу, а в 2024–2025 гг. — нормальному типу устойчивости. В 2025 г. собственные и долгосрочные источники превысили величину запасов на 87 223 тыс. руб. При этом собственных оборотных средств без учёта долгосрочных обязательств для полного покрытия запасов всё ещё недостаточно. Это подтверждает необходимость дальнейшего наращивания собственного капитала и ограничения неоправданного роста складских остатков.</w:t>
      </w:r>
    </w:p>
    <w:p>
      <w:pPr>
        <w:spacing w:line="360" w:lineRule="auto" w:before="0" w:after="0"/>
        <w:ind w:left="0" w:right="0" w:firstLine="709"/>
        <w:jc w:val="both"/>
      </w:pPr>
      <w:r>
        <w:rPr>
          <w:rFonts w:ascii="Times New Roman" w:hAnsi="Times New Roman" w:eastAsia="Times New Roman"/>
          <w:b w:val="0"/>
          <w:sz w:val="28"/>
        </w:rPr>
        <w:t>Наиболее существенная негативная тенденция выявлена при анализе деловой активности. Продолжительность оборота оборотных активов увеличилась с 206,4 до 234,9 дня, запасов — с 68,0 до 94,1 дня, финансового цикла — с 39,2 до 83,7 дня. Замедление оборота означает, что всё больший объём средств длительное время находится в запасах и расчётах. Золотое правило экономики организации не выполняется: активы растут быстрее выручки, а прибыль от продаж сокращается. Факторный анализ подтвердил, что снижение рентабельности активов и собственного капитала связано прежде всего с ухудшением рентабельности продаж и замедлением оборачиваемости.</w:t>
      </w:r>
    </w:p>
    <w:p>
      <w:pPr>
        <w:spacing w:line="360" w:lineRule="auto" w:before="0" w:after="0"/>
        <w:ind w:left="0" w:right="0" w:firstLine="709"/>
        <w:jc w:val="both"/>
      </w:pPr>
      <w:r>
        <w:rPr>
          <w:rFonts w:ascii="Times New Roman" w:hAnsi="Times New Roman" w:eastAsia="Times New Roman"/>
          <w:b w:val="0"/>
          <w:sz w:val="28"/>
        </w:rPr>
        <w:t>Для повышения финансовой устойчивости предложено капитализировать чистую прибыль в размере 150 088 тыс. руб. и направить 50 000 тыс. руб. денежных средств на погашение наиболее срочной части кредиторской задолженности. В результате собственный капитал может увеличиться до 671 744 тыс. руб., коэффициент его концентрации — до 0,506, коэффициент финансовой устойчивости — до 0,589, а соотношение заёмных и собственных средств снизится до 0,977. Предложение позволит достичь приемлемого уровня финансовой независимости и обеспечить полное покрытие запасов собственными оборотными средствами.</w:t>
      </w:r>
    </w:p>
    <w:p>
      <w:pPr>
        <w:spacing w:line="360" w:lineRule="auto" w:before="0" w:after="0"/>
        <w:ind w:left="0" w:right="0" w:firstLine="709"/>
        <w:jc w:val="both"/>
      </w:pPr>
      <w:r>
        <w:rPr>
          <w:rFonts w:ascii="Times New Roman" w:hAnsi="Times New Roman" w:eastAsia="Times New Roman"/>
          <w:b w:val="0"/>
          <w:sz w:val="28"/>
        </w:rPr>
        <w:t>Второе направление связано с ускорением оборачиваемости активов. Для этого рекомендованы ABC/XYZ-анализ запасов, установление нормативов складских остатков, регулярное выявление медленно реализуемых позиций, более частые поставки небольшими партиями и усиление контроля договорных сроков. Сокращение продолжительности оборота оборотных активов с 234,9 до 214,6 дня позволит высвободить из оборота около 107 910 тыс. руб. Эти средства могут стать внутренним источником погашения обязательств и финансирования основной деятельности.</w:t>
      </w:r>
    </w:p>
    <w:p>
      <w:pPr>
        <w:spacing w:line="360" w:lineRule="auto" w:before="0" w:after="0"/>
        <w:ind w:left="0" w:right="0" w:firstLine="709"/>
        <w:jc w:val="both"/>
      </w:pPr>
      <w:r>
        <w:rPr>
          <w:rFonts w:ascii="Times New Roman" w:hAnsi="Times New Roman" w:eastAsia="Times New Roman"/>
          <w:b w:val="0"/>
          <w:sz w:val="28"/>
        </w:rPr>
        <w:t>Таким образом, финансовое состояние ООО «МИЛЛАБ» в целом является платёжеспособным и имеет положительную динамику устойчивости, однако требует повышения эффективности использования активов. Приоритетными задачами выступают контроль себестоимости и коммерческих расходов, оптимизация запасов, сокращение финансового цикла и дальнейшее увеличение доли собственного капитала. Комплексная реализация предложенных мероприятий позволит укрепить финансовую независимость, повысить ликвидность и создать условия для восстановления рентабельности деятельности.</w:t>
      </w:r>
    </w:p>
    <w:p>
      <w:pPr>
        <w:pageBreakBefore/>
        <w:spacing w:line="240" w:lineRule="auto" w:before="720" w:after="720"/>
        <w:ind w:left="0" w:firstLine="0"/>
        <w:jc w:val="center"/>
        <w:keepLines/>
        <w:keepNext/>
        <w:outlineLvl w:val="0"/>
      </w:pPr>
      <w:r>
        <w:rPr>
          <w:rFonts w:ascii="Times New Roman" w:hAnsi="Times New Roman" w:eastAsia="Times New Roman"/>
          <w:b/>
          <w:sz w:val="36"/>
        </w:rPr>
        <w:t>Список литературы</w:t>
      </w:r>
    </w:p>
    <w:p>
      <w:pPr>
        <w:spacing w:line="360" w:lineRule="auto" w:before="0" w:after="0"/>
        <w:ind w:left="0" w:right="0" w:firstLine="709"/>
        <w:jc w:val="both"/>
      </w:pPr>
      <w:r>
        <w:rPr>
          <w:rFonts w:ascii="Times New Roman" w:hAnsi="Times New Roman" w:eastAsia="Times New Roman"/>
          <w:b w:val="0"/>
          <w:sz w:val="28"/>
        </w:rPr>
        <w:t>1. Экономический анализ : методические рекомендации по выполнению курсовой работы / сост. Н. К. Васильева, Е. А. Болотнова. — Краснодар : КубГАУ, 2026. — 62 с.</w:t>
      </w:r>
    </w:p>
    <w:p>
      <w:pPr>
        <w:spacing w:line="360" w:lineRule="auto" w:before="0" w:after="0"/>
        <w:ind w:left="0" w:right="0" w:firstLine="709"/>
        <w:jc w:val="both"/>
      </w:pPr>
      <w:r>
        <w:rPr>
          <w:rFonts w:ascii="Times New Roman" w:hAnsi="Times New Roman" w:eastAsia="Times New Roman"/>
          <w:b w:val="0"/>
          <w:sz w:val="28"/>
        </w:rPr>
        <w:t>2. Гражданский кодекс Российской Федерации. Части первая и вторая : действующая редакция на 2026 г.</w:t>
      </w:r>
    </w:p>
    <w:p>
      <w:pPr>
        <w:spacing w:line="360" w:lineRule="auto" w:before="0" w:after="0"/>
        <w:ind w:left="0" w:right="0" w:firstLine="709"/>
        <w:jc w:val="both"/>
      </w:pPr>
      <w:r>
        <w:rPr>
          <w:rFonts w:ascii="Times New Roman" w:hAnsi="Times New Roman" w:eastAsia="Times New Roman"/>
          <w:b w:val="0"/>
          <w:sz w:val="28"/>
        </w:rPr>
        <w:t>3. Налоговый кодекс Российской Федерации. Части первая и вторая : действующая редакция на 2026 г.</w:t>
      </w:r>
    </w:p>
    <w:p>
      <w:pPr>
        <w:spacing w:line="360" w:lineRule="auto" w:before="0" w:after="0"/>
        <w:ind w:left="0" w:right="0" w:firstLine="709"/>
        <w:jc w:val="both"/>
      </w:pPr>
      <w:r>
        <w:rPr>
          <w:rFonts w:ascii="Times New Roman" w:hAnsi="Times New Roman" w:eastAsia="Times New Roman"/>
          <w:b w:val="0"/>
          <w:sz w:val="28"/>
        </w:rPr>
        <w:t>4. О бухгалтерском учёте : Федеральный закон от 06.12.2011 № 402-ФЗ : действующая редакция на 2026 г.</w:t>
      </w:r>
    </w:p>
    <w:p>
      <w:pPr>
        <w:spacing w:line="360" w:lineRule="auto" w:before="0" w:after="0"/>
        <w:ind w:left="0" w:right="0" w:firstLine="709"/>
        <w:jc w:val="both"/>
      </w:pPr>
      <w:r>
        <w:rPr>
          <w:rFonts w:ascii="Times New Roman" w:hAnsi="Times New Roman" w:eastAsia="Times New Roman"/>
          <w:b w:val="0"/>
          <w:sz w:val="28"/>
        </w:rPr>
        <w:t>5. О несостоятельности (банкротстве) : Федеральный закон от 26.10.2002 № 127-ФЗ : действующая редакция на 2026 г.</w:t>
      </w:r>
    </w:p>
    <w:p>
      <w:pPr>
        <w:spacing w:line="360" w:lineRule="auto" w:before="0" w:after="0"/>
        <w:ind w:left="0" w:right="0" w:firstLine="709"/>
        <w:jc w:val="both"/>
      </w:pPr>
      <w:r>
        <w:rPr>
          <w:rFonts w:ascii="Times New Roman" w:hAnsi="Times New Roman" w:eastAsia="Times New Roman"/>
          <w:b w:val="0"/>
          <w:sz w:val="28"/>
        </w:rPr>
        <w:t>6. ФСБУ 4/2023 «Бухгалтерская (финансовая) отчётность» : утв. приказом Минфина России от 04.10.2023 № 157н.</w:t>
      </w:r>
    </w:p>
    <w:p>
      <w:pPr>
        <w:spacing w:line="360" w:lineRule="auto" w:before="0" w:after="0"/>
        <w:ind w:left="0" w:right="0" w:firstLine="709"/>
        <w:jc w:val="both"/>
      </w:pPr>
      <w:r>
        <w:rPr>
          <w:rFonts w:ascii="Times New Roman" w:hAnsi="Times New Roman" w:eastAsia="Times New Roman"/>
          <w:b w:val="0"/>
          <w:sz w:val="28"/>
        </w:rPr>
        <w:t>7. ФСБУ 5/2019 «Запасы» : утв. приказом Минфина России от 15.11.2019 № 180н : действующая редакция.</w:t>
      </w:r>
    </w:p>
    <w:p>
      <w:pPr>
        <w:spacing w:line="360" w:lineRule="auto" w:before="0" w:after="0"/>
        <w:ind w:left="0" w:right="0" w:firstLine="709"/>
        <w:jc w:val="both"/>
      </w:pPr>
      <w:r>
        <w:rPr>
          <w:rFonts w:ascii="Times New Roman" w:hAnsi="Times New Roman" w:eastAsia="Times New Roman"/>
          <w:b w:val="0"/>
          <w:sz w:val="28"/>
        </w:rPr>
        <w:t>8. ФСБУ 6/2020 «Основные средства» : утв. приказом Минфина России от 17.09.2020 № 204н : действующая редакция.</w:t>
      </w:r>
    </w:p>
    <w:p>
      <w:pPr>
        <w:spacing w:line="360" w:lineRule="auto" w:before="0" w:after="0"/>
        <w:ind w:left="0" w:right="0" w:firstLine="709"/>
        <w:jc w:val="both"/>
      </w:pPr>
      <w:r>
        <w:rPr>
          <w:rFonts w:ascii="Times New Roman" w:hAnsi="Times New Roman" w:eastAsia="Times New Roman"/>
          <w:b w:val="0"/>
          <w:sz w:val="28"/>
        </w:rPr>
        <w:t>9. ФСБУ 25/2018 «Бухгалтерский учёт аренды» : утв. приказом Минфина России от 16.10.2018 № 208н : действующая редакция.</w:t>
      </w:r>
    </w:p>
    <w:p>
      <w:pPr>
        <w:spacing w:line="360" w:lineRule="auto" w:before="0" w:after="0"/>
        <w:ind w:left="0" w:right="0" w:firstLine="709"/>
        <w:jc w:val="both"/>
      </w:pPr>
      <w:r>
        <w:rPr>
          <w:rFonts w:ascii="Times New Roman" w:hAnsi="Times New Roman" w:eastAsia="Times New Roman"/>
          <w:b w:val="0"/>
          <w:sz w:val="28"/>
        </w:rPr>
        <w:t>10. Бухгалтерская (финансовая) отчётность ООО «МИЛЛАБ» за 2025 год // Государственный информационный ресурс бухгалтерской (финансовой) отчётности ФНС России.</w:t>
      </w:r>
    </w:p>
    <w:p>
      <w:pPr>
        <w:spacing w:line="360" w:lineRule="auto" w:before="0" w:after="0"/>
        <w:ind w:left="0" w:right="0" w:firstLine="709"/>
        <w:jc w:val="both"/>
      </w:pPr>
      <w:r>
        <w:rPr>
          <w:rFonts w:ascii="Times New Roman" w:hAnsi="Times New Roman" w:eastAsia="Times New Roman"/>
          <w:b w:val="0"/>
          <w:sz w:val="28"/>
        </w:rPr>
        <w:t>11. Федеральная налоговая служба России : официальный сайт. — URL: https://www.nalog.gov.ru (дата обращения: 28.09.2026).</w:t>
      </w:r>
    </w:p>
    <w:p>
      <w:pPr>
        <w:spacing w:line="360" w:lineRule="auto" w:before="0" w:after="0"/>
        <w:ind w:left="0" w:right="0" w:firstLine="709"/>
        <w:jc w:val="both"/>
      </w:pPr>
      <w:r>
        <w:rPr>
          <w:rFonts w:ascii="Times New Roman" w:hAnsi="Times New Roman" w:eastAsia="Times New Roman"/>
          <w:b w:val="0"/>
          <w:sz w:val="28"/>
        </w:rPr>
        <w:t>12. Государственный информационный ресурс бухгалтерской (финансовой) отчётности. — URL: https://bo.nalog.gov.ru (дата обращения: 28.09.2026).</w:t>
      </w:r>
    </w:p>
    <w:p>
      <w:pPr>
        <w:spacing w:line="360" w:lineRule="auto" w:before="0" w:after="0"/>
        <w:ind w:left="0" w:right="0" w:firstLine="709"/>
        <w:jc w:val="both"/>
      </w:pPr>
      <w:r>
        <w:rPr>
          <w:rFonts w:ascii="Times New Roman" w:hAnsi="Times New Roman" w:eastAsia="Times New Roman"/>
          <w:b w:val="0"/>
          <w:sz w:val="28"/>
        </w:rPr>
        <w:t>13. Федеральная служба государственной статистики : официальный сайт. — URL: https://rosstat.gov.ru (дата обращения: 28.09.2026).</w:t>
      </w:r>
    </w:p>
    <w:p>
      <w:pPr>
        <w:spacing w:line="360" w:lineRule="auto" w:before="0" w:after="0"/>
        <w:ind w:left="0" w:right="0" w:firstLine="709"/>
        <w:jc w:val="both"/>
      </w:pPr>
      <w:r>
        <w:rPr>
          <w:rFonts w:ascii="Times New Roman" w:hAnsi="Times New Roman" w:eastAsia="Times New Roman"/>
          <w:b w:val="0"/>
          <w:sz w:val="28"/>
        </w:rPr>
        <w:t>14. Министерство финансов Российской Федерации : официальный сайт. — URL: https://minfin.gov.ru (дата обращения: 28.09.2026).</w:t>
      </w:r>
    </w:p>
    <w:p>
      <w:pPr>
        <w:spacing w:line="360" w:lineRule="auto" w:before="0" w:after="0"/>
        <w:ind w:left="0" w:right="0" w:firstLine="709"/>
        <w:jc w:val="both"/>
      </w:pPr>
      <w:r>
        <w:rPr>
          <w:rFonts w:ascii="Times New Roman" w:hAnsi="Times New Roman" w:eastAsia="Times New Roman"/>
          <w:b w:val="0"/>
          <w:sz w:val="28"/>
        </w:rPr>
        <w:t>15. Банк России : официальный сайт. — URL: https://cbr.ru (дата обращения: 28.09.2026).</w:t>
      </w:r>
    </w:p>
    <w:p>
      <w:pPr>
        <w:spacing w:line="360" w:lineRule="auto" w:before="0" w:after="0"/>
        <w:ind w:left="0" w:right="0" w:firstLine="709"/>
        <w:jc w:val="both"/>
      </w:pPr>
      <w:r>
        <w:rPr>
          <w:rFonts w:ascii="Times New Roman" w:hAnsi="Times New Roman" w:eastAsia="Times New Roman"/>
          <w:b w:val="0"/>
          <w:sz w:val="28"/>
        </w:rPr>
        <w:t>16. Савицкая Г. В. Анализ хозяйственной деятельности предприятия : учебник. — Москва : ИНФРА-М, 2024.</w:t>
      </w:r>
    </w:p>
    <w:p>
      <w:pPr>
        <w:spacing w:line="360" w:lineRule="auto" w:before="0" w:after="0"/>
        <w:ind w:left="0" w:right="0" w:firstLine="709"/>
        <w:jc w:val="both"/>
      </w:pPr>
      <w:r>
        <w:rPr>
          <w:rFonts w:ascii="Times New Roman" w:hAnsi="Times New Roman" w:eastAsia="Times New Roman"/>
          <w:b w:val="0"/>
          <w:sz w:val="28"/>
        </w:rPr>
        <w:t>17. Шеремет А. Д. Анализ и диагностика финансово-хозяйственной деятельности предприятия : учебник. — Москва : ИНФРА-М, 2023.</w:t>
      </w:r>
    </w:p>
    <w:p>
      <w:pPr>
        <w:spacing w:line="360" w:lineRule="auto" w:before="0" w:after="0"/>
        <w:ind w:left="0" w:right="0" w:firstLine="709"/>
        <w:jc w:val="both"/>
      </w:pPr>
      <w:r>
        <w:rPr>
          <w:rFonts w:ascii="Times New Roman" w:hAnsi="Times New Roman" w:eastAsia="Times New Roman"/>
          <w:b w:val="0"/>
          <w:sz w:val="28"/>
        </w:rPr>
        <w:t>18. Казакова Н. А. Финансовый анализ : учебник и практикум. — Москва : Юрайт, 2024.</w:t>
      </w:r>
    </w:p>
    <w:p>
      <w:pPr>
        <w:spacing w:line="360" w:lineRule="auto" w:before="0" w:after="0"/>
        <w:ind w:left="0" w:right="0" w:firstLine="709"/>
        <w:jc w:val="both"/>
      </w:pPr>
      <w:r>
        <w:rPr>
          <w:rFonts w:ascii="Times New Roman" w:hAnsi="Times New Roman" w:eastAsia="Times New Roman"/>
          <w:b w:val="0"/>
          <w:sz w:val="28"/>
        </w:rPr>
        <w:t>19. Ефимова О. В. Финансовый анализ: современный инструментарий для принятия экономических решений : учебник. — Москва : Омега-Л, 2022.</w:t>
      </w:r>
    </w:p>
    <w:p>
      <w:pPr>
        <w:spacing w:line="360" w:lineRule="auto" w:before="0" w:after="0"/>
        <w:ind w:left="0" w:right="0" w:firstLine="709"/>
        <w:jc w:val="both"/>
      </w:pPr>
      <w:r>
        <w:rPr>
          <w:rFonts w:ascii="Times New Roman" w:hAnsi="Times New Roman" w:eastAsia="Times New Roman"/>
          <w:b w:val="0"/>
          <w:sz w:val="28"/>
        </w:rPr>
        <w:t>20. Когденко В. Г. Методология и методика экономического анализа : учебное пособие. — Москва : ЮНИТИ-ДАНА, 2023.</w:t>
      </w:r>
    </w:p>
    <w:p>
      <w:pPr>
        <w:spacing w:line="360" w:lineRule="auto" w:before="0" w:after="0"/>
        <w:ind w:left="0" w:right="0" w:firstLine="709"/>
        <w:jc w:val="both"/>
      </w:pPr>
      <w:r>
        <w:rPr>
          <w:rFonts w:ascii="Times New Roman" w:hAnsi="Times New Roman" w:eastAsia="Times New Roman"/>
          <w:b w:val="0"/>
          <w:sz w:val="28"/>
        </w:rPr>
        <w:t>21. Селезнёва Н. Н., Ионова А. Ф. Финансовый анализ. Управление финансами : учебное пособие. — Москва : ЮНИТИ-ДАНА, 2022.</w:t>
      </w:r>
    </w:p>
    <w:p>
      <w:pPr>
        <w:spacing w:line="360" w:lineRule="auto" w:before="0" w:after="0"/>
        <w:ind w:left="0" w:right="0" w:firstLine="709"/>
        <w:jc w:val="both"/>
      </w:pPr>
      <w:r>
        <w:rPr>
          <w:rFonts w:ascii="Times New Roman" w:hAnsi="Times New Roman" w:eastAsia="Times New Roman"/>
          <w:b w:val="0"/>
          <w:sz w:val="28"/>
        </w:rPr>
        <w:t>22. Донцова Л. В., Никифорова Н. А. Анализ бухгалтерской (финансовой) отчётности : практикум. — Москва : Дело и Сервис, 2022.</w:t>
      </w:r>
    </w:p>
    <w:p>
      <w:pPr>
        <w:spacing w:line="360" w:lineRule="auto" w:before="0" w:after="0"/>
        <w:ind w:left="0" w:right="0" w:firstLine="709"/>
        <w:jc w:val="both"/>
      </w:pPr>
      <w:r>
        <w:rPr>
          <w:rFonts w:ascii="Times New Roman" w:hAnsi="Times New Roman" w:eastAsia="Times New Roman"/>
          <w:b w:val="0"/>
          <w:sz w:val="28"/>
        </w:rPr>
        <w:t>23. Гиляровская Л. Т. Экономический анализ : учебник. — Москва : ЮНИТИ-ДАНА, 2021.</w:t>
      </w:r>
    </w:p>
    <w:p>
      <w:pPr>
        <w:spacing w:line="360" w:lineRule="auto" w:before="0" w:after="0"/>
        <w:ind w:left="0" w:right="0" w:firstLine="709"/>
        <w:jc w:val="both"/>
      </w:pPr>
      <w:r>
        <w:rPr>
          <w:rFonts w:ascii="Times New Roman" w:hAnsi="Times New Roman" w:eastAsia="Times New Roman"/>
          <w:b w:val="0"/>
          <w:sz w:val="28"/>
        </w:rPr>
        <w:t>24. Любушин Н. П. Экономический анализ : учебник. — Москва : ЮНИТИ-ДАНА, 2022.</w:t>
      </w:r>
    </w:p>
    <w:p>
      <w:pPr>
        <w:spacing w:line="360" w:lineRule="auto" w:before="0" w:after="0"/>
        <w:ind w:left="0" w:right="0" w:firstLine="709"/>
        <w:jc w:val="both"/>
      </w:pPr>
      <w:r>
        <w:rPr>
          <w:rFonts w:ascii="Times New Roman" w:hAnsi="Times New Roman" w:eastAsia="Times New Roman"/>
          <w:b w:val="0"/>
          <w:sz w:val="28"/>
        </w:rPr>
        <w:t>25. Пласкова Н. С. Экономический анализ : учебник. — Москва : Эксмо, 2023.</w:t>
      </w:r>
    </w:p>
    <w:p>
      <w:pPr>
        <w:spacing w:line="360" w:lineRule="auto" w:before="0" w:after="0"/>
        <w:ind w:left="0" w:right="0" w:firstLine="709"/>
        <w:jc w:val="both"/>
      </w:pPr>
      <w:r>
        <w:rPr>
          <w:rFonts w:ascii="Times New Roman" w:hAnsi="Times New Roman" w:eastAsia="Times New Roman"/>
          <w:b w:val="0"/>
          <w:sz w:val="28"/>
        </w:rPr>
        <w:t>26. Герасимова Е. Б. Финансовый анализ. Управление финансовыми операциями : учебное пособие. — Москва : ФОРУМ, 2022.</w:t>
      </w:r>
    </w:p>
    <w:p>
      <w:pPr>
        <w:spacing w:line="360" w:lineRule="auto" w:before="0" w:after="0"/>
        <w:ind w:left="0" w:right="0" w:firstLine="709"/>
        <w:jc w:val="both"/>
      </w:pPr>
      <w:r>
        <w:rPr>
          <w:rFonts w:ascii="Times New Roman" w:hAnsi="Times New Roman" w:eastAsia="Times New Roman"/>
          <w:b w:val="0"/>
          <w:sz w:val="28"/>
        </w:rPr>
        <w:t>27. Крылов С. И. Финансовый анализ : учебное пособие. — Екатеринбург : Издательство УрФУ, 2022.</w:t>
      </w:r>
    </w:p>
    <w:p>
      <w:pPr>
        <w:spacing w:line="360" w:lineRule="auto" w:before="0" w:after="0"/>
        <w:ind w:left="0" w:right="0" w:firstLine="709"/>
        <w:jc w:val="both"/>
      </w:pPr>
      <w:r>
        <w:rPr>
          <w:rFonts w:ascii="Times New Roman" w:hAnsi="Times New Roman" w:eastAsia="Times New Roman"/>
          <w:b w:val="0"/>
          <w:sz w:val="28"/>
        </w:rPr>
        <w:t>28. Мельник М. В., Герасимова Е. Б. Анализ финансово-хозяйственной деятельности предприятия : учебное пособие. — Москва : ФОРУМ, 2023.</w:t>
      </w:r>
    </w:p>
    <w:p>
      <w:pPr>
        <w:spacing w:line="360" w:lineRule="auto" w:before="0" w:after="0"/>
        <w:ind w:left="0" w:right="0" w:firstLine="709"/>
        <w:jc w:val="both"/>
      </w:pPr>
      <w:r>
        <w:rPr>
          <w:rFonts w:ascii="Times New Roman" w:hAnsi="Times New Roman" w:eastAsia="Times New Roman"/>
          <w:b w:val="0"/>
          <w:sz w:val="28"/>
        </w:rPr>
        <w:t>29. Бариленко В. И. Комплексный анализ хозяйственной деятельности : учебник и практикум. — Москва : Юрайт, 2024.</w:t>
      </w:r>
    </w:p>
    <w:p>
      <w:pPr>
        <w:spacing w:line="360" w:lineRule="auto" w:before="0" w:after="0"/>
        <w:ind w:left="0" w:right="0" w:firstLine="709"/>
        <w:jc w:val="both"/>
      </w:pPr>
      <w:r>
        <w:rPr>
          <w:rFonts w:ascii="Times New Roman" w:hAnsi="Times New Roman" w:eastAsia="Times New Roman"/>
          <w:b w:val="0"/>
          <w:sz w:val="28"/>
        </w:rPr>
        <w:t>30. Войтоловский Н. В., Калинина А. П., Мазурова И. И. Экономический анализ : учебник. — Москва : Юрайт, 2023.</w:t>
      </w:r>
    </w:p>
    <w:p>
      <w:pPr>
        <w:spacing w:line="360" w:lineRule="auto" w:before="0" w:after="0"/>
        <w:ind w:left="0" w:right="0" w:firstLine="709"/>
        <w:jc w:val="both"/>
      </w:pPr>
      <w:r>
        <w:rPr>
          <w:rFonts w:ascii="Times New Roman" w:hAnsi="Times New Roman" w:eastAsia="Times New Roman"/>
          <w:b w:val="0"/>
          <w:sz w:val="28"/>
        </w:rPr>
        <w:t>31. Бочаров В. В. Финансовый анализ : учебное пособие. — Санкт-Петербург : Питер, 2022.</w:t>
      </w:r>
    </w:p>
    <w:p>
      <w:pPr>
        <w:spacing w:line="360" w:lineRule="auto" w:before="0" w:after="0"/>
        <w:ind w:left="0" w:right="0" w:firstLine="709"/>
        <w:jc w:val="both"/>
      </w:pPr>
      <w:r>
        <w:rPr>
          <w:rFonts w:ascii="Times New Roman" w:hAnsi="Times New Roman" w:eastAsia="Times New Roman"/>
          <w:b w:val="0"/>
          <w:sz w:val="28"/>
        </w:rPr>
        <w:t>32. Ковалёв В. В., Ковалёв Вит. В. Анализ баланса, или Как понимать баланс : учебно-практическое пособие. — Москва : Проспект, 2023.</w:t>
      </w:r>
    </w:p>
    <w:p>
      <w:pPr>
        <w:spacing w:line="360" w:lineRule="auto" w:before="0" w:after="0"/>
        <w:ind w:left="0" w:right="0" w:firstLine="709"/>
        <w:jc w:val="both"/>
      </w:pPr>
      <w:r>
        <w:rPr>
          <w:rFonts w:ascii="Times New Roman" w:hAnsi="Times New Roman" w:eastAsia="Times New Roman"/>
          <w:b w:val="0"/>
          <w:sz w:val="28"/>
        </w:rPr>
        <w:t>33. Никифорова Н. А. Управленческий анализ : учебник. — Москва : Юрайт, 2024.</w:t>
      </w:r>
    </w:p>
    <w:p>
      <w:pPr>
        <w:spacing w:line="360" w:lineRule="auto" w:before="0" w:after="0"/>
        <w:ind w:left="0" w:right="0" w:firstLine="709"/>
        <w:jc w:val="both"/>
      </w:pPr>
      <w:r>
        <w:rPr>
          <w:rFonts w:ascii="Times New Roman" w:hAnsi="Times New Roman" w:eastAsia="Times New Roman"/>
          <w:b w:val="0"/>
          <w:sz w:val="28"/>
        </w:rPr>
        <w:t>34. Пожидаева Т. А. Анализ финансовой отчётности : учебное пособие. — Москва : КноРус, 2023.</w:t>
      </w:r>
    </w:p>
    <w:p>
      <w:pPr>
        <w:spacing w:line="360" w:lineRule="auto" w:before="0" w:after="0"/>
        <w:ind w:left="0" w:right="0" w:firstLine="709"/>
        <w:jc w:val="both"/>
      </w:pPr>
      <w:r>
        <w:rPr>
          <w:rFonts w:ascii="Times New Roman" w:hAnsi="Times New Roman" w:eastAsia="Times New Roman"/>
          <w:b w:val="0"/>
          <w:sz w:val="28"/>
        </w:rPr>
        <w:t>35. Бердникова Т. Б. Анализ и диагностика финансово-хозяйственной деятельности предприятия : учебное пособие. — Москва : ИНФРА-М, 2022.</w:t>
      </w:r>
    </w:p>
    <w:p>
      <w:pPr>
        <w:spacing w:line="360" w:lineRule="auto" w:before="0" w:after="0"/>
        <w:ind w:left="0" w:right="0" w:firstLine="709"/>
        <w:jc w:val="both"/>
      </w:pPr>
      <w:r>
        <w:rPr>
          <w:rFonts w:ascii="Times New Roman" w:hAnsi="Times New Roman" w:eastAsia="Times New Roman"/>
          <w:b w:val="0"/>
          <w:sz w:val="28"/>
        </w:rPr>
        <w:t>36. КонсультантПлюс : справочно-правовая система. — URL: https://www.consultant.ru (дата обращения: 28.09.2026).</w:t>
      </w:r>
    </w:p>
    <w:p>
      <w:pPr>
        <w:spacing w:line="360" w:lineRule="auto" w:before="0" w:after="0"/>
        <w:ind w:left="0" w:right="0" w:firstLine="709"/>
        <w:jc w:val="both"/>
      </w:pPr>
      <w:r>
        <w:rPr>
          <w:rFonts w:ascii="Times New Roman" w:hAnsi="Times New Roman" w:eastAsia="Times New Roman"/>
          <w:b w:val="0"/>
          <w:sz w:val="28"/>
        </w:rPr>
        <w:t>37. ГАРАНТ : информационно-правовой портал. — URL: https://www.garant.ru (дата обращения: 28.09.2026).</w:t>
      </w:r>
    </w:p>
    <w:p>
      <w:pPr>
        <w:pageBreakBefore/>
        <w:spacing w:line="240" w:lineRule="auto" w:before="720" w:after="720"/>
        <w:ind w:left="0" w:firstLine="0"/>
        <w:jc w:val="center"/>
        <w:keepLines/>
        <w:keepNext/>
        <w:outlineLvl w:val="0"/>
      </w:pPr>
      <w:r>
        <w:rPr>
          <w:rFonts w:ascii="Times New Roman" w:hAnsi="Times New Roman" w:eastAsia="Times New Roman"/>
          <w:b/>
          <w:sz w:val="36"/>
        </w:rPr>
        <w:t>Приложение А</w:t>
      </w:r>
    </w:p>
    <w:p>
      <w:pPr>
        <w:spacing w:line="240" w:lineRule="auto" w:before="0" w:after="0"/>
        <w:ind w:left="0" w:right="0" w:firstLine="0"/>
        <w:jc w:val="both"/>
      </w:pPr>
      <w:r>
        <w:rPr>
          <w:rFonts w:ascii="Times New Roman" w:hAnsi="Times New Roman" w:eastAsia="Times New Roman"/>
          <w:b/>
          <w:sz w:val="32"/>
        </w:rPr>
        <w:t>Годовая бухгалтерская (финансовая) отчётность ООО «МИЛЛАБ» за 2025 год</w:t>
      </w:r>
    </w:p>
    <w:p>
      <w:pPr>
        <w:spacing w:before="0" w:after="0"/>
        <w:jc w:val="center"/>
      </w:pPr>
      <w:r>
        <w:drawing>
          <wp:inline xmlns:a="http://schemas.openxmlformats.org/drawingml/2006/main" xmlns:pic="http://schemas.openxmlformats.org/drawingml/2006/picture">
            <wp:extent cx="5940000" cy="8401142"/>
            <wp:docPr id="4" name="Picture 4"/>
            <wp:cNvGraphicFramePr>
              <a:graphicFrameLocks noChangeAspect="1"/>
            </wp:cNvGraphicFramePr>
            <a:graphic>
              <a:graphicData uri="http://schemas.openxmlformats.org/drawingml/2006/picture">
                <pic:pic>
                  <pic:nvPicPr>
                    <pic:cNvPr id="0" name="page_01.jpg"/>
                    <pic:cNvPicPr/>
                  </pic:nvPicPr>
                  <pic:blipFill>
                    <a:blip r:embed="rId12"/>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5" name="Picture 5"/>
            <wp:cNvGraphicFramePr>
              <a:graphicFrameLocks noChangeAspect="1"/>
            </wp:cNvGraphicFramePr>
            <a:graphic>
              <a:graphicData uri="http://schemas.openxmlformats.org/drawingml/2006/picture">
                <pic:pic>
                  <pic:nvPicPr>
                    <pic:cNvPr id="0" name="page_02.jpg"/>
                    <pic:cNvPicPr/>
                  </pic:nvPicPr>
                  <pic:blipFill>
                    <a:blip r:embed="rId13"/>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6" name="Picture 6"/>
            <wp:cNvGraphicFramePr>
              <a:graphicFrameLocks noChangeAspect="1"/>
            </wp:cNvGraphicFramePr>
            <a:graphic>
              <a:graphicData uri="http://schemas.openxmlformats.org/drawingml/2006/picture">
                <pic:pic>
                  <pic:nvPicPr>
                    <pic:cNvPr id="0" name="page_03.jpg"/>
                    <pic:cNvPicPr/>
                  </pic:nvPicPr>
                  <pic:blipFill>
                    <a:blip r:embed="rId14"/>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7" name="Picture 7"/>
            <wp:cNvGraphicFramePr>
              <a:graphicFrameLocks noChangeAspect="1"/>
            </wp:cNvGraphicFramePr>
            <a:graphic>
              <a:graphicData uri="http://schemas.openxmlformats.org/drawingml/2006/picture">
                <pic:pic>
                  <pic:nvPicPr>
                    <pic:cNvPr id="0" name="page_04.jpg"/>
                    <pic:cNvPicPr/>
                  </pic:nvPicPr>
                  <pic:blipFill>
                    <a:blip r:embed="rId15"/>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8" name="Picture 8"/>
            <wp:cNvGraphicFramePr>
              <a:graphicFrameLocks noChangeAspect="1"/>
            </wp:cNvGraphicFramePr>
            <a:graphic>
              <a:graphicData uri="http://schemas.openxmlformats.org/drawingml/2006/picture">
                <pic:pic>
                  <pic:nvPicPr>
                    <pic:cNvPr id="0" name="page_05.jpg"/>
                    <pic:cNvPicPr/>
                  </pic:nvPicPr>
                  <pic:blipFill>
                    <a:blip r:embed="rId16"/>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9" name="Picture 9"/>
            <wp:cNvGraphicFramePr>
              <a:graphicFrameLocks noChangeAspect="1"/>
            </wp:cNvGraphicFramePr>
            <a:graphic>
              <a:graphicData uri="http://schemas.openxmlformats.org/drawingml/2006/picture">
                <pic:pic>
                  <pic:nvPicPr>
                    <pic:cNvPr id="0" name="page_06.jpg"/>
                    <pic:cNvPicPr/>
                  </pic:nvPicPr>
                  <pic:blipFill>
                    <a:blip r:embed="rId17"/>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0" name="Picture 10"/>
            <wp:cNvGraphicFramePr>
              <a:graphicFrameLocks noChangeAspect="1"/>
            </wp:cNvGraphicFramePr>
            <a:graphic>
              <a:graphicData uri="http://schemas.openxmlformats.org/drawingml/2006/picture">
                <pic:pic>
                  <pic:nvPicPr>
                    <pic:cNvPr id="0" name="page_07.jpg"/>
                    <pic:cNvPicPr/>
                  </pic:nvPicPr>
                  <pic:blipFill>
                    <a:blip r:embed="rId18"/>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1" name="Picture 11"/>
            <wp:cNvGraphicFramePr>
              <a:graphicFrameLocks noChangeAspect="1"/>
            </wp:cNvGraphicFramePr>
            <a:graphic>
              <a:graphicData uri="http://schemas.openxmlformats.org/drawingml/2006/picture">
                <pic:pic>
                  <pic:nvPicPr>
                    <pic:cNvPr id="0" name="page_08.jpg"/>
                    <pic:cNvPicPr/>
                  </pic:nvPicPr>
                  <pic:blipFill>
                    <a:blip r:embed="rId19"/>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2" name="Picture 12"/>
            <wp:cNvGraphicFramePr>
              <a:graphicFrameLocks noChangeAspect="1"/>
            </wp:cNvGraphicFramePr>
            <a:graphic>
              <a:graphicData uri="http://schemas.openxmlformats.org/drawingml/2006/picture">
                <pic:pic>
                  <pic:nvPicPr>
                    <pic:cNvPr id="0" name="page_09.jpg"/>
                    <pic:cNvPicPr/>
                  </pic:nvPicPr>
                  <pic:blipFill>
                    <a:blip r:embed="rId20"/>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3" name="Picture 13"/>
            <wp:cNvGraphicFramePr>
              <a:graphicFrameLocks noChangeAspect="1"/>
            </wp:cNvGraphicFramePr>
            <a:graphic>
              <a:graphicData uri="http://schemas.openxmlformats.org/drawingml/2006/picture">
                <pic:pic>
                  <pic:nvPicPr>
                    <pic:cNvPr id="0" name="page_10.jpg"/>
                    <pic:cNvPicPr/>
                  </pic:nvPicPr>
                  <pic:blipFill>
                    <a:blip r:embed="rId21"/>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4" name="Picture 14"/>
            <wp:cNvGraphicFramePr>
              <a:graphicFrameLocks noChangeAspect="1"/>
            </wp:cNvGraphicFramePr>
            <a:graphic>
              <a:graphicData uri="http://schemas.openxmlformats.org/drawingml/2006/picture">
                <pic:pic>
                  <pic:nvPicPr>
                    <pic:cNvPr id="0" name="page_11.jpg"/>
                    <pic:cNvPicPr/>
                  </pic:nvPicPr>
                  <pic:blipFill>
                    <a:blip r:embed="rId22"/>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5" name="Picture 15"/>
            <wp:cNvGraphicFramePr>
              <a:graphicFrameLocks noChangeAspect="1"/>
            </wp:cNvGraphicFramePr>
            <a:graphic>
              <a:graphicData uri="http://schemas.openxmlformats.org/drawingml/2006/picture">
                <pic:pic>
                  <pic:nvPicPr>
                    <pic:cNvPr id="0" name="page_12.jpg"/>
                    <pic:cNvPicPr/>
                  </pic:nvPicPr>
                  <pic:blipFill>
                    <a:blip r:embed="rId23"/>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6" name="Picture 16"/>
            <wp:cNvGraphicFramePr>
              <a:graphicFrameLocks noChangeAspect="1"/>
            </wp:cNvGraphicFramePr>
            <a:graphic>
              <a:graphicData uri="http://schemas.openxmlformats.org/drawingml/2006/picture">
                <pic:pic>
                  <pic:nvPicPr>
                    <pic:cNvPr id="0" name="page_13.jpg"/>
                    <pic:cNvPicPr/>
                  </pic:nvPicPr>
                  <pic:blipFill>
                    <a:blip r:embed="rId24"/>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7" name="Picture 17"/>
            <wp:cNvGraphicFramePr>
              <a:graphicFrameLocks noChangeAspect="1"/>
            </wp:cNvGraphicFramePr>
            <a:graphic>
              <a:graphicData uri="http://schemas.openxmlformats.org/drawingml/2006/picture">
                <pic:pic>
                  <pic:nvPicPr>
                    <pic:cNvPr id="0" name="page_14.jpg"/>
                    <pic:cNvPicPr/>
                  </pic:nvPicPr>
                  <pic:blipFill>
                    <a:blip r:embed="rId25"/>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8" name="Picture 18"/>
            <wp:cNvGraphicFramePr>
              <a:graphicFrameLocks noChangeAspect="1"/>
            </wp:cNvGraphicFramePr>
            <a:graphic>
              <a:graphicData uri="http://schemas.openxmlformats.org/drawingml/2006/picture">
                <pic:pic>
                  <pic:nvPicPr>
                    <pic:cNvPr id="0" name="page_15.jpg"/>
                    <pic:cNvPicPr/>
                  </pic:nvPicPr>
                  <pic:blipFill>
                    <a:blip r:embed="rId26"/>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19" name="Picture 19"/>
            <wp:cNvGraphicFramePr>
              <a:graphicFrameLocks noChangeAspect="1"/>
            </wp:cNvGraphicFramePr>
            <a:graphic>
              <a:graphicData uri="http://schemas.openxmlformats.org/drawingml/2006/picture">
                <pic:pic>
                  <pic:nvPicPr>
                    <pic:cNvPr id="0" name="page_16.jpg"/>
                    <pic:cNvPicPr/>
                  </pic:nvPicPr>
                  <pic:blipFill>
                    <a:blip r:embed="rId27"/>
                    <a:stretch>
                      <a:fillRect/>
                    </a:stretch>
                  </pic:blipFill>
                  <pic:spPr>
                    <a:xfrm>
                      <a:off x="0" y="0"/>
                      <a:ext cx="5940000" cy="8401142"/>
                    </a:xfrm>
                    <a:prstGeom prst="rect"/>
                  </pic:spPr>
                </pic:pic>
              </a:graphicData>
            </a:graphic>
          </wp:inline>
        </w:drawing>
      </w:r>
    </w:p>
    <w:p>
      <w:pPr>
        <w:pageBreakBefore/>
        <w:spacing w:before="0" w:after="0"/>
        <w:jc w:val="center"/>
      </w:pPr>
      <w:r>
        <w:drawing>
          <wp:inline xmlns:a="http://schemas.openxmlformats.org/drawingml/2006/main" xmlns:pic="http://schemas.openxmlformats.org/drawingml/2006/picture">
            <wp:extent cx="5940000" cy="8401142"/>
            <wp:docPr id="20" name="Picture 20"/>
            <wp:cNvGraphicFramePr>
              <a:graphicFrameLocks noChangeAspect="1"/>
            </wp:cNvGraphicFramePr>
            <a:graphic>
              <a:graphicData uri="http://schemas.openxmlformats.org/drawingml/2006/picture">
                <pic:pic>
                  <pic:nvPicPr>
                    <pic:cNvPr id="0" name="page_17.jpg"/>
                    <pic:cNvPicPr/>
                  </pic:nvPicPr>
                  <pic:blipFill>
                    <a:blip r:embed="rId28"/>
                    <a:stretch>
                      <a:fillRect/>
                    </a:stretch>
                  </pic:blipFill>
                  <pic:spPr>
                    <a:xfrm>
                      <a:off x="0" y="0"/>
                      <a:ext cx="5940000" cy="8401142"/>
                    </a:xfrm>
                    <a:prstGeom prst="rect"/>
                  </pic:spPr>
                </pic:pic>
              </a:graphicData>
            </a:graphic>
          </wp:inline>
        </w:drawing>
      </w:r>
    </w:p>
    <w:sectPr w:rsidR="00746089" w:rsidSect="00746089">
      <w:headerReference w:type="default" r:id="rId10"/>
      <w:headerReference w:type="first" r:id="rId11"/>
      <w:pgSz w:w="11906" w:h="16838"/>
      <w:pgMar w:top="1134" w:right="567" w:bottom="1134" w:left="1701"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FC4F" w14:textId="77777777" w:rsidR="007F35FD" w:rsidRDefault="007F35FD" w:rsidP="00746089">
      <w:pPr>
        <w:spacing w:line="240" w:lineRule="auto"/>
      </w:pPr>
      <w:r>
        <w:separator/>
      </w:r>
    </w:p>
  </w:endnote>
  <w:endnote w:type="continuationSeparator" w:id="0">
    <w:p w14:paraId="0B55CB5B" w14:textId="77777777" w:rsidR="007F35FD" w:rsidRDefault="007F35FD" w:rsidP="007460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0273B" w14:textId="77777777" w:rsidR="007F35FD" w:rsidRDefault="007F35FD" w:rsidP="00746089">
      <w:pPr>
        <w:spacing w:line="240" w:lineRule="auto"/>
      </w:pPr>
      <w:r>
        <w:separator/>
      </w:r>
    </w:p>
  </w:footnote>
  <w:footnote w:type="continuationSeparator" w:id="0">
    <w:p w14:paraId="5B05A5F3" w14:textId="77777777" w:rsidR="007F35FD" w:rsidRDefault="007F35FD" w:rsidP="007460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8"/>
      </w:rPr>
      <w:fldChar w:fldCharType="begin"/>
      <w:instrText xml:space="preserve"> PAGE </w:instrTex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00259"/>
    <w:multiLevelType w:val="multilevel"/>
    <w:tmpl w:val="58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5B35D6"/>
    <w:multiLevelType w:val="multilevel"/>
    <w:tmpl w:val="188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2B2B76"/>
    <w:multiLevelType w:val="multilevel"/>
    <w:tmpl w:val="0686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604981">
    <w:abstractNumId w:val="0"/>
  </w:num>
  <w:num w:numId="2" w16cid:durableId="940603307">
    <w:abstractNumId w:val="1"/>
  </w:num>
  <w:num w:numId="3" w16cid:durableId="1242526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78"/>
    <w:rsid w:val="000005A2"/>
    <w:rsid w:val="00085B53"/>
    <w:rsid w:val="001907A1"/>
    <w:rsid w:val="00413B93"/>
    <w:rsid w:val="00746089"/>
    <w:rsid w:val="007B0CE5"/>
    <w:rsid w:val="007F35FD"/>
    <w:rsid w:val="00904D48"/>
    <w:rsid w:val="0091480F"/>
    <w:rsid w:val="00A01F31"/>
    <w:rsid w:val="00A60378"/>
    <w:rsid w:val="00A8405D"/>
    <w:rsid w:val="00CE1457"/>
    <w:rsid w:val="00CF317E"/>
    <w:rsid w:val="00E32C5D"/>
    <w:rsid w:val="00EC04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C5C5"/>
  <w15:chartTrackingRefBased/>
  <w15:docId w15:val="{C557D2B8-D524-40A8-92CB-880A4CC9CB8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6089"/>
    <w:pPr>
      <w:spacing w:after="0" w:line="360" w:lineRule="auto"/>
      <w:ind w:firstLine="709"/>
      <w:jc w:val="both"/>
    </w:pPr>
    <w:rPr>
      <w:rFonts w:ascii="Times New Roman" w:hAnsi="Times New Roman"/>
      <w:sz w:val="28"/>
    </w:rPr>
  </w:style>
  <w:style w:type="paragraph" w:styleId="1">
    <w:name w:val="heading 1"/>
    <w:basedOn w:val="a"/>
    <w:next w:val="a"/>
    <w:link w:val="10"/>
    <w:autoRedefine/>
    <w:uiPriority w:val="9"/>
    <w:qFormat/>
    <w:rsid w:val="00746089"/>
    <w:pPr>
      <w:keepNext/>
      <w:keepLines/>
      <w:pageBreakBefore/>
      <w:suppressAutoHyphens/>
      <w:spacing w:line="240" w:lineRule="auto"/>
      <w:ind w:firstLine="0"/>
      <w:jc w:val="center"/>
      <w:outlineLvl w:val="0"/>
    </w:pPr>
    <w:rPr>
      <w:rFonts w:eastAsiaTheme="majorEastAsia" w:cstheme="majorBidi"/>
      <w:b/>
      <w:sz w:val="36"/>
      <w:szCs w:val="40"/>
    </w:rPr>
  </w:style>
  <w:style w:type="paragraph" w:styleId="2">
    <w:name w:val="heading 2"/>
    <w:basedOn w:val="a"/>
    <w:next w:val="a"/>
    <w:link w:val="20"/>
    <w:uiPriority w:val="9"/>
    <w:semiHidden/>
    <w:unhideWhenUsed/>
    <w:qFormat/>
    <w:rsid w:val="00A60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60378"/>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A603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03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037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037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037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0378"/>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6089"/>
    <w:rPr>
      <w:rFonts w:ascii="Times New Roman" w:eastAsiaTheme="majorEastAsia" w:hAnsi="Times New Roman" w:cstheme="majorBidi"/>
      <w:b/>
      <w:sz w:val="36"/>
      <w:szCs w:val="40"/>
    </w:rPr>
  </w:style>
  <w:style w:type="character" w:customStyle="1" w:styleId="20">
    <w:name w:val="Заголовок 2 Знак"/>
    <w:basedOn w:val="a0"/>
    <w:link w:val="2"/>
    <w:uiPriority w:val="9"/>
    <w:semiHidden/>
    <w:rsid w:val="00A6037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6037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6037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6037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6037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0378"/>
    <w:rPr>
      <w:rFonts w:eastAsiaTheme="majorEastAsia" w:cstheme="majorBidi"/>
      <w:color w:val="595959" w:themeColor="text1" w:themeTint="A6"/>
    </w:rPr>
  </w:style>
  <w:style w:type="character" w:customStyle="1" w:styleId="80">
    <w:name w:val="Заголовок 8 Знак"/>
    <w:basedOn w:val="a0"/>
    <w:link w:val="8"/>
    <w:uiPriority w:val="9"/>
    <w:semiHidden/>
    <w:rsid w:val="00A6037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0378"/>
    <w:rPr>
      <w:rFonts w:eastAsiaTheme="majorEastAsia" w:cstheme="majorBidi"/>
      <w:color w:val="272727" w:themeColor="text1" w:themeTint="D8"/>
    </w:rPr>
  </w:style>
  <w:style w:type="paragraph" w:styleId="a3">
    <w:name w:val="Title"/>
    <w:aliases w:val="Таблицы"/>
    <w:basedOn w:val="a"/>
    <w:next w:val="a"/>
    <w:link w:val="a4"/>
    <w:autoRedefine/>
    <w:uiPriority w:val="10"/>
    <w:qFormat/>
    <w:rsid w:val="00746089"/>
    <w:pPr>
      <w:spacing w:line="240" w:lineRule="auto"/>
      <w:ind w:firstLine="0"/>
      <w:contextualSpacing/>
    </w:pPr>
    <w:rPr>
      <w:rFonts w:eastAsiaTheme="majorEastAsia" w:cstheme="majorBidi"/>
      <w:spacing w:val="-10"/>
      <w:kern w:val="28"/>
      <w:sz w:val="24"/>
      <w:szCs w:val="56"/>
    </w:rPr>
  </w:style>
  <w:style w:type="character" w:customStyle="1" w:styleId="a4">
    <w:name w:val="Заголовок Знак"/>
    <w:aliases w:val="Таблицы Знак"/>
    <w:basedOn w:val="a0"/>
    <w:link w:val="a3"/>
    <w:uiPriority w:val="10"/>
    <w:rsid w:val="00746089"/>
    <w:rPr>
      <w:rFonts w:ascii="Times New Roman" w:eastAsiaTheme="majorEastAsia" w:hAnsi="Times New Roman" w:cstheme="majorBidi"/>
      <w:spacing w:val="-10"/>
      <w:kern w:val="28"/>
      <w:szCs w:val="56"/>
    </w:rPr>
  </w:style>
  <w:style w:type="paragraph" w:styleId="a5">
    <w:name w:val="Subtitle"/>
    <w:basedOn w:val="a"/>
    <w:next w:val="a"/>
    <w:link w:val="a6"/>
    <w:uiPriority w:val="11"/>
    <w:qFormat/>
    <w:rsid w:val="00A60378"/>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6037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0378"/>
    <w:pPr>
      <w:spacing w:before="160"/>
      <w:jc w:val="center"/>
    </w:pPr>
    <w:rPr>
      <w:i/>
      <w:iCs/>
      <w:color w:val="404040" w:themeColor="text1" w:themeTint="BF"/>
    </w:rPr>
  </w:style>
  <w:style w:type="character" w:customStyle="1" w:styleId="22">
    <w:name w:val="Цитата 2 Знак"/>
    <w:basedOn w:val="a0"/>
    <w:link w:val="21"/>
    <w:uiPriority w:val="29"/>
    <w:rsid w:val="00A60378"/>
    <w:rPr>
      <w:i/>
      <w:iCs/>
      <w:color w:val="404040" w:themeColor="text1" w:themeTint="BF"/>
    </w:rPr>
  </w:style>
  <w:style w:type="paragraph" w:styleId="a7">
    <w:name w:val="List Paragraph"/>
    <w:basedOn w:val="a"/>
    <w:uiPriority w:val="34"/>
    <w:qFormat/>
    <w:rsid w:val="00A60378"/>
    <w:pPr>
      <w:ind w:left="720"/>
      <w:contextualSpacing/>
    </w:pPr>
  </w:style>
  <w:style w:type="character" w:styleId="a8">
    <w:name w:val="Intense Emphasis"/>
    <w:basedOn w:val="a0"/>
    <w:uiPriority w:val="21"/>
    <w:qFormat/>
    <w:rsid w:val="00A60378"/>
    <w:rPr>
      <w:i/>
      <w:iCs/>
      <w:color w:val="0F4761" w:themeColor="accent1" w:themeShade="BF"/>
    </w:rPr>
  </w:style>
  <w:style w:type="paragraph" w:styleId="a9">
    <w:name w:val="Intense Quote"/>
    <w:basedOn w:val="a"/>
    <w:next w:val="a"/>
    <w:link w:val="aa"/>
    <w:uiPriority w:val="30"/>
    <w:qFormat/>
    <w:rsid w:val="00A60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60378"/>
    <w:rPr>
      <w:i/>
      <w:iCs/>
      <w:color w:val="0F4761" w:themeColor="accent1" w:themeShade="BF"/>
    </w:rPr>
  </w:style>
  <w:style w:type="character" w:styleId="ab">
    <w:name w:val="Intense Reference"/>
    <w:basedOn w:val="a0"/>
    <w:uiPriority w:val="32"/>
    <w:qFormat/>
    <w:rsid w:val="00A60378"/>
    <w:rPr>
      <w:b/>
      <w:bCs/>
      <w:smallCaps/>
      <w:color w:val="0F4761" w:themeColor="accent1" w:themeShade="BF"/>
      <w:spacing w:val="5"/>
    </w:rPr>
  </w:style>
  <w:style w:type="paragraph" w:styleId="ac">
    <w:name w:val="header"/>
    <w:basedOn w:val="a"/>
    <w:link w:val="ad"/>
    <w:uiPriority w:val="99"/>
    <w:unhideWhenUsed/>
    <w:rsid w:val="00746089"/>
    <w:pPr>
      <w:tabs>
        <w:tab w:val="center" w:pos="4677"/>
        <w:tab w:val="right" w:pos="9355"/>
      </w:tabs>
      <w:spacing w:line="240" w:lineRule="auto"/>
    </w:pPr>
  </w:style>
  <w:style w:type="character" w:customStyle="1" w:styleId="ad">
    <w:name w:val="Верхний колонтитул Знак"/>
    <w:basedOn w:val="a0"/>
    <w:link w:val="ac"/>
    <w:uiPriority w:val="99"/>
    <w:rsid w:val="00746089"/>
    <w:rPr>
      <w:rFonts w:ascii="Times New Roman" w:hAnsi="Times New Roman"/>
      <w:sz w:val="28"/>
    </w:rPr>
  </w:style>
  <w:style w:type="paragraph" w:styleId="ae">
    <w:name w:val="footer"/>
    <w:basedOn w:val="a"/>
    <w:link w:val="af"/>
    <w:uiPriority w:val="99"/>
    <w:unhideWhenUsed/>
    <w:rsid w:val="00746089"/>
    <w:pPr>
      <w:tabs>
        <w:tab w:val="center" w:pos="4677"/>
        <w:tab w:val="right" w:pos="9355"/>
      </w:tabs>
      <w:spacing w:line="240" w:lineRule="auto"/>
    </w:pPr>
  </w:style>
  <w:style w:type="character" w:customStyle="1" w:styleId="af">
    <w:name w:val="Нижний колонтитул Знак"/>
    <w:basedOn w:val="a0"/>
    <w:link w:val="ae"/>
    <w:uiPriority w:val="99"/>
    <w:rsid w:val="00746089"/>
    <w:rPr>
      <w:rFonts w:ascii="Times New Roman" w:hAnsi="Times New Roman"/>
      <w:sz w:val="28"/>
    </w:rPr>
  </w:style>
  <w:style w:type="numbering" w:customStyle="1" w:styleId="11">
    <w:name w:val="Нет списка1"/>
    <w:next w:val="a2"/>
    <w:uiPriority w:val="99"/>
    <w:semiHidden/>
    <w:unhideWhenUsed/>
    <w:rsid w:val="000005A2"/>
  </w:style>
  <w:style w:type="paragraph" w:customStyle="1" w:styleId="msonormal0">
    <w:name w:val="msonormal"/>
    <w:basedOn w:val="a"/>
    <w:rsid w:val="000005A2"/>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character" w:styleId="af0">
    <w:name w:val="Strong"/>
    <w:basedOn w:val="a0"/>
    <w:uiPriority w:val="22"/>
    <w:qFormat/>
    <w:rsid w:val="000005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20</Pages>
  <Words>4907</Words>
  <Characters>27974</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Анализ финансового состояния организации (на примере ООО «МИЛЛАБ»)</dc:title>
  <dc:subject>Курсовая работа по экономическому анализу</dc:subject>
  <dc:creator>Alex Tsymbal</dc:creator>
  <cp:keywords>ООО МИЛЛАБ, финансовое состояние, экономический анализ</cp:keywords>
  <dc:description/>
  <cp:lastModifiedBy>Alex Tsymbal</cp:lastModifiedBy>
  <cp:revision>4</cp:revision>
  <dcterms:created xsi:type="dcterms:W3CDTF">2026-09-13T12:44:00Z</dcterms:created>
  <dcterms:modified xsi:type="dcterms:W3CDTF">2026-09-28T14:17:00Z</dcterms:modified>
</cp:coreProperties>
</file>