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12207" w14:textId="00DAA347" w:rsidR="00882293" w:rsidRDefault="00753355" w:rsidP="00B35300">
      <w:pPr>
        <w:spacing w:line="480" w:lineRule="auto"/>
        <w:jc w:val="center"/>
        <w:rPr>
          <w:rFonts w:ascii="Times New Roman" w:hAnsi="Times New Roman" w:cs="Times New Roman"/>
          <w:sz w:val="24"/>
          <w:szCs w:val="24"/>
        </w:rPr>
      </w:pPr>
      <w:bookmarkStart w:id="0" w:name="_nj5giy92uiou" w:colFirst="0" w:colLast="0"/>
      <w:bookmarkEnd w:id="0"/>
      <w:r>
        <w:rPr>
          <w:noProof/>
          <w:sz w:val="24"/>
          <w:szCs w:val="24"/>
        </w:rPr>
        <w:drawing>
          <wp:inline distT="0" distB="0" distL="0" distR="0" wp14:anchorId="5EB67DA2" wp14:editId="04AC40AE">
            <wp:extent cx="5943600" cy="4454525"/>
            <wp:effectExtent l="0" t="0" r="0" b="3175"/>
            <wp:docPr id="159837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70140" name="Picture 15983701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inline>
        </w:drawing>
      </w:r>
      <w:r w:rsidR="00933E6A" w:rsidRPr="00B35300">
        <w:rPr>
          <w:sz w:val="24"/>
          <w:szCs w:val="24"/>
        </w:rPr>
        <w:br w:type="page"/>
      </w:r>
      <w:r w:rsidR="00B35300" w:rsidRPr="00B35300">
        <w:rPr>
          <w:rFonts w:ascii="Times New Roman" w:hAnsi="Times New Roman" w:cs="Times New Roman"/>
          <w:sz w:val="24"/>
          <w:szCs w:val="24"/>
        </w:rPr>
        <w:lastRenderedPageBreak/>
        <w:t>SPECIES SORTING IN COASTAL WETLANDS – A HOLISTIC LOOK AT THE BIODIVERSITY WITHIN GRENADA’S MANGROVES</w:t>
      </w:r>
    </w:p>
    <w:p w14:paraId="6C5A2A34" w14:textId="77777777" w:rsidR="00C04377" w:rsidRDefault="00C04377" w:rsidP="00F109CE">
      <w:pPr>
        <w:spacing w:line="480" w:lineRule="auto"/>
        <w:rPr>
          <w:rFonts w:ascii="Times New Roman" w:hAnsi="Times New Roman" w:cs="Times New Roman"/>
          <w:sz w:val="24"/>
          <w:szCs w:val="24"/>
        </w:rPr>
      </w:pPr>
    </w:p>
    <w:p w14:paraId="42EDBB3F" w14:textId="083DDCD7" w:rsidR="00EC77C1" w:rsidRPr="00F109CE" w:rsidRDefault="00EC77C1" w:rsidP="00C04377">
      <w:pPr>
        <w:pStyle w:val="CoverPage"/>
        <w:ind w:firstLine="0"/>
        <w:rPr>
          <w:iCs/>
          <w:color w:val="000000" w:themeColor="text1"/>
          <w:vertAlign w:val="superscript"/>
          <w:lang w:val="en"/>
        </w:rPr>
      </w:pPr>
      <w:r w:rsidRPr="00EC77C1">
        <w:rPr>
          <w:iCs/>
          <w:color w:val="000000" w:themeColor="text1"/>
          <w:lang w:val="en"/>
        </w:rPr>
        <w:t>Zoya Buckmire</w:t>
      </w:r>
      <w:r w:rsidR="00EC3293">
        <w:rPr>
          <w:iCs/>
          <w:color w:val="000000" w:themeColor="text1"/>
          <w:vertAlign w:val="superscript"/>
          <w:lang w:val="en"/>
        </w:rPr>
        <w:t>1,2</w:t>
      </w:r>
      <w:r w:rsidRPr="00EC77C1">
        <w:rPr>
          <w:iCs/>
          <w:color w:val="000000" w:themeColor="text1"/>
          <w:lang w:val="en"/>
        </w:rPr>
        <w:t>, Courtney Robichaud</w:t>
      </w:r>
      <w:r w:rsidR="00EC3293">
        <w:rPr>
          <w:iCs/>
          <w:color w:val="000000" w:themeColor="text1"/>
          <w:vertAlign w:val="superscript"/>
          <w:lang w:val="en"/>
        </w:rPr>
        <w:t>2</w:t>
      </w:r>
      <w:r w:rsidRPr="00EC77C1">
        <w:rPr>
          <w:iCs/>
          <w:color w:val="000000" w:themeColor="text1"/>
          <w:lang w:val="en"/>
        </w:rPr>
        <w:t>, Casey Remmer</w:t>
      </w:r>
      <w:r w:rsidR="00EC3293">
        <w:rPr>
          <w:iCs/>
          <w:color w:val="000000" w:themeColor="text1"/>
          <w:vertAlign w:val="superscript"/>
          <w:lang w:val="en"/>
        </w:rPr>
        <w:t>2</w:t>
      </w:r>
      <w:r w:rsidRPr="00EC77C1">
        <w:rPr>
          <w:iCs/>
          <w:color w:val="000000" w:themeColor="text1"/>
          <w:lang w:val="en"/>
        </w:rPr>
        <w:t>, Wayne Smart</w:t>
      </w:r>
      <w:r w:rsidR="00EC3293">
        <w:rPr>
          <w:iCs/>
          <w:color w:val="000000" w:themeColor="text1"/>
          <w:vertAlign w:val="superscript"/>
          <w:lang w:val="en"/>
        </w:rPr>
        <w:t>2</w:t>
      </w:r>
      <w:r w:rsidRPr="00EC77C1">
        <w:rPr>
          <w:iCs/>
          <w:color w:val="000000" w:themeColor="text1"/>
          <w:lang w:val="en"/>
        </w:rPr>
        <w:t>, Brittney St. Clair</w:t>
      </w:r>
      <w:r w:rsidR="00F109CE">
        <w:rPr>
          <w:iCs/>
          <w:color w:val="000000" w:themeColor="text1"/>
          <w:vertAlign w:val="superscript"/>
          <w:lang w:val="en"/>
        </w:rPr>
        <w:t>3</w:t>
      </w:r>
      <w:r w:rsidRPr="00EC77C1">
        <w:rPr>
          <w:iCs/>
          <w:color w:val="000000" w:themeColor="text1"/>
          <w:lang w:val="en"/>
        </w:rPr>
        <w:t>, Marissa Cornwall</w:t>
      </w:r>
      <w:r w:rsidR="00F109CE">
        <w:rPr>
          <w:iCs/>
          <w:color w:val="000000" w:themeColor="text1"/>
          <w:vertAlign w:val="superscript"/>
          <w:lang w:val="en"/>
        </w:rPr>
        <w:t>3</w:t>
      </w:r>
      <w:r w:rsidRPr="00EC77C1">
        <w:rPr>
          <w:iCs/>
          <w:color w:val="000000" w:themeColor="text1"/>
          <w:lang w:val="en"/>
        </w:rPr>
        <w:t>, Patricia Rosa</w:t>
      </w:r>
      <w:r w:rsidR="00F109CE">
        <w:rPr>
          <w:iCs/>
          <w:color w:val="000000" w:themeColor="text1"/>
          <w:vertAlign w:val="superscript"/>
          <w:lang w:val="en"/>
        </w:rPr>
        <w:t>3</w:t>
      </w:r>
      <w:r w:rsidRPr="00EC77C1">
        <w:rPr>
          <w:iCs/>
          <w:color w:val="000000" w:themeColor="text1"/>
          <w:lang w:val="en"/>
        </w:rPr>
        <w:t>, Nigel Gibbs</w:t>
      </w:r>
      <w:r w:rsidR="00F109CE">
        <w:rPr>
          <w:iCs/>
          <w:color w:val="000000" w:themeColor="text1"/>
          <w:vertAlign w:val="superscript"/>
          <w:lang w:val="en"/>
        </w:rPr>
        <w:t>2,3</w:t>
      </w:r>
      <w:r w:rsidRPr="00EC77C1">
        <w:rPr>
          <w:iCs/>
          <w:color w:val="000000" w:themeColor="text1"/>
          <w:lang w:val="en"/>
        </w:rPr>
        <w:t>, Steve Nimrod</w:t>
      </w:r>
      <w:r w:rsidR="00F109CE">
        <w:rPr>
          <w:iCs/>
          <w:color w:val="000000" w:themeColor="text1"/>
          <w:vertAlign w:val="superscript"/>
          <w:lang w:val="en"/>
        </w:rPr>
        <w:t>3</w:t>
      </w:r>
      <w:r>
        <w:rPr>
          <w:iCs/>
          <w:color w:val="000000" w:themeColor="text1"/>
          <w:lang w:val="en"/>
        </w:rPr>
        <w:t xml:space="preserve">, </w:t>
      </w:r>
      <w:r w:rsidRPr="00EC77C1">
        <w:rPr>
          <w:iCs/>
          <w:color w:val="000000" w:themeColor="text1"/>
          <w:lang w:val="en"/>
        </w:rPr>
        <w:t>Jody Daniel</w:t>
      </w:r>
      <w:r w:rsidR="00F109CE">
        <w:rPr>
          <w:iCs/>
          <w:color w:val="000000" w:themeColor="text1"/>
          <w:vertAlign w:val="superscript"/>
          <w:lang w:val="en"/>
        </w:rPr>
        <w:t>3</w:t>
      </w:r>
    </w:p>
    <w:p w14:paraId="1BA2EC31" w14:textId="031697A0" w:rsidR="00EC3293" w:rsidRDefault="00C04377" w:rsidP="00C04377">
      <w:pPr>
        <w:pStyle w:val="CoverPage"/>
        <w:ind w:firstLine="0"/>
        <w:rPr>
          <w:iCs/>
          <w:color w:val="000000" w:themeColor="text1"/>
          <w:vertAlign w:val="superscript"/>
        </w:rPr>
      </w:pPr>
      <w:r w:rsidRPr="008D5A16">
        <w:rPr>
          <w:iCs/>
          <w:color w:val="000000" w:themeColor="text1"/>
          <w:vertAlign w:val="superscript"/>
        </w:rPr>
        <w:t>1</w:t>
      </w:r>
      <w:r w:rsidRPr="008D5A16">
        <w:rPr>
          <w:iCs/>
          <w:color w:val="000000" w:themeColor="text1"/>
        </w:rPr>
        <w:t xml:space="preserve"> </w:t>
      </w:r>
      <w:r w:rsidR="00EC3293">
        <w:rPr>
          <w:iCs/>
          <w:color w:val="000000" w:themeColor="text1"/>
        </w:rPr>
        <w:t xml:space="preserve">Grenada Fund for </w:t>
      </w:r>
      <w:r w:rsidR="00EC3293" w:rsidRPr="008D5A16">
        <w:rPr>
          <w:iCs/>
          <w:color w:val="000000" w:themeColor="text1"/>
        </w:rPr>
        <w:t>Conservation, St. George, Grenada, West Indies</w:t>
      </w:r>
      <w:r w:rsidR="00EC3293" w:rsidRPr="008D5A16">
        <w:rPr>
          <w:iCs/>
          <w:color w:val="000000" w:themeColor="text1"/>
          <w:vertAlign w:val="superscript"/>
        </w:rPr>
        <w:t xml:space="preserve"> </w:t>
      </w:r>
    </w:p>
    <w:p w14:paraId="7D4FD0A2" w14:textId="0BD8EA58" w:rsidR="00C04377" w:rsidRDefault="00C04377" w:rsidP="00C04377">
      <w:pPr>
        <w:pStyle w:val="CoverPage"/>
        <w:ind w:firstLine="0"/>
        <w:rPr>
          <w:iCs/>
          <w:color w:val="000000" w:themeColor="text1"/>
        </w:rPr>
      </w:pPr>
      <w:r w:rsidRPr="008D5A16">
        <w:rPr>
          <w:iCs/>
          <w:color w:val="000000" w:themeColor="text1"/>
          <w:vertAlign w:val="superscript"/>
        </w:rPr>
        <w:t>2</w:t>
      </w:r>
      <w:r w:rsidRPr="008D5A16">
        <w:rPr>
          <w:iCs/>
          <w:color w:val="000000" w:themeColor="text1"/>
        </w:rPr>
        <w:t xml:space="preserve"> Gaea Conservation Network, Grand Anse, St. George, Grenada, West Indies</w:t>
      </w:r>
    </w:p>
    <w:p w14:paraId="6D199D1F" w14:textId="3E4815F7" w:rsidR="00EC3293" w:rsidRPr="008D5A16" w:rsidRDefault="00EC3293" w:rsidP="00EC3293">
      <w:pPr>
        <w:pStyle w:val="CoverPage"/>
        <w:ind w:firstLine="0"/>
        <w:rPr>
          <w:iCs/>
          <w:color w:val="000000" w:themeColor="text1"/>
        </w:rPr>
      </w:pPr>
      <w:r>
        <w:rPr>
          <w:iCs/>
          <w:color w:val="000000" w:themeColor="text1"/>
          <w:vertAlign w:val="superscript"/>
        </w:rPr>
        <w:t xml:space="preserve">3 </w:t>
      </w:r>
      <w:r>
        <w:rPr>
          <w:iCs/>
          <w:color w:val="000000" w:themeColor="text1"/>
        </w:rPr>
        <w:t xml:space="preserve">St. George’s University, True Blue, </w:t>
      </w:r>
      <w:r w:rsidRPr="008D5A16">
        <w:rPr>
          <w:iCs/>
          <w:color w:val="000000" w:themeColor="text1"/>
        </w:rPr>
        <w:t>St. George, Grenada, West Indies</w:t>
      </w:r>
    </w:p>
    <w:p w14:paraId="051CFC47" w14:textId="167AF93A" w:rsidR="00C04377" w:rsidRPr="008D5A16" w:rsidRDefault="00C04377" w:rsidP="00C04377">
      <w:pPr>
        <w:pStyle w:val="CoverPage"/>
        <w:ind w:firstLine="0"/>
        <w:rPr>
          <w:iCs/>
          <w:color w:val="000000" w:themeColor="text1"/>
        </w:rPr>
      </w:pPr>
      <w:r w:rsidRPr="008D5A16">
        <w:rPr>
          <w:iCs/>
          <w:color w:val="000000" w:themeColor="text1"/>
        </w:rPr>
        <w:t xml:space="preserve">* </w:t>
      </w:r>
      <w:r w:rsidRPr="008D5A16">
        <w:rPr>
          <w:b/>
          <w:color w:val="000000" w:themeColor="text1"/>
        </w:rPr>
        <w:t>Corresponding Author</w:t>
      </w:r>
      <w:r w:rsidRPr="008D5A16">
        <w:rPr>
          <w:iCs/>
          <w:color w:val="000000" w:themeColor="text1"/>
        </w:rPr>
        <w:t xml:space="preserve">: </w:t>
      </w:r>
      <w:hyperlink r:id="rId6" w:history="1">
        <w:r w:rsidR="00E55ABD" w:rsidRPr="00877F1C">
          <w:rPr>
            <w:rStyle w:val="Hyperlink"/>
            <w:iCs/>
          </w:rPr>
          <w:t>jodyndaniel@gmail.com</w:t>
        </w:r>
      </w:hyperlink>
    </w:p>
    <w:p w14:paraId="449C9251" w14:textId="77777777" w:rsidR="00C04377" w:rsidRPr="00B35300" w:rsidRDefault="00C04377" w:rsidP="00B35300">
      <w:pPr>
        <w:spacing w:line="480" w:lineRule="auto"/>
        <w:jc w:val="center"/>
        <w:rPr>
          <w:rFonts w:ascii="Times New Roman" w:hAnsi="Times New Roman" w:cs="Times New Roman"/>
          <w:b/>
          <w:bCs/>
          <w:sz w:val="24"/>
          <w:szCs w:val="24"/>
        </w:rPr>
      </w:pPr>
    </w:p>
    <w:p w14:paraId="20415BD4" w14:textId="77777777" w:rsidR="00882293" w:rsidRDefault="0031658D" w:rsidP="00A94A41">
      <w:pPr>
        <w:spacing w:after="200" w:line="480" w:lineRule="auto"/>
        <w:rPr>
          <w:rFonts w:ascii="Times New Roman" w:hAnsi="Times New Roman" w:cs="Times New Roman"/>
          <w:sz w:val="24"/>
          <w:szCs w:val="24"/>
        </w:rPr>
      </w:pPr>
      <w:r w:rsidRPr="00C2623B">
        <w:rPr>
          <w:rFonts w:ascii="Times New Roman" w:hAnsi="Times New Roman" w:cs="Times New Roman"/>
          <w:i/>
          <w:iCs/>
          <w:sz w:val="24"/>
          <w:szCs w:val="24"/>
        </w:rPr>
        <w:t>Abstract</w:t>
      </w:r>
      <w:r w:rsidRPr="00B35300">
        <w:rPr>
          <w:rFonts w:ascii="Times New Roman" w:hAnsi="Times New Roman" w:cs="Times New Roman"/>
          <w:sz w:val="24"/>
          <w:szCs w:val="24"/>
        </w:rPr>
        <w:t>:</w:t>
      </w:r>
    </w:p>
    <w:p w14:paraId="2E352037" w14:textId="0AFB4C2D" w:rsidR="008E03EC" w:rsidRPr="00B35300" w:rsidRDefault="008E03EC" w:rsidP="00A94A41">
      <w:pPr>
        <w:spacing w:after="200" w:line="480" w:lineRule="auto"/>
        <w:rPr>
          <w:rFonts w:ascii="Times New Roman" w:hAnsi="Times New Roman" w:cs="Times New Roman"/>
          <w:sz w:val="24"/>
          <w:szCs w:val="24"/>
        </w:rPr>
      </w:pPr>
      <w:r w:rsidRPr="008E03EC">
        <w:rPr>
          <w:rFonts w:ascii="Times New Roman" w:hAnsi="Times New Roman" w:cs="Times New Roman"/>
          <w:sz w:val="24"/>
          <w:szCs w:val="24"/>
        </w:rPr>
        <w:t xml:space="preserve">This study investigates bird community composition in Grenada's mangrove ecosystems, examining potential species sorting processes and relationships with plant communities. We assessed cross-taxon congruence between bird and plant communities, evaluated avian community differences between fringing and basin mangroves, and analyzed the predictive power of plant characteristics and site type on bird diversity. Our results revealed significant cross-taxon congruence only between bird communities and tree height. We found no significant differences in avian community composition between fringing and basin </w:t>
      </w:r>
      <w:proofErr w:type="gramStart"/>
      <w:r w:rsidRPr="008E03EC">
        <w:rPr>
          <w:rFonts w:ascii="Times New Roman" w:hAnsi="Times New Roman" w:cs="Times New Roman"/>
          <w:sz w:val="24"/>
          <w:szCs w:val="24"/>
        </w:rPr>
        <w:t>mangroves, and</w:t>
      </w:r>
      <w:proofErr w:type="gramEnd"/>
      <w:r w:rsidRPr="008E03EC">
        <w:rPr>
          <w:rFonts w:ascii="Times New Roman" w:hAnsi="Times New Roman" w:cs="Times New Roman"/>
          <w:sz w:val="24"/>
          <w:szCs w:val="24"/>
        </w:rPr>
        <w:t xml:space="preserve"> limited predictive power of plant characteristics or site type on bird diversity metrics. Preliminary data on invasive mammals and stable isotope analysis suggest additional factors influencing bird communities that may support species sorting mechanisms not captured by current physiographic categories. This study provides the first published records of bird communities in these understudied Grenadian mangrove sites, establishing valuable baseline data for Caribbean </w:t>
      </w:r>
      <w:r w:rsidRPr="008E03EC">
        <w:rPr>
          <w:rFonts w:ascii="Times New Roman" w:hAnsi="Times New Roman" w:cs="Times New Roman"/>
          <w:sz w:val="24"/>
          <w:szCs w:val="24"/>
        </w:rPr>
        <w:lastRenderedPageBreak/>
        <w:t>ornithology. Our findings highlight the complexity of factors influencing avian communities in mangrove ecosystems and emphasize the importance of comprehensive mangrove protection strategies for bird conservation in the Caribbean.</w:t>
      </w:r>
    </w:p>
    <w:p w14:paraId="066C931C" w14:textId="45CDE612" w:rsidR="00882293" w:rsidRPr="00C2623B" w:rsidRDefault="0031658D" w:rsidP="00A94A41">
      <w:pPr>
        <w:spacing w:after="200" w:line="480" w:lineRule="auto"/>
        <w:rPr>
          <w:rFonts w:ascii="Times New Roman" w:hAnsi="Times New Roman" w:cs="Times New Roman"/>
          <w:sz w:val="24"/>
          <w:szCs w:val="24"/>
        </w:rPr>
      </w:pPr>
      <w:r w:rsidRPr="00C2623B">
        <w:rPr>
          <w:rFonts w:ascii="Times New Roman" w:hAnsi="Times New Roman" w:cs="Times New Roman"/>
          <w:i/>
          <w:iCs/>
          <w:sz w:val="24"/>
          <w:szCs w:val="24"/>
        </w:rPr>
        <w:t>Keywords</w:t>
      </w:r>
      <w:r w:rsidR="00C2623B">
        <w:rPr>
          <w:rFonts w:ascii="Times New Roman" w:hAnsi="Times New Roman" w:cs="Times New Roman"/>
          <w:sz w:val="24"/>
          <w:szCs w:val="24"/>
        </w:rPr>
        <w:t>:</w:t>
      </w:r>
      <w:r w:rsidR="00DE4D99">
        <w:rPr>
          <w:rFonts w:ascii="Times New Roman" w:hAnsi="Times New Roman" w:cs="Times New Roman"/>
          <w:sz w:val="24"/>
          <w:szCs w:val="24"/>
        </w:rPr>
        <w:t xml:space="preserve"> </w:t>
      </w:r>
      <w:r w:rsidR="00DE4D99" w:rsidRPr="00DE4D99">
        <w:rPr>
          <w:rFonts w:ascii="Times New Roman" w:hAnsi="Times New Roman" w:cs="Times New Roman"/>
          <w:sz w:val="24"/>
          <w:szCs w:val="24"/>
        </w:rPr>
        <w:t>Avian ecology</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Mangrove conservation</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Species sorting</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Community composition</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Cross-taxon congruence</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Caribbean ornithology</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Wetland birds </w:t>
      </w:r>
    </w:p>
    <w:p w14:paraId="0E544A67" w14:textId="77777777" w:rsidR="00882293" w:rsidRPr="00B35300" w:rsidRDefault="00882293" w:rsidP="00A94A41">
      <w:pPr>
        <w:spacing w:after="200" w:line="480" w:lineRule="auto"/>
        <w:rPr>
          <w:rFonts w:ascii="Times New Roman" w:hAnsi="Times New Roman" w:cs="Times New Roman"/>
          <w:sz w:val="24"/>
          <w:szCs w:val="24"/>
        </w:rPr>
      </w:pPr>
    </w:p>
    <w:p w14:paraId="52B711DB" w14:textId="77777777" w:rsidR="00882293" w:rsidRPr="00B35300" w:rsidRDefault="00882293" w:rsidP="00A94A41">
      <w:pPr>
        <w:spacing w:after="200" w:line="480" w:lineRule="auto"/>
        <w:rPr>
          <w:rFonts w:ascii="Times New Roman" w:hAnsi="Times New Roman" w:cs="Times New Roman"/>
          <w:sz w:val="24"/>
          <w:szCs w:val="24"/>
        </w:rPr>
      </w:pPr>
    </w:p>
    <w:p w14:paraId="5434E07D" w14:textId="77777777" w:rsidR="00882293" w:rsidRPr="00B35300" w:rsidRDefault="00882293" w:rsidP="00A94A41">
      <w:pPr>
        <w:spacing w:after="200" w:line="480" w:lineRule="auto"/>
        <w:rPr>
          <w:rFonts w:ascii="Times New Roman" w:hAnsi="Times New Roman" w:cs="Times New Roman"/>
          <w:sz w:val="24"/>
          <w:szCs w:val="24"/>
        </w:rPr>
      </w:pPr>
    </w:p>
    <w:p w14:paraId="0B9504C3" w14:textId="77777777" w:rsidR="00882293" w:rsidRPr="00B35300" w:rsidRDefault="00882293" w:rsidP="00A94A41">
      <w:pPr>
        <w:spacing w:after="200" w:line="480" w:lineRule="auto"/>
        <w:rPr>
          <w:rFonts w:ascii="Times New Roman" w:hAnsi="Times New Roman" w:cs="Times New Roman"/>
          <w:sz w:val="24"/>
          <w:szCs w:val="24"/>
        </w:rPr>
      </w:pPr>
    </w:p>
    <w:p w14:paraId="4C88FB7E" w14:textId="26B62B8F" w:rsidR="00882293" w:rsidRPr="00B35300" w:rsidRDefault="0031658D" w:rsidP="007B6078">
      <w:pPr>
        <w:pStyle w:val="Heading1"/>
      </w:pPr>
      <w:bookmarkStart w:id="1" w:name="_32garhqsm5zb" w:colFirst="0" w:colLast="0"/>
      <w:bookmarkEnd w:id="1"/>
      <w:r w:rsidRPr="00B35300">
        <w:br w:type="page"/>
      </w:r>
      <w:bookmarkStart w:id="2" w:name="_edw7uvkqedut" w:colFirst="0" w:colLast="0"/>
      <w:bookmarkEnd w:id="2"/>
    </w:p>
    <w:p w14:paraId="3E24DFD3" w14:textId="77777777" w:rsidR="00882293" w:rsidRPr="00B35300" w:rsidRDefault="0031658D" w:rsidP="00DF79AF">
      <w:pPr>
        <w:pStyle w:val="Heading1"/>
      </w:pPr>
      <w:bookmarkStart w:id="3" w:name="_wpj5r04pt611" w:colFirst="0" w:colLast="0"/>
      <w:bookmarkEnd w:id="3"/>
      <w:r w:rsidRPr="00DF79AF">
        <w:lastRenderedPageBreak/>
        <w:t>Introduction</w:t>
      </w:r>
    </w:p>
    <w:p w14:paraId="27AB6D55" w14:textId="484BE39E" w:rsidR="00882293" w:rsidRPr="00B35300" w:rsidRDefault="0031658D" w:rsidP="0066781E">
      <w:pPr>
        <w:spacing w:before="240" w:after="200" w:line="480" w:lineRule="auto"/>
        <w:ind w:firstLine="720"/>
        <w:jc w:val="both"/>
        <w:rPr>
          <w:rFonts w:ascii="Times New Roman" w:hAnsi="Times New Roman" w:cs="Times New Roman"/>
          <w:sz w:val="24"/>
          <w:szCs w:val="24"/>
        </w:rPr>
      </w:pPr>
      <w:r w:rsidRPr="00B35300">
        <w:rPr>
          <w:rFonts w:ascii="Times New Roman" w:hAnsi="Times New Roman" w:cs="Times New Roman"/>
          <w:sz w:val="24"/>
          <w:szCs w:val="24"/>
        </w:rPr>
        <w:t>By virtue of their abundant microhabitats, mangals (mangrove ecosystems) can support a wide range of wetland-dependent species such as waders, waterfowl, shorebirds, and more (Weller 1999; Hogarth 2015). These microhabitats are often due to differences in physiography - fringe, basin or riverine. Fringe mangroves, which are largely dominated by tidal regimes (</w:t>
      </w:r>
      <w:proofErr w:type="spellStart"/>
      <w:r w:rsidRPr="00B35300">
        <w:rPr>
          <w:rFonts w:ascii="Times New Roman" w:hAnsi="Times New Roman" w:cs="Times New Roman"/>
          <w:sz w:val="24"/>
          <w:szCs w:val="24"/>
        </w:rPr>
        <w:t>Ewel</w:t>
      </w:r>
      <w:proofErr w:type="spellEnd"/>
      <w:r w:rsidRPr="00B35300">
        <w:rPr>
          <w:rFonts w:ascii="Times New Roman" w:hAnsi="Times New Roman" w:cs="Times New Roman"/>
          <w:color w:val="222222"/>
          <w:sz w:val="24"/>
          <w:szCs w:val="24"/>
          <w:highlight w:val="white"/>
        </w:rPr>
        <w:t xml:space="preserve"> et al., 1998</w:t>
      </w:r>
      <w:r w:rsidRPr="00B35300">
        <w:rPr>
          <w:rFonts w:ascii="Times New Roman" w:hAnsi="Times New Roman" w:cs="Times New Roman"/>
          <w:sz w:val="24"/>
          <w:szCs w:val="24"/>
        </w:rPr>
        <w:t xml:space="preserve">) and have higher Nitrogen availability and cycling, also </w:t>
      </w:r>
      <w:r w:rsidR="007D35D4" w:rsidRPr="00B35300">
        <w:rPr>
          <w:rFonts w:ascii="Times New Roman" w:hAnsi="Times New Roman" w:cs="Times New Roman"/>
          <w:sz w:val="24"/>
          <w:szCs w:val="24"/>
        </w:rPr>
        <w:t>exhibit enhanced</w:t>
      </w:r>
      <w:r w:rsidRPr="00B35300">
        <w:rPr>
          <w:rFonts w:ascii="Times New Roman" w:hAnsi="Times New Roman" w:cs="Times New Roman"/>
          <w:sz w:val="24"/>
          <w:szCs w:val="24"/>
        </w:rPr>
        <w:t xml:space="preserve"> structural development (i.e., larger trees with wider canopies) when compared to basin mangroves (</w:t>
      </w:r>
      <w:r w:rsidRPr="00B35300">
        <w:rPr>
          <w:rFonts w:ascii="Times New Roman" w:hAnsi="Times New Roman" w:cs="Times New Roman"/>
          <w:color w:val="222222"/>
          <w:sz w:val="24"/>
          <w:szCs w:val="24"/>
          <w:highlight w:val="white"/>
        </w:rPr>
        <w:t xml:space="preserve">Rivera-Monroy et al., 1995; </w:t>
      </w:r>
      <w:r w:rsidRPr="00B35300">
        <w:rPr>
          <w:rFonts w:ascii="Times New Roman" w:hAnsi="Times New Roman" w:cs="Times New Roman"/>
          <w:sz w:val="24"/>
          <w:szCs w:val="24"/>
        </w:rPr>
        <w:t>Reis et al., 2017). Basin mangroves, which are often fed by occasional storm/high tides, are more interior (</w:t>
      </w:r>
      <w:proofErr w:type="spellStart"/>
      <w:r w:rsidRPr="00B35300">
        <w:rPr>
          <w:rFonts w:ascii="Times New Roman" w:hAnsi="Times New Roman" w:cs="Times New Roman"/>
          <w:sz w:val="24"/>
          <w:szCs w:val="24"/>
        </w:rPr>
        <w:t>Ewel</w:t>
      </w:r>
      <w:proofErr w:type="spellEnd"/>
      <w:r w:rsidRPr="00B35300">
        <w:rPr>
          <w:rFonts w:ascii="Times New Roman" w:hAnsi="Times New Roman" w:cs="Times New Roman"/>
          <w:color w:val="222222"/>
          <w:sz w:val="24"/>
          <w:szCs w:val="24"/>
          <w:highlight w:val="white"/>
        </w:rPr>
        <w:t xml:space="preserve"> et al., 1998</w:t>
      </w:r>
      <w:r w:rsidRPr="00B35300">
        <w:rPr>
          <w:rFonts w:ascii="Times New Roman" w:hAnsi="Times New Roman" w:cs="Times New Roman"/>
          <w:sz w:val="24"/>
          <w:szCs w:val="24"/>
        </w:rPr>
        <w:t>) and their lower structural development may suggest that they are favored by birds of different functional traits from fringe mangroves. Tidal regimes are, therefore, the dominant abiotic filter structuring mangrove communities and assuming birds’ dispersal abilities among patches are equivalent, mangals may serve as a useful ecosystem to interrogate a spe</w:t>
      </w:r>
      <w:r w:rsidRPr="00B35300">
        <w:rPr>
          <w:rFonts w:ascii="Times New Roman" w:hAnsi="Times New Roman" w:cs="Times New Roman"/>
          <w:sz w:val="24"/>
          <w:szCs w:val="24"/>
        </w:rPr>
        <w:t xml:space="preserve">cies sorting model (see </w:t>
      </w:r>
      <w:proofErr w:type="spellStart"/>
      <w:r w:rsidRPr="00B35300">
        <w:rPr>
          <w:rFonts w:ascii="Times New Roman" w:hAnsi="Times New Roman" w:cs="Times New Roman"/>
          <w:sz w:val="24"/>
          <w:szCs w:val="24"/>
        </w:rPr>
        <w:t>Leiobold</w:t>
      </w:r>
      <w:proofErr w:type="spellEnd"/>
      <w:r w:rsidRPr="00B35300">
        <w:rPr>
          <w:rFonts w:ascii="Times New Roman" w:hAnsi="Times New Roman" w:cs="Times New Roman"/>
          <w:sz w:val="24"/>
          <w:szCs w:val="24"/>
        </w:rPr>
        <w:t xml:space="preserve"> et al 2004 for community assembly models). </w:t>
      </w:r>
    </w:p>
    <w:p w14:paraId="768E1AE3" w14:textId="2D60F4F8" w:rsidR="00882293" w:rsidRPr="00B35300" w:rsidRDefault="0031658D" w:rsidP="0066781E">
      <w:pPr>
        <w:spacing w:before="240" w:after="200" w:line="480" w:lineRule="auto"/>
        <w:ind w:firstLine="720"/>
        <w:jc w:val="both"/>
        <w:rPr>
          <w:rFonts w:ascii="Times New Roman" w:hAnsi="Times New Roman" w:cs="Times New Roman"/>
          <w:sz w:val="24"/>
          <w:szCs w:val="24"/>
        </w:rPr>
      </w:pPr>
      <w:r w:rsidRPr="00B35300">
        <w:rPr>
          <w:rFonts w:ascii="Times New Roman" w:hAnsi="Times New Roman" w:cs="Times New Roman"/>
          <w:sz w:val="24"/>
          <w:szCs w:val="24"/>
        </w:rPr>
        <w:t xml:space="preserve">Understanding the role of mangrove physiography in bird community structure would be valuable in our advocacy for protecting these neotropical wetlands. The vegetation, substrate, shallow water, and </w:t>
      </w:r>
      <w:r w:rsidR="00265B3B" w:rsidRPr="00B35300">
        <w:rPr>
          <w:rFonts w:ascii="Times New Roman" w:hAnsi="Times New Roman" w:cs="Times New Roman"/>
          <w:sz w:val="24"/>
          <w:szCs w:val="24"/>
        </w:rPr>
        <w:t>deep-water</w:t>
      </w:r>
      <w:r w:rsidRPr="00B35300">
        <w:rPr>
          <w:rFonts w:ascii="Times New Roman" w:hAnsi="Times New Roman" w:cs="Times New Roman"/>
          <w:sz w:val="24"/>
          <w:szCs w:val="24"/>
        </w:rPr>
        <w:t xml:space="preserve"> microhabitats all attract different types of waterbirds, with, for instance, waders preying on surface invertebrates like crabs, shorebirds probing for invertebrates in the substrate, and kingfishers feeding on fish in shallow waters (Weller 1999; Hogarth 2015). Many waterbirds also roost and nest in mangals (Weller 1999; Acosta et al. 2011; Hogarth 2015), often in large, mixed species colonies. Assuming mangroves vary on a gradient of tidal influence, we may come to observe that whichever avian </w:t>
      </w:r>
      <w:r w:rsidRPr="00B35300">
        <w:rPr>
          <w:rFonts w:ascii="Times New Roman" w:hAnsi="Times New Roman" w:cs="Times New Roman"/>
          <w:sz w:val="24"/>
          <w:szCs w:val="24"/>
        </w:rPr>
        <w:t xml:space="preserve">family comes to dominate a wetland will be according to their functional groups and needs (Acosta et al. 2011; Hogarth 2015).  Thus, each mangrove patch would support a unique assemblage of birds, making it important to protect the </w:t>
      </w:r>
      <w:r w:rsidRPr="00B35300">
        <w:rPr>
          <w:rFonts w:ascii="Times New Roman" w:hAnsi="Times New Roman" w:cs="Times New Roman"/>
          <w:sz w:val="24"/>
          <w:szCs w:val="24"/>
        </w:rPr>
        <w:lastRenderedPageBreak/>
        <w:t>integrity of all wetlands in a geographic area. If we see, however, that there is little difference in the composition of birds that use various mangrove patches, it may suggest that the value of protecting a wetland complex is to …</w:t>
      </w:r>
    </w:p>
    <w:p w14:paraId="44AA5B78" w14:textId="77777777" w:rsidR="00882293" w:rsidRPr="00B35300" w:rsidRDefault="0031658D" w:rsidP="0066781E">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In the Grenada, as with other Caribbean islands, mangroves more often serve as stopover sites for birds </w:t>
      </w:r>
      <w:proofErr w:type="spellStart"/>
      <w:r w:rsidRPr="00B35300">
        <w:rPr>
          <w:rFonts w:ascii="Times New Roman" w:hAnsi="Times New Roman" w:cs="Times New Roman"/>
          <w:sz w:val="24"/>
          <w:szCs w:val="24"/>
        </w:rPr>
        <w:t>en</w:t>
      </w:r>
      <w:proofErr w:type="spellEnd"/>
      <w:r w:rsidRPr="00B35300">
        <w:rPr>
          <w:rFonts w:ascii="Times New Roman" w:hAnsi="Times New Roman" w:cs="Times New Roman"/>
          <w:sz w:val="24"/>
          <w:szCs w:val="24"/>
        </w:rPr>
        <w:t xml:space="preserve"> route to South American overwintering sites (McNair 2008), </w:t>
      </w:r>
      <w:proofErr w:type="gramStart"/>
      <w:r w:rsidRPr="00B35300">
        <w:rPr>
          <w:rFonts w:ascii="Times New Roman" w:hAnsi="Times New Roman" w:cs="Times New Roman"/>
          <w:sz w:val="24"/>
          <w:szCs w:val="24"/>
        </w:rPr>
        <w:t>with  migratory</w:t>
      </w:r>
      <w:proofErr w:type="gramEnd"/>
      <w:r w:rsidRPr="00B35300">
        <w:rPr>
          <w:rFonts w:ascii="Times New Roman" w:hAnsi="Times New Roman" w:cs="Times New Roman"/>
          <w:sz w:val="24"/>
          <w:szCs w:val="24"/>
        </w:rPr>
        <w:t xml:space="preserve"> species especially depending on mangroves as they are attracted to the shallow water habitat and abundant food in these ecosystems (Hogarth 2015; </w:t>
      </w:r>
      <w:proofErr w:type="spellStart"/>
      <w:r w:rsidRPr="00B35300">
        <w:rPr>
          <w:rFonts w:ascii="Times New Roman" w:hAnsi="Times New Roman" w:cs="Times New Roman"/>
          <w:sz w:val="24"/>
          <w:szCs w:val="24"/>
        </w:rPr>
        <w:t>Azimah</w:t>
      </w:r>
      <w:proofErr w:type="spellEnd"/>
      <w:r w:rsidRPr="00B35300">
        <w:rPr>
          <w:rFonts w:ascii="Times New Roman" w:hAnsi="Times New Roman" w:cs="Times New Roman"/>
          <w:sz w:val="24"/>
          <w:szCs w:val="24"/>
        </w:rPr>
        <w:t xml:space="preserve"> &amp; </w:t>
      </w:r>
      <w:proofErr w:type="spellStart"/>
      <w:r w:rsidRPr="00B35300">
        <w:rPr>
          <w:rFonts w:ascii="Times New Roman" w:hAnsi="Times New Roman" w:cs="Times New Roman"/>
          <w:sz w:val="24"/>
          <w:szCs w:val="24"/>
        </w:rPr>
        <w:t>Tarmiji</w:t>
      </w:r>
      <w:proofErr w:type="spellEnd"/>
      <w:r w:rsidRPr="00B35300">
        <w:rPr>
          <w:rFonts w:ascii="Times New Roman" w:hAnsi="Times New Roman" w:cs="Times New Roman"/>
          <w:sz w:val="24"/>
          <w:szCs w:val="24"/>
        </w:rPr>
        <w:t xml:space="preserve"> 2018); . The patches of stopover habitat provided by the Caribbean islands are critical for these migratory birds (McNair 2008; </w:t>
      </w:r>
      <w:proofErr w:type="spellStart"/>
      <w:r w:rsidRPr="00B35300">
        <w:rPr>
          <w:rFonts w:ascii="Times New Roman" w:hAnsi="Times New Roman" w:cs="Times New Roman"/>
          <w:sz w:val="24"/>
          <w:szCs w:val="24"/>
        </w:rPr>
        <w:t>Merken</w:t>
      </w:r>
      <w:proofErr w:type="spellEnd"/>
      <w:r w:rsidRPr="00B35300">
        <w:rPr>
          <w:rFonts w:ascii="Times New Roman" w:hAnsi="Times New Roman" w:cs="Times New Roman"/>
          <w:sz w:val="24"/>
          <w:szCs w:val="24"/>
        </w:rPr>
        <w:t xml:space="preserve"> et al. 2015), and Grenadian mangals serve an important role on the southern end of this stopover </w:t>
      </w:r>
      <w:proofErr w:type="spellStart"/>
      <w:proofErr w:type="gramStart"/>
      <w:r w:rsidRPr="00B35300">
        <w:rPr>
          <w:rFonts w:ascii="Times New Roman" w:hAnsi="Times New Roman" w:cs="Times New Roman"/>
          <w:sz w:val="24"/>
          <w:szCs w:val="24"/>
        </w:rPr>
        <w:t>network.In</w:t>
      </w:r>
      <w:proofErr w:type="spellEnd"/>
      <w:proofErr w:type="gramEnd"/>
      <w:r w:rsidRPr="00B35300">
        <w:rPr>
          <w:rFonts w:ascii="Times New Roman" w:hAnsi="Times New Roman" w:cs="Times New Roman"/>
          <w:sz w:val="24"/>
          <w:szCs w:val="24"/>
        </w:rPr>
        <w:t xml:space="preserve"> the multi-island state of Gr</w:t>
      </w:r>
      <w:r w:rsidRPr="00B35300">
        <w:rPr>
          <w:rFonts w:ascii="Times New Roman" w:hAnsi="Times New Roman" w:cs="Times New Roman"/>
          <w:sz w:val="24"/>
          <w:szCs w:val="24"/>
        </w:rPr>
        <w:t xml:space="preserve">enada, there are ~298 ha of mangrove forest across almost 40 sites (Moore et al. 2015). Most of these are basin mangrove habitat, which is characterized by the diverse microhabitats described above, and Moore et al. considered this type of mangal to be “some of the most valuable and diverse foraging habitat for birds” (2015:158). Official records of the bird community in mangals in Grenada are lacking, but citizen-science data has identified &gt;80 species, and indeed the (top 10) most </w:t>
      </w:r>
      <w:proofErr w:type="gramStart"/>
      <w:r w:rsidRPr="00B35300">
        <w:rPr>
          <w:rFonts w:ascii="Times New Roman" w:hAnsi="Times New Roman" w:cs="Times New Roman"/>
          <w:sz w:val="24"/>
          <w:szCs w:val="24"/>
        </w:rPr>
        <w:t>diverse  local</w:t>
      </w:r>
      <w:proofErr w:type="gramEnd"/>
      <w:r w:rsidRPr="00B35300">
        <w:rPr>
          <w:rFonts w:ascii="Times New Roman" w:hAnsi="Times New Roman" w:cs="Times New Roman"/>
          <w:sz w:val="24"/>
          <w:szCs w:val="24"/>
        </w:rPr>
        <w:t xml:space="preserve"> hotspots </w:t>
      </w:r>
      <w:r w:rsidRPr="00B35300">
        <w:rPr>
          <w:rFonts w:ascii="Times New Roman" w:hAnsi="Times New Roman" w:cs="Times New Roman"/>
          <w:sz w:val="24"/>
          <w:szCs w:val="24"/>
        </w:rPr>
        <w:t>on eBird are mangrove wetlands or sites that contain some mangrove vegetation (eBird 2020). Of the 153 avian species officially documented in Grenada, over 40% (63 species) are migratory (</w:t>
      </w:r>
      <w:proofErr w:type="spellStart"/>
      <w:r w:rsidRPr="00B35300">
        <w:rPr>
          <w:rFonts w:ascii="Times New Roman" w:hAnsi="Times New Roman" w:cs="Times New Roman"/>
          <w:sz w:val="24"/>
          <w:szCs w:val="24"/>
        </w:rPr>
        <w:t>Gerbracht</w:t>
      </w:r>
      <w:proofErr w:type="spellEnd"/>
      <w:r w:rsidRPr="00B35300">
        <w:rPr>
          <w:rFonts w:ascii="Times New Roman" w:hAnsi="Times New Roman" w:cs="Times New Roman"/>
          <w:sz w:val="24"/>
          <w:szCs w:val="24"/>
        </w:rPr>
        <w:t xml:space="preserve"> and Levesque 2019). Migratory birds are particularly sensitive to habitat changes, detecting them from distances as much as 500 m away (</w:t>
      </w:r>
      <w:proofErr w:type="spellStart"/>
      <w:r w:rsidRPr="00B35300">
        <w:rPr>
          <w:rFonts w:ascii="Times New Roman" w:hAnsi="Times New Roman" w:cs="Times New Roman"/>
          <w:sz w:val="24"/>
          <w:szCs w:val="24"/>
        </w:rPr>
        <w:t>Azimah</w:t>
      </w:r>
      <w:proofErr w:type="spellEnd"/>
      <w:r w:rsidRPr="00B35300">
        <w:rPr>
          <w:rFonts w:ascii="Times New Roman" w:hAnsi="Times New Roman" w:cs="Times New Roman"/>
          <w:sz w:val="24"/>
          <w:szCs w:val="24"/>
        </w:rPr>
        <w:t xml:space="preserve"> &amp; </w:t>
      </w:r>
      <w:proofErr w:type="spellStart"/>
      <w:r w:rsidRPr="00B35300">
        <w:rPr>
          <w:rFonts w:ascii="Times New Roman" w:hAnsi="Times New Roman" w:cs="Times New Roman"/>
          <w:sz w:val="24"/>
          <w:szCs w:val="24"/>
        </w:rPr>
        <w:t>Tarmiji</w:t>
      </w:r>
      <w:proofErr w:type="spellEnd"/>
      <w:r w:rsidRPr="00B35300">
        <w:rPr>
          <w:rFonts w:ascii="Times New Roman" w:hAnsi="Times New Roman" w:cs="Times New Roman"/>
          <w:sz w:val="24"/>
          <w:szCs w:val="24"/>
        </w:rPr>
        <w:t xml:space="preserve"> 2018), so small changes in the extent or quality of available mangroves can have significant impacts on stopover habitat use. The ripple effects of stopover habi</w:t>
      </w:r>
      <w:r w:rsidRPr="00B35300">
        <w:rPr>
          <w:rFonts w:ascii="Times New Roman" w:hAnsi="Times New Roman" w:cs="Times New Roman"/>
          <w:sz w:val="24"/>
          <w:szCs w:val="24"/>
        </w:rPr>
        <w:t>tat loss include lower migration or reproduction success and higher mortality (</w:t>
      </w:r>
      <w:proofErr w:type="spellStart"/>
      <w:r w:rsidRPr="00B35300">
        <w:rPr>
          <w:rFonts w:ascii="Times New Roman" w:hAnsi="Times New Roman" w:cs="Times New Roman"/>
          <w:sz w:val="24"/>
          <w:szCs w:val="24"/>
        </w:rPr>
        <w:t>Merken</w:t>
      </w:r>
      <w:proofErr w:type="spellEnd"/>
      <w:r w:rsidRPr="00B35300">
        <w:rPr>
          <w:rFonts w:ascii="Times New Roman" w:hAnsi="Times New Roman" w:cs="Times New Roman"/>
          <w:sz w:val="24"/>
          <w:szCs w:val="24"/>
        </w:rPr>
        <w:t xml:space="preserve"> et al. 2015). Unfortunately, mangrove </w:t>
      </w:r>
      <w:r w:rsidRPr="00B35300">
        <w:rPr>
          <w:rFonts w:ascii="Times New Roman" w:hAnsi="Times New Roman" w:cs="Times New Roman"/>
          <w:sz w:val="24"/>
          <w:szCs w:val="24"/>
        </w:rPr>
        <w:lastRenderedPageBreak/>
        <w:t xml:space="preserve">habitats in Grenada are under threat from several natural and anthropogenic forces (FAO 2007; Moore et al. 2015; </w:t>
      </w:r>
      <w:proofErr w:type="spellStart"/>
      <w:r w:rsidRPr="00B35300">
        <w:rPr>
          <w:rFonts w:ascii="Times New Roman" w:hAnsi="Times New Roman" w:cs="Times New Roman"/>
          <w:sz w:val="24"/>
          <w:szCs w:val="24"/>
        </w:rPr>
        <w:t>Buckmire</w:t>
      </w:r>
      <w:proofErr w:type="spellEnd"/>
      <w:r w:rsidRPr="00B35300">
        <w:rPr>
          <w:rFonts w:ascii="Times New Roman" w:hAnsi="Times New Roman" w:cs="Times New Roman"/>
          <w:sz w:val="24"/>
          <w:szCs w:val="24"/>
        </w:rPr>
        <w:t xml:space="preserve"> et al., 2022).</w:t>
      </w:r>
    </w:p>
    <w:p w14:paraId="5683DEBD" w14:textId="77777777" w:rsidR="00882293" w:rsidRPr="00B35300" w:rsidRDefault="0031658D" w:rsidP="0066781E">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Hurricanes are one such threat, often resulting in significant degradation or destruction of habitat with slow and asynchronous/nonlinear recovery (McNair 2008; Moore et al. 2015). Grenada’s southerly location precludes it from regular/frequent storms like the rest of the Caribbean, but it has experienced 3 major hurricanes in the last 7 decades (Hurricane Janet in 1955, Hurricanes Ivan and Emily in 2004 and 2005 respectively); the effects of these storms on mangroves throughout the country are well-documen</w:t>
      </w:r>
      <w:r w:rsidRPr="00B35300">
        <w:rPr>
          <w:rFonts w:ascii="Times New Roman" w:hAnsi="Times New Roman" w:cs="Times New Roman"/>
          <w:sz w:val="24"/>
          <w:szCs w:val="24"/>
        </w:rPr>
        <w:t>ted (e.g., Moore 2004, Layman et al. 2006). Furthermore, deforestation, especially for tourism development, is rampant, and the FAO (2007) recognized this as the primary cause of mangrove loss in the region over the preceding decades. On the island of Grenada, three mangals (totaling ~ 59 ha) are currently undergoing disturbance related to resort developments, and the impacts on the bird community are still being determined (</w:t>
      </w:r>
      <w:proofErr w:type="spellStart"/>
      <w:r w:rsidRPr="00B35300">
        <w:rPr>
          <w:rFonts w:ascii="Times New Roman" w:hAnsi="Times New Roman" w:cs="Times New Roman"/>
          <w:sz w:val="24"/>
          <w:szCs w:val="24"/>
        </w:rPr>
        <w:t>Buckmire</w:t>
      </w:r>
      <w:proofErr w:type="spellEnd"/>
      <w:r w:rsidRPr="00B35300">
        <w:rPr>
          <w:rFonts w:ascii="Times New Roman" w:hAnsi="Times New Roman" w:cs="Times New Roman"/>
          <w:sz w:val="24"/>
          <w:szCs w:val="24"/>
        </w:rPr>
        <w:t xml:space="preserve"> in review). Climate change is also expected to increasingly threaten mangr</w:t>
      </w:r>
      <w:r w:rsidRPr="00B35300">
        <w:rPr>
          <w:rFonts w:ascii="Times New Roman" w:hAnsi="Times New Roman" w:cs="Times New Roman"/>
          <w:sz w:val="24"/>
          <w:szCs w:val="24"/>
        </w:rPr>
        <w:t>ove ecosystems, through a myriad of processes including sea level rise, surface and atmospheric temperature increases, saltwater intrusion, acidification, changes in coastal topography, habitat conversion, and increased storm intensity and frequency (</w:t>
      </w:r>
      <w:proofErr w:type="spellStart"/>
      <w:r w:rsidRPr="00B35300">
        <w:rPr>
          <w:rFonts w:ascii="Times New Roman" w:hAnsi="Times New Roman" w:cs="Times New Roman"/>
          <w:sz w:val="24"/>
          <w:szCs w:val="24"/>
        </w:rPr>
        <w:t>Merken</w:t>
      </w:r>
      <w:proofErr w:type="spellEnd"/>
      <w:r w:rsidRPr="00B35300">
        <w:rPr>
          <w:rFonts w:ascii="Times New Roman" w:hAnsi="Times New Roman" w:cs="Times New Roman"/>
          <w:sz w:val="24"/>
          <w:szCs w:val="24"/>
        </w:rPr>
        <w:t xml:space="preserve"> et al. 2015; Moore et al. 2015; </w:t>
      </w:r>
      <w:proofErr w:type="spellStart"/>
      <w:r w:rsidRPr="00B35300">
        <w:rPr>
          <w:rFonts w:ascii="Times New Roman" w:hAnsi="Times New Roman" w:cs="Times New Roman"/>
          <w:sz w:val="24"/>
          <w:szCs w:val="24"/>
        </w:rPr>
        <w:t>Jennerjahn</w:t>
      </w:r>
      <w:proofErr w:type="spellEnd"/>
      <w:r w:rsidRPr="00B35300">
        <w:rPr>
          <w:rFonts w:ascii="Times New Roman" w:hAnsi="Times New Roman" w:cs="Times New Roman"/>
          <w:sz w:val="24"/>
          <w:szCs w:val="24"/>
        </w:rPr>
        <w:t xml:space="preserve"> et al. 2017).</w:t>
      </w:r>
    </w:p>
    <w:p w14:paraId="1C04D1D4" w14:textId="77777777" w:rsidR="00882293" w:rsidRPr="00B35300" w:rsidRDefault="0031658D" w:rsidP="0066781E">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To combat these losses and safeguard waterbird habitat, mangrove restoration is recommended (Lewis 2009) and has been attempted at several sites in Grenada, primarily by the Grenada Fund for Conservation Inc. and YWF-Kido Foundation. However, in the absence of information on the relationship between mangrove physiography and bird community structure, we may restore/recreate wetlands that do not improve the integrity of national-level wetland complexes. </w:t>
      </w:r>
      <w:proofErr w:type="gramStart"/>
      <w:r w:rsidRPr="00B35300">
        <w:rPr>
          <w:rFonts w:ascii="Times New Roman" w:hAnsi="Times New Roman" w:cs="Times New Roman"/>
          <w:sz w:val="24"/>
          <w:szCs w:val="24"/>
        </w:rPr>
        <w:t>Assuming that</w:t>
      </w:r>
      <w:proofErr w:type="gramEnd"/>
      <w:r w:rsidRPr="00B35300">
        <w:rPr>
          <w:rFonts w:ascii="Times New Roman" w:hAnsi="Times New Roman" w:cs="Times New Roman"/>
          <w:sz w:val="24"/>
          <w:szCs w:val="24"/>
        </w:rPr>
        <w:t xml:space="preserve"> fringing mangroves support more diverse bird habitat, it may be </w:t>
      </w:r>
      <w:r w:rsidRPr="00B35300">
        <w:rPr>
          <w:rFonts w:ascii="Times New Roman" w:hAnsi="Times New Roman" w:cs="Times New Roman"/>
          <w:sz w:val="24"/>
          <w:szCs w:val="24"/>
        </w:rPr>
        <w:lastRenderedPageBreak/>
        <w:t xml:space="preserve">valuable to focus efforts (when there is little capacity) on protecting and restoring these habitats. If, however, there is no real difference in the functional traits and bird composition by basin versus fringing mangroves, it would suggest that even with little capacity, we should equally restore and protect both basin and fringing mangroves. </w:t>
      </w:r>
    </w:p>
    <w:p w14:paraId="120C9A5C" w14:textId="5DE77C0E" w:rsidR="00882293" w:rsidRPr="00B35300" w:rsidRDefault="0031658D" w:rsidP="007B6078">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Here, under </w:t>
      </w:r>
      <w:r w:rsidR="00D74C38" w:rsidRPr="00B35300">
        <w:rPr>
          <w:rFonts w:ascii="Times New Roman" w:hAnsi="Times New Roman" w:cs="Times New Roman"/>
          <w:sz w:val="24"/>
          <w:szCs w:val="24"/>
        </w:rPr>
        <w:t>a</w:t>
      </w:r>
      <w:r w:rsidRPr="00B35300">
        <w:rPr>
          <w:rFonts w:ascii="Times New Roman" w:hAnsi="Times New Roman" w:cs="Times New Roman"/>
          <w:sz w:val="24"/>
          <w:szCs w:val="24"/>
        </w:rPr>
        <w:t xml:space="preserve">, a multi-year project funded by Environment and Climate Change Canada, we attempt to improve the mangrove restoration success rates using a data-driven approach. We sought to determine whether there was support for species sorting in mangroves in </w:t>
      </w:r>
      <w:r w:rsidR="00D74C38" w:rsidRPr="00B35300">
        <w:rPr>
          <w:rFonts w:ascii="Times New Roman" w:hAnsi="Times New Roman" w:cs="Times New Roman"/>
          <w:sz w:val="24"/>
          <w:szCs w:val="24"/>
        </w:rPr>
        <w:t>Grenada, using</w:t>
      </w:r>
      <w:r w:rsidRPr="00B35300">
        <w:rPr>
          <w:rFonts w:ascii="Times New Roman" w:hAnsi="Times New Roman" w:cs="Times New Roman"/>
          <w:sz w:val="24"/>
          <w:szCs w:val="24"/>
        </w:rPr>
        <w:t xml:space="preserve"> data on bird and plant communities. We assumed that if there was support for species sorting, where plant communities determine which birds occupy a wetland, we would observe; </w:t>
      </w:r>
      <w:r w:rsidRPr="00B35300">
        <w:rPr>
          <w:rFonts w:ascii="Times New Roman" w:hAnsi="Times New Roman" w:cs="Times New Roman"/>
          <w:sz w:val="24"/>
          <w:szCs w:val="24"/>
          <w:shd w:val="clear" w:color="auto" w:fill="CCCCCC"/>
        </w:rPr>
        <w:t>1) strong cross-taxon relationships between birds and plants; 2) differe</w:t>
      </w:r>
      <w:r w:rsidRPr="00B35300">
        <w:rPr>
          <w:rFonts w:ascii="Times New Roman" w:hAnsi="Times New Roman" w:cs="Times New Roman"/>
          <w:sz w:val="24"/>
          <w:szCs w:val="24"/>
          <w:shd w:val="clear" w:color="auto" w:fill="CCCCCC"/>
        </w:rPr>
        <w:t xml:space="preserve">nces in community composition by whether the site was fringing versus basin; 3) differences in which species/functional traits are associated with basin versus fringing mangroves. </w:t>
      </w:r>
      <w:r w:rsidR="00C04535">
        <w:rPr>
          <w:rFonts w:ascii="Times New Roman" w:hAnsi="Times New Roman" w:cs="Times New Roman"/>
          <w:sz w:val="24"/>
          <w:szCs w:val="24"/>
          <w:shd w:val="clear" w:color="auto" w:fill="CCCCCC"/>
        </w:rPr>
        <w:t xml:space="preserve">We also </w:t>
      </w:r>
      <w:r w:rsidR="0098317A">
        <w:rPr>
          <w:rFonts w:ascii="Times New Roman" w:hAnsi="Times New Roman" w:cs="Times New Roman"/>
          <w:sz w:val="24"/>
          <w:szCs w:val="24"/>
          <w:shd w:val="clear" w:color="auto" w:fill="CCCCCC"/>
        </w:rPr>
        <w:t>sought</w:t>
      </w:r>
      <w:r w:rsidR="00C04535">
        <w:rPr>
          <w:rFonts w:ascii="Times New Roman" w:hAnsi="Times New Roman" w:cs="Times New Roman"/>
          <w:sz w:val="24"/>
          <w:szCs w:val="24"/>
          <w:shd w:val="clear" w:color="auto" w:fill="CCCCCC"/>
        </w:rPr>
        <w:t xml:space="preserve"> to understand </w:t>
      </w:r>
      <w:r w:rsidR="0098317A">
        <w:rPr>
          <w:rFonts w:ascii="Times New Roman" w:hAnsi="Times New Roman" w:cs="Times New Roman"/>
          <w:sz w:val="24"/>
          <w:szCs w:val="24"/>
          <w:shd w:val="clear" w:color="auto" w:fill="CCCCCC"/>
        </w:rPr>
        <w:t>w</w:t>
      </w:r>
      <w:r w:rsidR="00D60213">
        <w:rPr>
          <w:rFonts w:ascii="Times New Roman" w:hAnsi="Times New Roman" w:cs="Times New Roman"/>
          <w:sz w:val="24"/>
          <w:szCs w:val="24"/>
          <w:shd w:val="clear" w:color="auto" w:fill="CCCCCC"/>
        </w:rPr>
        <w:t xml:space="preserve">hether plant or site-type were predictive of bird diversity. </w:t>
      </w:r>
      <w:r w:rsidRPr="00B35300">
        <w:rPr>
          <w:rFonts w:ascii="Times New Roman" w:hAnsi="Times New Roman" w:cs="Times New Roman"/>
          <w:sz w:val="24"/>
          <w:szCs w:val="24"/>
          <w:shd w:val="clear" w:color="auto" w:fill="CCCCCC"/>
        </w:rPr>
        <w:t xml:space="preserve">We hypothesize that if species sorting explains which taxa occupy sites, it provides support for efforts to protect all mangroves, regardless of their physiography. </w:t>
      </w:r>
      <w:r w:rsidRPr="00B35300">
        <w:rPr>
          <w:rFonts w:ascii="Times New Roman" w:hAnsi="Times New Roman" w:cs="Times New Roman"/>
          <w:sz w:val="24"/>
          <w:szCs w:val="24"/>
        </w:rPr>
        <w:t xml:space="preserve">Thus, this study aimed to quantify the avian community within mangals in Grenada, and identify any correlations, if present, between mangrove community structure and avian community composition. This paper also provides the first published records of the bird community at these understudied but critical mangrove sites. </w:t>
      </w:r>
    </w:p>
    <w:p w14:paraId="088A8647" w14:textId="77777777" w:rsidR="00882293" w:rsidRPr="00B35300" w:rsidRDefault="0031658D" w:rsidP="00DF79AF">
      <w:pPr>
        <w:pStyle w:val="Heading1"/>
      </w:pPr>
      <w:bookmarkStart w:id="4" w:name="_91ur09ez12ey" w:colFirst="0" w:colLast="0"/>
      <w:bookmarkEnd w:id="4"/>
      <w:r w:rsidRPr="00B35300">
        <w:t>Methods</w:t>
      </w:r>
    </w:p>
    <w:p w14:paraId="5FD07B58" w14:textId="544A915F" w:rsidR="00882293" w:rsidRPr="00B35300" w:rsidRDefault="0031658D" w:rsidP="00876456">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We collected this data in February–June 2020, at four mangals on the island of Grenada (12°06' N, 61°41' W). These sites were identified from previous mapping done by Moore et al. (2015) and preliminary surveys in June 2019, and were selected based on their diversity in size, </w:t>
      </w:r>
      <w:r w:rsidRPr="00B35300">
        <w:rPr>
          <w:rFonts w:ascii="Times New Roman" w:hAnsi="Times New Roman" w:cs="Times New Roman"/>
          <w:sz w:val="24"/>
          <w:szCs w:val="24"/>
        </w:rPr>
        <w:lastRenderedPageBreak/>
        <w:t>shape, species composition, and anthropogenic disturbance.</w:t>
      </w:r>
      <w:r w:rsidR="00876456">
        <w:rPr>
          <w:rFonts w:ascii="Times New Roman" w:hAnsi="Times New Roman" w:cs="Times New Roman"/>
          <w:sz w:val="24"/>
          <w:szCs w:val="24"/>
        </w:rPr>
        <w:t xml:space="preserve"> </w:t>
      </w:r>
      <w:r w:rsidRPr="00B35300">
        <w:rPr>
          <w:rFonts w:ascii="Times New Roman" w:hAnsi="Times New Roman" w:cs="Times New Roman"/>
          <w:sz w:val="24"/>
          <w:szCs w:val="24"/>
        </w:rPr>
        <w:t xml:space="preserve">The four sites are the Mt. Hartman (12°00'27" N, 61°45'0" W),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(12°01'01" N, 61°42'09" W), Conference (12°09'26" N, 61°36'33" W), and Levera (12°13'19" N, 61°36'44" W) wetlands (</w:t>
      </w:r>
      <w:r w:rsidRPr="00B35300">
        <w:rPr>
          <w:rFonts w:ascii="Times New Roman" w:hAnsi="Times New Roman" w:cs="Times New Roman"/>
          <w:b/>
          <w:sz w:val="24"/>
          <w:szCs w:val="24"/>
        </w:rPr>
        <w:t>Figure 1</w:t>
      </w:r>
      <w:r w:rsidRPr="00B35300">
        <w:rPr>
          <w:rFonts w:ascii="Times New Roman" w:hAnsi="Times New Roman" w:cs="Times New Roman"/>
          <w:sz w:val="24"/>
          <w:szCs w:val="24"/>
        </w:rPr>
        <w:t xml:space="preserve">). </w:t>
      </w:r>
    </w:p>
    <w:p w14:paraId="5C18D55B" w14:textId="2C4EEF1D" w:rsidR="00882293" w:rsidRPr="00B35300" w:rsidRDefault="00882293" w:rsidP="00A94A41">
      <w:pPr>
        <w:spacing w:before="240" w:after="200" w:line="480" w:lineRule="auto"/>
        <w:rPr>
          <w:rFonts w:ascii="Times New Roman" w:hAnsi="Times New Roman" w:cs="Times New Roman"/>
          <w:sz w:val="24"/>
          <w:szCs w:val="24"/>
        </w:rPr>
      </w:pPr>
    </w:p>
    <w:p w14:paraId="3FBDDD99" w14:textId="77777777" w:rsidR="00882293" w:rsidRPr="00B35300" w:rsidRDefault="0031658D" w:rsidP="00876456">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Mt. Hartman and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are both located on the southeastern coast of Grenada. Mt. Hartman is a 12-ha wetland (Moore et al. 2015) with a pair of large, rectangular mudflats interspersed with mangrove trees; field surveys for this study were only conducted in the slightly larger west pond. The site is bordered on its landward edge by a National Park and dove sanctuary; </w:t>
      </w:r>
      <w:r w:rsidRPr="00B35300">
        <w:rPr>
          <w:rFonts w:ascii="Times New Roman" w:hAnsi="Times New Roman" w:cs="Times New Roman"/>
          <w:sz w:val="24"/>
          <w:szCs w:val="24"/>
          <w:shd w:val="clear" w:color="auto" w:fill="B7B7B7"/>
        </w:rPr>
        <w:t>however, the land adjacent to the park, including the wetlands, was recently leased for development of a resort village and the fringes of the mangal have</w:t>
      </w:r>
      <w:r w:rsidRPr="00B35300">
        <w:rPr>
          <w:rFonts w:ascii="Times New Roman" w:hAnsi="Times New Roman" w:cs="Times New Roman"/>
          <w:sz w:val="24"/>
          <w:szCs w:val="24"/>
          <w:shd w:val="clear" w:color="auto" w:fill="B7B7B7"/>
        </w:rPr>
        <w:t xml:space="preserve"> already sustained damage. The area was unfortunately also used as a dumping site for construction debris, resulting in significant pollution</w:t>
      </w:r>
      <w:r w:rsidRPr="00B35300">
        <w:rPr>
          <w:rFonts w:ascii="Times New Roman" w:hAnsi="Times New Roman" w:cs="Times New Roman"/>
          <w:sz w:val="24"/>
          <w:szCs w:val="24"/>
        </w:rPr>
        <w:t xml:space="preserve">.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is a narrow 14.0-ha mangal (Moore et al. 2015) bordered on its inland edge by a sugarcane plantation and some industrial buildings. The surrounding communities (to the north, east, and west) are densely populated and there may be effluent pollution from a nearby rum factory.</w:t>
      </w:r>
    </w:p>
    <w:p w14:paraId="71EB12BE" w14:textId="77777777" w:rsidR="00882293" w:rsidRPr="00B35300" w:rsidRDefault="0031658D" w:rsidP="00876456">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Conference and Levera are located on the northeastern coast of the island. Conference is 27 ha (Moore et al. 2015) and has two ponds within the system. The surrounding land is </w:t>
      </w:r>
      <w:proofErr w:type="gramStart"/>
      <w:r w:rsidRPr="00B35300">
        <w:rPr>
          <w:rFonts w:ascii="Times New Roman" w:hAnsi="Times New Roman" w:cs="Times New Roman"/>
          <w:sz w:val="24"/>
          <w:szCs w:val="24"/>
        </w:rPr>
        <w:t>agricultural</w:t>
      </w:r>
      <w:proofErr w:type="gramEnd"/>
      <w:r w:rsidRPr="00B35300">
        <w:rPr>
          <w:rFonts w:ascii="Times New Roman" w:hAnsi="Times New Roman" w:cs="Times New Roman"/>
          <w:sz w:val="24"/>
          <w:szCs w:val="24"/>
        </w:rPr>
        <w:t xml:space="preserve"> and the nearest community (to the west) is sparsely distributed;</w:t>
      </w:r>
      <w:r w:rsidRPr="00B35300">
        <w:rPr>
          <w:rFonts w:ascii="Times New Roman" w:hAnsi="Times New Roman" w:cs="Times New Roman"/>
          <w:sz w:val="24"/>
          <w:szCs w:val="24"/>
          <w:shd w:val="clear" w:color="auto" w:fill="B7B7B7"/>
        </w:rPr>
        <w:t xml:space="preserve"> however, a rum factory was recently built just inland of the mangal, and the effects of any effluent from the factory remain to be seen.</w:t>
      </w:r>
      <w:r w:rsidRPr="00B35300">
        <w:rPr>
          <w:rFonts w:ascii="Times New Roman" w:hAnsi="Times New Roman" w:cs="Times New Roman"/>
          <w:sz w:val="24"/>
          <w:szCs w:val="24"/>
        </w:rPr>
        <w:t xml:space="preserve"> Levera is the largest of the four sites (and largest in Grenada) at 46 ha (Moore et al. 2015), with a large central pond of ~9 ha. T</w:t>
      </w:r>
      <w:r w:rsidRPr="00B35300">
        <w:rPr>
          <w:rFonts w:ascii="Times New Roman" w:hAnsi="Times New Roman" w:cs="Times New Roman"/>
          <w:sz w:val="24"/>
          <w:szCs w:val="24"/>
          <w:shd w:val="clear" w:color="auto" w:fill="CCCCCC"/>
        </w:rPr>
        <w:t xml:space="preserve">here are developments/settlements to the south and east of the mangal, and while the mangal is technically protected as a Ramsar site </w:t>
      </w:r>
      <w:r w:rsidRPr="00B35300">
        <w:rPr>
          <w:rFonts w:ascii="Times New Roman" w:hAnsi="Times New Roman" w:cs="Times New Roman"/>
          <w:sz w:val="24"/>
          <w:szCs w:val="24"/>
          <w:shd w:val="clear" w:color="auto" w:fill="CCCCCC"/>
        </w:rPr>
        <w:lastRenderedPageBreak/>
        <w:t>(est. 2012; Ramsar Sites Inform</w:t>
      </w:r>
      <w:r w:rsidRPr="00B35300">
        <w:rPr>
          <w:rFonts w:ascii="Times New Roman" w:hAnsi="Times New Roman" w:cs="Times New Roman"/>
          <w:sz w:val="24"/>
          <w:szCs w:val="24"/>
          <w:shd w:val="clear" w:color="auto" w:fill="CCCCCC"/>
        </w:rPr>
        <w:t xml:space="preserve">ation Services n.d.), parts of the forest have recently been leased for development of a resort village. </w:t>
      </w:r>
      <w:r w:rsidRPr="00B35300">
        <w:rPr>
          <w:rFonts w:ascii="Times New Roman" w:hAnsi="Times New Roman" w:cs="Times New Roman"/>
          <w:sz w:val="24"/>
          <w:szCs w:val="24"/>
        </w:rPr>
        <w:t>All surveys at Mt. Hartman and Levera were conducted before the start of the resort developments at those sites.</w:t>
      </w:r>
    </w:p>
    <w:p w14:paraId="623AECE5" w14:textId="3C4DC21E" w:rsidR="00882293" w:rsidRPr="00753355" w:rsidRDefault="0031658D" w:rsidP="00753355">
      <w:pPr>
        <w:pStyle w:val="Heading2"/>
      </w:pPr>
      <w:bookmarkStart w:id="5" w:name="_76gh2an8r0p1" w:colFirst="0" w:colLast="0"/>
      <w:bookmarkEnd w:id="5"/>
      <w:r w:rsidRPr="00753355">
        <w:t xml:space="preserve">Field </w:t>
      </w:r>
      <w:r w:rsidR="00753355" w:rsidRPr="00753355">
        <w:t>S</w:t>
      </w:r>
      <w:r w:rsidRPr="00753355">
        <w:t>urveys</w:t>
      </w:r>
    </w:p>
    <w:p w14:paraId="099F005C" w14:textId="77777777" w:rsidR="00882293" w:rsidRPr="00B35300" w:rsidRDefault="0031658D" w:rsidP="00753355">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We established several transects at each site, spaced 200 m apart on the shoreline. Each site had a different number of transects due to its unique shape and size; Mt. Hartman and Conference both had 2 transects,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had 4 transects, and Levera had 7 transects. Along each transect, we established 3 equidistant plots for our mangrove sampling, with one plot at either end (seaward and landward) and one in the middle of the transect; this was done to ensure each zone of the mangal was sampled equally. The distance between plots varied among sites and transects, from approximately 35 m at the shortest transect to 290 m at the longest. Levera was unique in that all the transects were oriented to its central pond a</w:t>
      </w:r>
      <w:r w:rsidRPr="00B35300">
        <w:rPr>
          <w:rFonts w:ascii="Times New Roman" w:hAnsi="Times New Roman" w:cs="Times New Roman"/>
          <w:sz w:val="24"/>
          <w:szCs w:val="24"/>
        </w:rPr>
        <w:t xml:space="preserve">nd thus radiated out from the pond rather than running perpendicular to the shoreline like at the other sites. </w:t>
      </w:r>
    </w:p>
    <w:p w14:paraId="33DD83DE" w14:textId="77777777" w:rsidR="00882293" w:rsidRPr="00B35300" w:rsidRDefault="0031658D" w:rsidP="00753355">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At each plot, we first made note of the species present and counted all established/viable seedings (&lt;1 m tall) and estimated the percentage cover by species. We divided mature trees into 5 size classes by circumference (at breast height): 0–3.18 cm, 3.19–7.96 cm, 7.97–31.82 cm, 31.83–63.65 cm, and &gt;63.65 cm. After counting all the trees of each species in each size class, we then selected a representative tree from each class and took additional height and canopy width measurements. Several water quality p</w:t>
      </w:r>
      <w:r w:rsidRPr="00B35300">
        <w:rPr>
          <w:rFonts w:ascii="Times New Roman" w:hAnsi="Times New Roman" w:cs="Times New Roman"/>
          <w:sz w:val="24"/>
          <w:szCs w:val="24"/>
        </w:rPr>
        <w:t xml:space="preserve">arameters were measured where standing water was present, including depth, salinity, temperature, and dissolved oxygen (DO); the latter were measured using a TOA-DKK WQC-24 multiparameter water quality meter. Lastly, we recorded the depth of the redox potential discontinuity layer, as a proxy for oxygen content in the soil. </w:t>
      </w:r>
      <w:r w:rsidRPr="00B35300">
        <w:rPr>
          <w:rFonts w:ascii="Times New Roman" w:hAnsi="Times New Roman" w:cs="Times New Roman"/>
          <w:sz w:val="24"/>
          <w:szCs w:val="24"/>
        </w:rPr>
        <w:lastRenderedPageBreak/>
        <w:t>These methods were adapted for local conditions from Cintrón-</w:t>
      </w:r>
      <w:proofErr w:type="spellStart"/>
      <w:r w:rsidRPr="00B35300">
        <w:rPr>
          <w:rFonts w:ascii="Times New Roman" w:hAnsi="Times New Roman" w:cs="Times New Roman"/>
          <w:sz w:val="24"/>
          <w:szCs w:val="24"/>
        </w:rPr>
        <w:t>Molero</w:t>
      </w:r>
      <w:proofErr w:type="spellEnd"/>
      <w:r w:rsidRPr="00B35300">
        <w:rPr>
          <w:rFonts w:ascii="Times New Roman" w:hAnsi="Times New Roman" w:cs="Times New Roman"/>
          <w:sz w:val="24"/>
          <w:szCs w:val="24"/>
        </w:rPr>
        <w:t xml:space="preserve"> &amp; Schaeffer-Novelli (1984), </w:t>
      </w:r>
      <w:proofErr w:type="spellStart"/>
      <w:r w:rsidRPr="00B35300">
        <w:rPr>
          <w:rFonts w:ascii="Times New Roman" w:hAnsi="Times New Roman" w:cs="Times New Roman"/>
          <w:sz w:val="24"/>
          <w:szCs w:val="24"/>
        </w:rPr>
        <w:t>Hortsman</w:t>
      </w:r>
      <w:proofErr w:type="spellEnd"/>
      <w:r w:rsidRPr="00B35300">
        <w:rPr>
          <w:rFonts w:ascii="Times New Roman" w:hAnsi="Times New Roman" w:cs="Times New Roman"/>
          <w:sz w:val="24"/>
          <w:szCs w:val="24"/>
        </w:rPr>
        <w:t xml:space="preserve"> et al. (2014), and World Bank (2019).</w:t>
      </w:r>
    </w:p>
    <w:p w14:paraId="5418A933" w14:textId="77777777" w:rsidR="00882293" w:rsidRPr="00B35300" w:rsidRDefault="0031658D" w:rsidP="00753355">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We also surveyed birds at the 1st (seaward) and 3rd (landward) plots at each site. Bird counts were done between sunrise and 1100, once monthly per site. After a 5–10-min acclimation period at each plot, we used 8-min single-observer point counts with a radius of 25 m, recording all birds seen or heard. Surveys were conducted between February–May and each site was visited twice/thrice; additional surveys were planned but could not be completed due to Covid-19 restrictions in place at the time.</w:t>
      </w:r>
    </w:p>
    <w:p w14:paraId="5EF93367" w14:textId="2578C685" w:rsidR="0032033B" w:rsidRDefault="0031658D" w:rsidP="0032033B">
      <w:pPr>
        <w:pStyle w:val="Heading2"/>
      </w:pPr>
      <w:bookmarkStart w:id="6" w:name="_yxzmec1au6hh" w:colFirst="0" w:colLast="0"/>
      <w:bookmarkEnd w:id="6"/>
      <w:r w:rsidRPr="00B35300">
        <w:t xml:space="preserve">Data </w:t>
      </w:r>
      <w:r w:rsidR="00753355">
        <w:t>A</w:t>
      </w:r>
      <w:r w:rsidRPr="00B35300">
        <w:t>nalysis</w:t>
      </w:r>
    </w:p>
    <w:p w14:paraId="28A50ECA" w14:textId="4A6665EF" w:rsidR="0032033B" w:rsidRPr="0032033B" w:rsidRDefault="0032033B" w:rsidP="0032033B">
      <w:pPr>
        <w:spacing w:after="200" w:line="480" w:lineRule="auto"/>
        <w:ind w:firstLine="720"/>
        <w:rPr>
          <w:rFonts w:ascii="Times New Roman" w:hAnsi="Times New Roman" w:cs="Times New Roman"/>
          <w:sz w:val="24"/>
          <w:szCs w:val="24"/>
          <w:lang w:val="en-US"/>
        </w:rPr>
      </w:pPr>
      <w:r w:rsidRPr="0032033B">
        <w:rPr>
          <w:rFonts w:ascii="Times New Roman" w:hAnsi="Times New Roman" w:cs="Times New Roman"/>
          <w:sz w:val="24"/>
          <w:szCs w:val="24"/>
          <w:lang w:val="en-US"/>
        </w:rPr>
        <w:t>Assuming that whether a mangrove is classified as fringe or basin constrains which birds choose to forage or nest, we sought to understand whether there was evidence of species sorting among Grenada's mangroves. We posited that if mangrove type limited which species could occupy a site, we would observe strong agreement in plant and bird community composition. We also sought to evaluate which plant structural characteristics were predictive of bird diversity</w:t>
      </w:r>
      <w:r w:rsidR="00702BE0">
        <w:rPr>
          <w:rFonts w:ascii="Times New Roman" w:hAnsi="Times New Roman" w:cs="Times New Roman"/>
          <w:sz w:val="24"/>
          <w:szCs w:val="24"/>
          <w:lang w:val="en-US"/>
        </w:rPr>
        <w:t xml:space="preserve"> and whether community structure differed by site type</w:t>
      </w:r>
      <w:r>
        <w:rPr>
          <w:rFonts w:ascii="Times New Roman" w:hAnsi="Times New Roman" w:cs="Times New Roman"/>
          <w:sz w:val="24"/>
          <w:szCs w:val="24"/>
          <w:lang w:val="en-US"/>
        </w:rPr>
        <w:t xml:space="preserve">, conducting all </w:t>
      </w:r>
      <w:r w:rsidRPr="0032033B">
        <w:rPr>
          <w:rFonts w:ascii="Times New Roman" w:hAnsi="Times New Roman" w:cs="Times New Roman"/>
          <w:sz w:val="24"/>
          <w:szCs w:val="24"/>
          <w:lang w:val="en-US"/>
        </w:rPr>
        <w:t>analyses</w:t>
      </w:r>
      <w:r>
        <w:rPr>
          <w:rFonts w:ascii="Times New Roman" w:hAnsi="Times New Roman" w:cs="Times New Roman"/>
          <w:sz w:val="24"/>
          <w:szCs w:val="24"/>
          <w:lang w:val="en-US"/>
        </w:rPr>
        <w:t xml:space="preserve"> </w:t>
      </w:r>
      <w:r w:rsidRPr="0032033B">
        <w:rPr>
          <w:rFonts w:ascii="Times New Roman" w:hAnsi="Times New Roman" w:cs="Times New Roman"/>
          <w:sz w:val="24"/>
          <w:szCs w:val="24"/>
          <w:lang w:val="en-US"/>
        </w:rPr>
        <w:t>in R version 4.2.2 (R Core Team, 2022).</w:t>
      </w:r>
    </w:p>
    <w:p w14:paraId="5F352EA0" w14:textId="08AD785C" w:rsidR="0032033B" w:rsidRPr="0032033B" w:rsidRDefault="0032033B" w:rsidP="00171FA3">
      <w:pPr>
        <w:spacing w:after="200" w:line="480" w:lineRule="auto"/>
        <w:ind w:firstLine="720"/>
        <w:rPr>
          <w:rFonts w:ascii="Times New Roman" w:hAnsi="Times New Roman" w:cs="Times New Roman"/>
          <w:sz w:val="24"/>
          <w:szCs w:val="24"/>
          <w:lang w:val="en-US"/>
        </w:rPr>
      </w:pPr>
      <w:r w:rsidRPr="0032033B">
        <w:rPr>
          <w:rFonts w:ascii="Times New Roman" w:hAnsi="Times New Roman" w:cs="Times New Roman"/>
          <w:sz w:val="24"/>
          <w:szCs w:val="24"/>
          <w:lang w:val="en-US"/>
        </w:rPr>
        <w:t>We used both Procrustes Analysis and Mantel tests to assess whether bird and plant composition covary. These complementary approaches were chosen to provide a robust assessment of community congruence: Procrustes analysis considers the specific spatial configuration of community data points, while Mantel tests examine the correlation between distance matrices. Different data transformations were applied to optimize each test's performance and to ensure the assumptions of each test were met.</w:t>
      </w:r>
      <w:r w:rsidR="00171FA3">
        <w:rPr>
          <w:rFonts w:ascii="Times New Roman" w:hAnsi="Times New Roman" w:cs="Times New Roman"/>
          <w:sz w:val="24"/>
          <w:szCs w:val="24"/>
          <w:lang w:val="en-US"/>
        </w:rPr>
        <w:t xml:space="preserve"> </w:t>
      </w:r>
      <w:r w:rsidR="00171FA3" w:rsidRPr="0032033B">
        <w:rPr>
          <w:rFonts w:ascii="Times New Roman" w:hAnsi="Times New Roman" w:cs="Times New Roman"/>
          <w:sz w:val="24"/>
          <w:szCs w:val="24"/>
          <w:lang w:val="en-US"/>
        </w:rPr>
        <w:t xml:space="preserve">Due to the limited sample size </w:t>
      </w:r>
      <w:r w:rsidR="00171FA3" w:rsidRPr="0032033B">
        <w:rPr>
          <w:rFonts w:ascii="Times New Roman" w:hAnsi="Times New Roman" w:cs="Times New Roman"/>
          <w:sz w:val="24"/>
          <w:szCs w:val="24"/>
          <w:lang w:val="en-US"/>
        </w:rPr>
        <w:lastRenderedPageBreak/>
        <w:t>when sites were categorized by type (basin or fringe), we focused our analyses on overall community composition rather than conducting separate analyses for basin and fringe sites. We examined the congruence between bird communities and individual plant metrics (tree height, basal area, and canopy width) using the same approach.</w:t>
      </w:r>
    </w:p>
    <w:p w14:paraId="164AA8C3" w14:textId="77777777" w:rsidR="0032033B" w:rsidRPr="0032033B" w:rsidRDefault="0032033B" w:rsidP="0032033B">
      <w:pPr>
        <w:spacing w:after="200" w:line="480" w:lineRule="auto"/>
        <w:ind w:firstLine="720"/>
        <w:rPr>
          <w:rFonts w:ascii="Times New Roman" w:hAnsi="Times New Roman" w:cs="Times New Roman"/>
          <w:sz w:val="24"/>
          <w:szCs w:val="24"/>
          <w:lang w:val="en-US"/>
        </w:rPr>
      </w:pPr>
      <w:r w:rsidRPr="0032033B">
        <w:rPr>
          <w:rFonts w:ascii="Times New Roman" w:hAnsi="Times New Roman" w:cs="Times New Roman"/>
          <w:sz w:val="24"/>
          <w:szCs w:val="24"/>
          <w:lang w:val="en-US"/>
        </w:rPr>
        <w:t xml:space="preserve">For the Procrustes analysis, we first performed Hellinger transformations on both the bird and plant community matrices using the </w:t>
      </w:r>
      <w:proofErr w:type="spellStart"/>
      <w:r w:rsidRPr="0032033B">
        <w:rPr>
          <w:rFonts w:ascii="Times New Roman" w:hAnsi="Times New Roman" w:cs="Times New Roman"/>
          <w:sz w:val="24"/>
          <w:szCs w:val="24"/>
          <w:lang w:val="en-US"/>
        </w:rPr>
        <w:t>decostand</w:t>
      </w:r>
      <w:proofErr w:type="spellEnd"/>
      <w:r w:rsidRPr="0032033B">
        <w:rPr>
          <w:rFonts w:ascii="Times New Roman" w:hAnsi="Times New Roman" w:cs="Times New Roman"/>
          <w:sz w:val="24"/>
          <w:szCs w:val="24"/>
          <w:lang w:val="en-US"/>
        </w:rPr>
        <w:t xml:space="preserve"> function from the vegan package (version 2.6-4; Oksanen et al., 2023) in R. This transformation is particularly useful for abundance data as it gives low weights to variables with low counts and many zeros. We then used the protest function to perform the Procrustes test. For the Mantel test, we applied Wisconsin double standardization to both matrices using the </w:t>
      </w:r>
      <w:proofErr w:type="spellStart"/>
      <w:r w:rsidRPr="0032033B">
        <w:rPr>
          <w:rFonts w:ascii="Times New Roman" w:hAnsi="Times New Roman" w:cs="Times New Roman"/>
          <w:sz w:val="24"/>
          <w:szCs w:val="24"/>
          <w:lang w:val="en-US"/>
        </w:rPr>
        <w:t>wisconsin</w:t>
      </w:r>
      <w:proofErr w:type="spellEnd"/>
      <w:r w:rsidRPr="0032033B">
        <w:rPr>
          <w:rFonts w:ascii="Times New Roman" w:hAnsi="Times New Roman" w:cs="Times New Roman"/>
          <w:sz w:val="24"/>
          <w:szCs w:val="24"/>
          <w:lang w:val="en-US"/>
        </w:rPr>
        <w:t xml:space="preserve"> function, which standardizes species to maximum abundance and sites by total abundance. This was followed by the calculation of dissimilarity matrices using the </w:t>
      </w:r>
      <w:proofErr w:type="spellStart"/>
      <w:r w:rsidRPr="0032033B">
        <w:rPr>
          <w:rFonts w:ascii="Times New Roman" w:hAnsi="Times New Roman" w:cs="Times New Roman"/>
          <w:sz w:val="24"/>
          <w:szCs w:val="24"/>
          <w:lang w:val="en-US"/>
        </w:rPr>
        <w:t>vegdist</w:t>
      </w:r>
      <w:proofErr w:type="spellEnd"/>
      <w:r w:rsidRPr="0032033B">
        <w:rPr>
          <w:rFonts w:ascii="Times New Roman" w:hAnsi="Times New Roman" w:cs="Times New Roman"/>
          <w:sz w:val="24"/>
          <w:szCs w:val="24"/>
          <w:lang w:val="en-US"/>
        </w:rPr>
        <w:t xml:space="preserve"> function. We then performed the Mantel test using the mantel function with Spearman's rank correlation, which is less sensitive to non-linear relationships than Pearson's correlation.</w:t>
      </w:r>
    </w:p>
    <w:p w14:paraId="6661E96F" w14:textId="77777777" w:rsidR="00463044" w:rsidRDefault="00F30840" w:rsidP="00463044">
      <w:pPr>
        <w:spacing w:after="200" w:line="480" w:lineRule="auto"/>
        <w:ind w:firstLine="720"/>
        <w:rPr>
          <w:rFonts w:ascii="Times New Roman" w:hAnsi="Times New Roman" w:cs="Times New Roman"/>
          <w:sz w:val="24"/>
          <w:szCs w:val="24"/>
          <w:lang w:val="en-US"/>
        </w:rPr>
      </w:pPr>
      <w:r w:rsidRPr="00F30840">
        <w:rPr>
          <w:rFonts w:ascii="Times New Roman" w:hAnsi="Times New Roman" w:cs="Times New Roman"/>
          <w:sz w:val="24"/>
          <w:szCs w:val="24"/>
          <w:lang w:val="en-US"/>
        </w:rPr>
        <w:t>We used Permutational Multivariate Analysis of Variance (PERMANOVA) to assess whether community composition differed by site type for both birds and plants. For birds, we analyzed both abundance data and trait data. For plants, we examined tree height, basal area, and canopy width separately.</w:t>
      </w:r>
      <w:r>
        <w:rPr>
          <w:rFonts w:ascii="Times New Roman" w:hAnsi="Times New Roman" w:cs="Times New Roman"/>
          <w:sz w:val="24"/>
          <w:szCs w:val="24"/>
          <w:lang w:val="en-US"/>
        </w:rPr>
        <w:t xml:space="preserve"> </w:t>
      </w:r>
      <w:r w:rsidRPr="00F30840">
        <w:rPr>
          <w:rFonts w:ascii="Times New Roman" w:hAnsi="Times New Roman" w:cs="Times New Roman"/>
          <w:sz w:val="24"/>
          <w:szCs w:val="24"/>
          <w:lang w:val="en-US"/>
        </w:rPr>
        <w:t>First, we prepared the data matrices, applying appropriate transformations: Wisconsin double standardization for bird abundance data, and maximum standardization for plant metrics and bird trait data. We then calculated distance matrices using Bray-</w:t>
      </w:r>
      <w:proofErr w:type="gramStart"/>
      <w:r w:rsidRPr="00F30840">
        <w:rPr>
          <w:rFonts w:ascii="Times New Roman" w:hAnsi="Times New Roman" w:cs="Times New Roman"/>
          <w:sz w:val="24"/>
          <w:szCs w:val="24"/>
          <w:lang w:val="en-US"/>
        </w:rPr>
        <w:t>Curtis</w:t>
      </w:r>
      <w:proofErr w:type="gramEnd"/>
      <w:r w:rsidRPr="00F30840">
        <w:rPr>
          <w:rFonts w:ascii="Times New Roman" w:hAnsi="Times New Roman" w:cs="Times New Roman"/>
          <w:sz w:val="24"/>
          <w:szCs w:val="24"/>
          <w:lang w:val="en-US"/>
        </w:rPr>
        <w:t xml:space="preserve"> dissimilarity.</w:t>
      </w:r>
      <w:r>
        <w:rPr>
          <w:rFonts w:ascii="Times New Roman" w:hAnsi="Times New Roman" w:cs="Times New Roman"/>
          <w:sz w:val="24"/>
          <w:szCs w:val="24"/>
          <w:lang w:val="en-US"/>
        </w:rPr>
        <w:t xml:space="preserve"> </w:t>
      </w:r>
      <w:r w:rsidRPr="00F30840">
        <w:rPr>
          <w:rFonts w:ascii="Times New Roman" w:hAnsi="Times New Roman" w:cs="Times New Roman"/>
          <w:sz w:val="24"/>
          <w:szCs w:val="24"/>
          <w:lang w:val="en-US"/>
        </w:rPr>
        <w:t xml:space="preserve">PERMANOVA was performed to test for homogeneity of multivariate dispersions, followed by an ANOVA to assess the significance of differences between site types. We also conducted post-hoc pairwise comparisons using Tukey's Honest Significant Difference </w:t>
      </w:r>
      <w:r w:rsidRPr="00F30840">
        <w:rPr>
          <w:rFonts w:ascii="Times New Roman" w:hAnsi="Times New Roman" w:cs="Times New Roman"/>
          <w:sz w:val="24"/>
          <w:szCs w:val="24"/>
          <w:lang w:val="en-US"/>
        </w:rPr>
        <w:lastRenderedPageBreak/>
        <w:t>test to identify specific differences between site types.</w:t>
      </w:r>
      <w:r w:rsidR="00463044">
        <w:rPr>
          <w:rFonts w:ascii="Times New Roman" w:hAnsi="Times New Roman" w:cs="Times New Roman"/>
          <w:sz w:val="24"/>
          <w:szCs w:val="24"/>
          <w:lang w:val="en-US"/>
        </w:rPr>
        <w:t xml:space="preserve"> </w:t>
      </w:r>
      <w:r w:rsidRPr="00F30840">
        <w:rPr>
          <w:rFonts w:ascii="Times New Roman" w:hAnsi="Times New Roman" w:cs="Times New Roman"/>
          <w:sz w:val="24"/>
          <w:szCs w:val="24"/>
          <w:lang w:val="en-US"/>
        </w:rPr>
        <w:t>To account for potential effects of data transformation on the results, we ran additional analyses using Hellinger transformation for the plant metrics. This approach allowed us to compare the consistency of our findings across different data transformations.</w:t>
      </w:r>
    </w:p>
    <w:p w14:paraId="437D0361" w14:textId="390B11CD" w:rsidR="0032033B" w:rsidRPr="00463044" w:rsidRDefault="0032033B" w:rsidP="00463044">
      <w:pPr>
        <w:spacing w:after="200" w:line="480" w:lineRule="auto"/>
        <w:ind w:firstLine="720"/>
        <w:rPr>
          <w:rFonts w:ascii="Times New Roman" w:hAnsi="Times New Roman" w:cs="Times New Roman"/>
          <w:sz w:val="24"/>
          <w:szCs w:val="24"/>
          <w:lang w:val="en-US"/>
        </w:rPr>
      </w:pPr>
      <w:r w:rsidRPr="0032033B">
        <w:rPr>
          <w:rFonts w:ascii="Times New Roman" w:hAnsi="Times New Roman" w:cs="Times New Roman"/>
          <w:sz w:val="24"/>
          <w:szCs w:val="24"/>
          <w:lang w:val="en-US"/>
        </w:rPr>
        <w:t xml:space="preserve">Finally, we used a series of ANCOVA models to assess whether plant abundance and site type were predictive of bird diversity. These models examined the effects of site type and species basal area on bird species abundance, species richness, Shannon-Weiner index, functional dispersion, functional richness, functional evenness, and functional divergence. We used the </w:t>
      </w:r>
      <w:proofErr w:type="spellStart"/>
      <w:r w:rsidRPr="0032033B">
        <w:rPr>
          <w:rFonts w:ascii="Times New Roman" w:hAnsi="Times New Roman" w:cs="Times New Roman"/>
          <w:sz w:val="24"/>
          <w:szCs w:val="24"/>
          <w:lang w:val="en-US"/>
        </w:rPr>
        <w:t>dbFD</w:t>
      </w:r>
      <w:proofErr w:type="spellEnd"/>
      <w:r w:rsidRPr="0032033B">
        <w:rPr>
          <w:rFonts w:ascii="Times New Roman" w:hAnsi="Times New Roman" w:cs="Times New Roman"/>
          <w:sz w:val="24"/>
          <w:szCs w:val="24"/>
          <w:lang w:val="en-US"/>
        </w:rPr>
        <w:t xml:space="preserve"> function from the FD package (version 1.0-12; </w:t>
      </w:r>
      <w:proofErr w:type="spellStart"/>
      <w:r w:rsidRPr="0032033B">
        <w:rPr>
          <w:rFonts w:ascii="Times New Roman" w:hAnsi="Times New Roman" w:cs="Times New Roman"/>
          <w:sz w:val="24"/>
          <w:szCs w:val="24"/>
          <w:lang w:val="en-US"/>
        </w:rPr>
        <w:t>Laliberté</w:t>
      </w:r>
      <w:proofErr w:type="spellEnd"/>
      <w:r w:rsidRPr="0032033B">
        <w:rPr>
          <w:rFonts w:ascii="Times New Roman" w:hAnsi="Times New Roman" w:cs="Times New Roman"/>
          <w:sz w:val="24"/>
          <w:szCs w:val="24"/>
          <w:lang w:val="en-US"/>
        </w:rPr>
        <w:t xml:space="preserve"> et al., 2014) in R to calculate various functional diversity metrics for the bird communities, including functional dispersion, functional richness, functional evenness, and functional divergence. These functional metrics were based on a matrix of species abundances and binary traits.</w:t>
      </w:r>
    </w:p>
    <w:p w14:paraId="73BD52DA" w14:textId="77777777" w:rsidR="00882293" w:rsidRPr="00B35300" w:rsidRDefault="0031658D" w:rsidP="00DF79AF">
      <w:pPr>
        <w:pStyle w:val="Heading1"/>
      </w:pPr>
      <w:r w:rsidRPr="00B35300">
        <w:t>Results</w:t>
      </w:r>
    </w:p>
    <w:p w14:paraId="412058A0" w14:textId="77777777" w:rsidR="00882293" w:rsidRPr="00B35300" w:rsidRDefault="0031658D" w:rsidP="00753355">
      <w:pPr>
        <w:spacing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From our preliminary results, we found that red and white mangroves were structurally the most important species overall, with IVIs of 124 and 123 respectively. Black mangroves were least important overall, except at Mt. Hartman where black and white mangroves were equally important and red mangroves were the minority. </w:t>
      </w:r>
    </w:p>
    <w:p w14:paraId="4024FCD4" w14:textId="687622D4" w:rsidR="000E300F" w:rsidRDefault="0031658D" w:rsidP="002A4406">
      <w:pPr>
        <w:spacing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We counted over 600 individual birds of 34 species across all 4 sites. Levera was the most diverse site, with 25 species, followed by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(20), Mt. Hartman (19) and Conference (16). The </w:t>
      </w:r>
      <w:proofErr w:type="gramStart"/>
      <w:r w:rsidRPr="00B35300">
        <w:rPr>
          <w:rFonts w:ascii="Times New Roman" w:hAnsi="Times New Roman" w:cs="Times New Roman"/>
          <w:sz w:val="24"/>
          <w:szCs w:val="24"/>
        </w:rPr>
        <w:t>most commonly seen</w:t>
      </w:r>
      <w:proofErr w:type="gramEnd"/>
      <w:r w:rsidRPr="00B35300">
        <w:rPr>
          <w:rFonts w:ascii="Times New Roman" w:hAnsi="Times New Roman" w:cs="Times New Roman"/>
          <w:sz w:val="24"/>
          <w:szCs w:val="24"/>
        </w:rPr>
        <w:t xml:space="preserve"> species were landbirds like Bananaquits, Scaly-</w:t>
      </w:r>
      <w:proofErr w:type="spellStart"/>
      <w:r w:rsidRPr="00B35300">
        <w:rPr>
          <w:rFonts w:ascii="Times New Roman" w:hAnsi="Times New Roman" w:cs="Times New Roman"/>
          <w:sz w:val="24"/>
          <w:szCs w:val="24"/>
        </w:rPr>
        <w:t>naped</w:t>
      </w:r>
      <w:proofErr w:type="spellEnd"/>
      <w:r w:rsidRPr="00B35300">
        <w:rPr>
          <w:rFonts w:ascii="Times New Roman" w:hAnsi="Times New Roman" w:cs="Times New Roman"/>
          <w:sz w:val="24"/>
          <w:szCs w:val="24"/>
        </w:rPr>
        <w:t xml:space="preserve"> Pigeons (‘</w:t>
      </w:r>
      <w:proofErr w:type="spellStart"/>
      <w:r w:rsidRPr="00B35300">
        <w:rPr>
          <w:rFonts w:ascii="Times New Roman" w:hAnsi="Times New Roman" w:cs="Times New Roman"/>
          <w:sz w:val="24"/>
          <w:szCs w:val="24"/>
        </w:rPr>
        <w:t>ramier</w:t>
      </w:r>
      <w:proofErr w:type="spellEnd"/>
      <w:r w:rsidRPr="00B35300">
        <w:rPr>
          <w:rFonts w:ascii="Times New Roman" w:hAnsi="Times New Roman" w:cs="Times New Roman"/>
          <w:sz w:val="24"/>
          <w:szCs w:val="24"/>
        </w:rPr>
        <w:t xml:space="preserve">’), and Tropical Mockingbirds, but we also found high numbers of Laughing Gulls, Common Gallinules (‘moorhen’), and Black-bellied Whistling Ducks. The </w:t>
      </w:r>
      <w:r w:rsidRPr="00B35300">
        <w:rPr>
          <w:rFonts w:ascii="Times New Roman" w:hAnsi="Times New Roman" w:cs="Times New Roman"/>
          <w:sz w:val="24"/>
          <w:szCs w:val="24"/>
        </w:rPr>
        <w:lastRenderedPageBreak/>
        <w:t>endemic subspecies of House Wren was found at all sites, and the endemic Grenada Flycatcher was common as well. Thus, the mangrove ecosystems in Grenada are very diverse and support both waterbirds and landbirds, i</w:t>
      </w:r>
      <w:r w:rsidRPr="00B35300">
        <w:rPr>
          <w:rFonts w:ascii="Times New Roman" w:hAnsi="Times New Roman" w:cs="Times New Roman"/>
          <w:sz w:val="24"/>
          <w:szCs w:val="24"/>
        </w:rPr>
        <w:t xml:space="preserve">ncluding endemic species and subspecies. </w:t>
      </w:r>
    </w:p>
    <w:p w14:paraId="0C505B1C" w14:textId="304BB139" w:rsidR="007A4F2D" w:rsidRDefault="007A4F2D" w:rsidP="002A4406">
      <w:pPr>
        <w:spacing w:after="200" w:line="480" w:lineRule="auto"/>
        <w:ind w:firstLine="720"/>
        <w:rPr>
          <w:rFonts w:ascii="Times New Roman" w:hAnsi="Times New Roman" w:cs="Times New Roman"/>
          <w:sz w:val="24"/>
          <w:szCs w:val="24"/>
          <w:lang w:val="en-US"/>
        </w:rPr>
      </w:pPr>
      <w:r w:rsidRPr="00AC56A2">
        <w:rPr>
          <w:rFonts w:ascii="Times New Roman" w:hAnsi="Times New Roman" w:cs="Times New Roman"/>
          <w:sz w:val="24"/>
          <w:szCs w:val="24"/>
          <w:lang w:val="en-US"/>
        </w:rPr>
        <w:t xml:space="preserve">To assess whether bird and plant composition covary, we conducted Procrustes analysis and Mantel tests on the overall dataset, combining </w:t>
      </w:r>
      <w:r>
        <w:rPr>
          <w:rFonts w:ascii="Times New Roman" w:hAnsi="Times New Roman" w:cs="Times New Roman"/>
          <w:sz w:val="24"/>
          <w:szCs w:val="24"/>
          <w:lang w:val="en-US"/>
        </w:rPr>
        <w:t>both</w:t>
      </w:r>
      <w:r w:rsidRPr="00AC56A2">
        <w:rPr>
          <w:rFonts w:ascii="Times New Roman" w:hAnsi="Times New Roman" w:cs="Times New Roman"/>
          <w:sz w:val="24"/>
          <w:szCs w:val="24"/>
          <w:lang w:val="en-US"/>
        </w:rPr>
        <w:t xml:space="preserve"> site types.</w:t>
      </w:r>
      <w:r>
        <w:rPr>
          <w:rFonts w:ascii="Times New Roman" w:hAnsi="Times New Roman" w:cs="Times New Roman"/>
          <w:sz w:val="24"/>
          <w:szCs w:val="24"/>
          <w:lang w:val="en-US"/>
        </w:rPr>
        <w:t xml:space="preserve"> Both the</w:t>
      </w:r>
      <w:r w:rsidRPr="00AC56A2">
        <w:rPr>
          <w:rFonts w:ascii="Times New Roman" w:hAnsi="Times New Roman" w:cs="Times New Roman"/>
          <w:sz w:val="24"/>
          <w:szCs w:val="24"/>
          <w:lang w:val="en-US"/>
        </w:rPr>
        <w:t xml:space="preserve"> Procrustes analysis</w:t>
      </w:r>
      <w:r>
        <w:rPr>
          <w:rFonts w:ascii="Times New Roman" w:hAnsi="Times New Roman" w:cs="Times New Roman"/>
          <w:sz w:val="24"/>
          <w:szCs w:val="24"/>
          <w:lang w:val="en-US"/>
        </w:rPr>
        <w:t xml:space="preserve"> and Mantel</w:t>
      </w:r>
      <w:r w:rsidRPr="00AC56A2">
        <w:rPr>
          <w:rFonts w:ascii="Times New Roman" w:hAnsi="Times New Roman" w:cs="Times New Roman"/>
          <w:sz w:val="24"/>
          <w:szCs w:val="24"/>
          <w:lang w:val="en-US"/>
        </w:rPr>
        <w:t xml:space="preserve"> test</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showed significant congruence between bird community composition and tree height (m^2 = 0.838, p = 0.035</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 xml:space="preserve">r = 0.296, p = 0.012). </w:t>
      </w:r>
      <w:r>
        <w:rPr>
          <w:rFonts w:ascii="Times New Roman" w:hAnsi="Times New Roman" w:cs="Times New Roman"/>
          <w:sz w:val="24"/>
          <w:szCs w:val="24"/>
          <w:lang w:val="en-US"/>
        </w:rPr>
        <w:t xml:space="preserve">While for the Procrustes </w:t>
      </w:r>
      <w:r w:rsidRPr="00AC56A2">
        <w:rPr>
          <w:rFonts w:ascii="Times New Roman" w:hAnsi="Times New Roman" w:cs="Times New Roman"/>
          <w:sz w:val="24"/>
          <w:szCs w:val="24"/>
          <w:lang w:val="en-US"/>
        </w:rPr>
        <w:t>analysis</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congruence between bird communities and basal area (m</w:t>
      </w:r>
      <w:r w:rsidR="00930815">
        <w:rPr>
          <w:rFonts w:ascii="Times New Roman" w:hAnsi="Times New Roman" w:cs="Times New Roman"/>
          <w:sz w:val="24"/>
          <w:szCs w:val="24"/>
          <w:vertAlign w:val="superscript"/>
          <w:lang w:val="en-US"/>
        </w:rPr>
        <w:t>2</w:t>
      </w:r>
      <w:r w:rsidRPr="00AC56A2">
        <w:rPr>
          <w:rFonts w:ascii="Times New Roman" w:hAnsi="Times New Roman" w:cs="Times New Roman"/>
          <w:sz w:val="24"/>
          <w:szCs w:val="24"/>
          <w:lang w:val="en-US"/>
        </w:rPr>
        <w:t xml:space="preserve"> = 0.797, p = 0.161) or canopy width (m</w:t>
      </w:r>
      <w:r w:rsidR="00930815">
        <w:rPr>
          <w:rFonts w:ascii="Times New Roman" w:hAnsi="Times New Roman" w:cs="Times New Roman"/>
          <w:sz w:val="24"/>
          <w:szCs w:val="24"/>
          <w:vertAlign w:val="superscript"/>
          <w:lang w:val="en-US"/>
        </w:rPr>
        <w:t>2</w:t>
      </w:r>
      <w:r w:rsidRPr="00AC56A2">
        <w:rPr>
          <w:rFonts w:ascii="Times New Roman" w:hAnsi="Times New Roman" w:cs="Times New Roman"/>
          <w:sz w:val="24"/>
          <w:szCs w:val="24"/>
          <w:lang w:val="en-US"/>
        </w:rPr>
        <w:t xml:space="preserve"> = 0.795, p = 0.301)</w:t>
      </w:r>
      <w:r>
        <w:rPr>
          <w:rFonts w:ascii="Times New Roman" w:hAnsi="Times New Roman" w:cs="Times New Roman"/>
          <w:sz w:val="24"/>
          <w:szCs w:val="24"/>
          <w:lang w:val="en-US"/>
        </w:rPr>
        <w:t xml:space="preserve"> were not significant, they were for the </w:t>
      </w:r>
      <w:r w:rsidRPr="00AC56A2">
        <w:rPr>
          <w:rFonts w:ascii="Times New Roman" w:hAnsi="Times New Roman" w:cs="Times New Roman"/>
          <w:sz w:val="24"/>
          <w:szCs w:val="24"/>
          <w:lang w:val="en-US"/>
        </w:rPr>
        <w:t>Mantel test</w:t>
      </w:r>
      <w:r>
        <w:rPr>
          <w:rFonts w:ascii="Times New Roman" w:hAnsi="Times New Roman" w:cs="Times New Roman"/>
          <w:sz w:val="24"/>
          <w:szCs w:val="24"/>
          <w:lang w:val="en-US"/>
        </w:rPr>
        <w:t xml:space="preserve"> (basal area - r</w:t>
      </w:r>
      <w:r w:rsidRPr="00AC56A2">
        <w:rPr>
          <w:rFonts w:ascii="Times New Roman" w:hAnsi="Times New Roman" w:cs="Times New Roman"/>
          <w:sz w:val="24"/>
          <w:szCs w:val="24"/>
          <w:lang w:val="en-US"/>
        </w:rPr>
        <w:t xml:space="preserve"> = 0.200, p = 0.063</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canopy width</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r = 0.161, p = 0.081).</w:t>
      </w:r>
    </w:p>
    <w:p w14:paraId="607A3A59" w14:textId="1F0F7559" w:rsidR="00917A76" w:rsidRPr="00AC56A2" w:rsidRDefault="000E300F" w:rsidP="007A4F2D">
      <w:pPr>
        <w:spacing w:after="200" w:line="480" w:lineRule="auto"/>
        <w:ind w:firstLine="720"/>
        <w:rPr>
          <w:rFonts w:ascii="Times New Roman" w:hAnsi="Times New Roman" w:cs="Times New Roman"/>
          <w:sz w:val="24"/>
          <w:szCs w:val="24"/>
          <w:lang w:val="en-US"/>
        </w:rPr>
      </w:pPr>
      <w:r w:rsidRPr="000E300F">
        <w:rPr>
          <w:rFonts w:ascii="Times New Roman" w:hAnsi="Times New Roman" w:cs="Times New Roman"/>
          <w:sz w:val="24"/>
          <w:szCs w:val="24"/>
          <w:lang w:val="en-US"/>
        </w:rPr>
        <w:t>We conducted Permutational Multivariate Analysis of Variance (PERMANOVA) to assess whether community composition differed by site type (basin vs. fringe) for both birds and plants</w:t>
      </w:r>
      <w:r>
        <w:rPr>
          <w:rFonts w:ascii="Times New Roman" w:hAnsi="Times New Roman" w:cs="Times New Roman"/>
          <w:sz w:val="24"/>
          <w:szCs w:val="24"/>
          <w:lang w:val="en-US"/>
        </w:rPr>
        <w:t>.</w:t>
      </w:r>
      <w:r w:rsidRPr="000E300F">
        <w:rPr>
          <w:rFonts w:ascii="Times New Roman" w:hAnsi="Times New Roman" w:cs="Times New Roman"/>
          <w:sz w:val="24"/>
          <w:szCs w:val="24"/>
          <w:lang w:val="en-US"/>
        </w:rPr>
        <w:t xml:space="preserve"> The PERMANOVA for bird abundance data showed no significant difference in community composition between basin and fringe sites (</w:t>
      </w:r>
      <w:proofErr w:type="gramStart"/>
      <w:r w:rsidRPr="000E300F">
        <w:rPr>
          <w:rFonts w:ascii="Times New Roman" w:hAnsi="Times New Roman" w:cs="Times New Roman"/>
          <w:sz w:val="24"/>
          <w:szCs w:val="24"/>
          <w:lang w:val="en-US"/>
        </w:rPr>
        <w:t>F(</w:t>
      </w:r>
      <w:proofErr w:type="gramEnd"/>
      <w:r w:rsidRPr="000E300F">
        <w:rPr>
          <w:rFonts w:ascii="Times New Roman" w:hAnsi="Times New Roman" w:cs="Times New Roman"/>
          <w:sz w:val="24"/>
          <w:szCs w:val="24"/>
          <w:lang w:val="en-US"/>
        </w:rPr>
        <w:t>1) = 0.230, p = 0.635). Similarly, when analyzing bird functional traits, we found no significant difference between site types (</w:t>
      </w:r>
      <w:proofErr w:type="gramStart"/>
      <w:r w:rsidRPr="000E300F">
        <w:rPr>
          <w:rFonts w:ascii="Times New Roman" w:hAnsi="Times New Roman" w:cs="Times New Roman"/>
          <w:sz w:val="24"/>
          <w:szCs w:val="24"/>
          <w:lang w:val="en-US"/>
        </w:rPr>
        <w:t>F(</w:t>
      </w:r>
      <w:proofErr w:type="gramEnd"/>
      <w:r w:rsidRPr="000E300F">
        <w:rPr>
          <w:rFonts w:ascii="Times New Roman" w:hAnsi="Times New Roman" w:cs="Times New Roman"/>
          <w:sz w:val="24"/>
          <w:szCs w:val="24"/>
          <w:lang w:val="en-US"/>
        </w:rPr>
        <w:t>1) = 0.338, p = 0.566). For plant characteristics, we analyzed basal area, canopy width, and tree height separately:</w:t>
      </w:r>
      <w:r w:rsidR="006D3A8D">
        <w:rPr>
          <w:rFonts w:ascii="Times New Roman" w:hAnsi="Times New Roman" w:cs="Times New Roman"/>
          <w:sz w:val="24"/>
          <w:szCs w:val="24"/>
          <w:lang w:val="en-US"/>
        </w:rPr>
        <w:t xml:space="preserve"> 1) b</w:t>
      </w:r>
      <w:r w:rsidRPr="000E300F">
        <w:rPr>
          <w:rFonts w:ascii="Times New Roman" w:hAnsi="Times New Roman" w:cs="Times New Roman"/>
          <w:sz w:val="24"/>
          <w:szCs w:val="24"/>
          <w:lang w:val="en-US"/>
        </w:rPr>
        <w:t xml:space="preserve">asal </w:t>
      </w:r>
      <w:r w:rsidR="00B7315C">
        <w:rPr>
          <w:rFonts w:ascii="Times New Roman" w:hAnsi="Times New Roman" w:cs="Times New Roman"/>
          <w:sz w:val="24"/>
          <w:szCs w:val="24"/>
          <w:lang w:val="en-US"/>
        </w:rPr>
        <w:t>a</w:t>
      </w:r>
      <w:r w:rsidRPr="000E300F">
        <w:rPr>
          <w:rFonts w:ascii="Times New Roman" w:hAnsi="Times New Roman" w:cs="Times New Roman"/>
          <w:sz w:val="24"/>
          <w:szCs w:val="24"/>
          <w:lang w:val="en-US"/>
        </w:rPr>
        <w:t xml:space="preserve">rea: </w:t>
      </w:r>
      <w:r w:rsidR="006D3A8D">
        <w:rPr>
          <w:rFonts w:ascii="Times New Roman" w:hAnsi="Times New Roman" w:cs="Times New Roman"/>
          <w:sz w:val="24"/>
          <w:szCs w:val="24"/>
          <w:lang w:val="en-US"/>
        </w:rPr>
        <w:t>n</w:t>
      </w:r>
      <w:r w:rsidRPr="000E300F">
        <w:rPr>
          <w:rFonts w:ascii="Times New Roman" w:hAnsi="Times New Roman" w:cs="Times New Roman"/>
          <w:sz w:val="24"/>
          <w:szCs w:val="24"/>
          <w:lang w:val="en-US"/>
        </w:rPr>
        <w:t>o significant difference was found between basin and fringe sites (F(1) = 2.29, p = 0.137)</w:t>
      </w:r>
      <w:r w:rsidR="006D3A8D">
        <w:rPr>
          <w:rFonts w:ascii="Times New Roman" w:hAnsi="Times New Roman" w:cs="Times New Roman"/>
          <w:sz w:val="24"/>
          <w:szCs w:val="24"/>
          <w:lang w:val="en-US"/>
        </w:rPr>
        <w:t>; 2) c</w:t>
      </w:r>
      <w:r w:rsidRPr="000E300F">
        <w:rPr>
          <w:rFonts w:ascii="Times New Roman" w:hAnsi="Times New Roman" w:cs="Times New Roman"/>
          <w:sz w:val="24"/>
          <w:szCs w:val="24"/>
          <w:lang w:val="en-US"/>
        </w:rPr>
        <w:t xml:space="preserve">anopy </w:t>
      </w:r>
      <w:r w:rsidR="006D3A8D">
        <w:rPr>
          <w:rFonts w:ascii="Times New Roman" w:hAnsi="Times New Roman" w:cs="Times New Roman"/>
          <w:sz w:val="24"/>
          <w:szCs w:val="24"/>
          <w:lang w:val="en-US"/>
        </w:rPr>
        <w:t>w</w:t>
      </w:r>
      <w:r w:rsidRPr="000E300F">
        <w:rPr>
          <w:rFonts w:ascii="Times New Roman" w:hAnsi="Times New Roman" w:cs="Times New Roman"/>
          <w:sz w:val="24"/>
          <w:szCs w:val="24"/>
          <w:lang w:val="en-US"/>
        </w:rPr>
        <w:t xml:space="preserve">idth: </w:t>
      </w:r>
      <w:r w:rsidR="007A4F2D">
        <w:rPr>
          <w:rFonts w:ascii="Times New Roman" w:hAnsi="Times New Roman" w:cs="Times New Roman"/>
          <w:sz w:val="24"/>
          <w:szCs w:val="24"/>
          <w:lang w:val="en-US"/>
        </w:rPr>
        <w:t>t</w:t>
      </w:r>
      <w:r w:rsidRPr="000E300F">
        <w:rPr>
          <w:rFonts w:ascii="Times New Roman" w:hAnsi="Times New Roman" w:cs="Times New Roman"/>
          <w:sz w:val="24"/>
          <w:szCs w:val="24"/>
          <w:lang w:val="en-US"/>
        </w:rPr>
        <w:t>he analysis showed no significant difference between site types (F(1) = 1.33, p = 0.255)</w:t>
      </w:r>
      <w:r w:rsidR="006D3A8D">
        <w:rPr>
          <w:rFonts w:ascii="Times New Roman" w:hAnsi="Times New Roman" w:cs="Times New Roman"/>
          <w:sz w:val="24"/>
          <w:szCs w:val="24"/>
          <w:lang w:val="en-US"/>
        </w:rPr>
        <w:t>; and 3) t</w:t>
      </w:r>
      <w:r w:rsidRPr="000E300F">
        <w:rPr>
          <w:rFonts w:ascii="Times New Roman" w:hAnsi="Times New Roman" w:cs="Times New Roman"/>
          <w:sz w:val="24"/>
          <w:szCs w:val="24"/>
          <w:lang w:val="en-US"/>
        </w:rPr>
        <w:t xml:space="preserve">ree </w:t>
      </w:r>
      <w:r w:rsidR="006D3A8D">
        <w:rPr>
          <w:rFonts w:ascii="Times New Roman" w:hAnsi="Times New Roman" w:cs="Times New Roman"/>
          <w:sz w:val="24"/>
          <w:szCs w:val="24"/>
          <w:lang w:val="en-US"/>
        </w:rPr>
        <w:t>h</w:t>
      </w:r>
      <w:r w:rsidRPr="000E300F">
        <w:rPr>
          <w:rFonts w:ascii="Times New Roman" w:hAnsi="Times New Roman" w:cs="Times New Roman"/>
          <w:sz w:val="24"/>
          <w:szCs w:val="24"/>
          <w:lang w:val="en-US"/>
        </w:rPr>
        <w:t xml:space="preserve">eight: </w:t>
      </w:r>
      <w:r w:rsidR="006D3A8D">
        <w:rPr>
          <w:rFonts w:ascii="Times New Roman" w:hAnsi="Times New Roman" w:cs="Times New Roman"/>
          <w:sz w:val="24"/>
          <w:szCs w:val="24"/>
          <w:lang w:val="en-US"/>
        </w:rPr>
        <w:t>t</w:t>
      </w:r>
      <w:r w:rsidRPr="000E300F">
        <w:rPr>
          <w:rFonts w:ascii="Times New Roman" w:hAnsi="Times New Roman" w:cs="Times New Roman"/>
          <w:sz w:val="24"/>
          <w:szCs w:val="24"/>
          <w:lang w:val="en-US"/>
        </w:rPr>
        <w:t>here was a marginally significant difference in tree height between basin and fringe sites (F(1) = 3.64, p = 0.0631).</w:t>
      </w:r>
    </w:p>
    <w:p w14:paraId="40B559CD" w14:textId="48D95917" w:rsidR="005A1468" w:rsidRPr="00DE4D99" w:rsidRDefault="005A1468" w:rsidP="00DE4D99">
      <w:pPr>
        <w:spacing w:after="200" w:line="480" w:lineRule="auto"/>
        <w:ind w:firstLine="720"/>
        <w:rPr>
          <w:rFonts w:ascii="Times New Roman" w:hAnsi="Times New Roman" w:cs="Times New Roman"/>
          <w:sz w:val="24"/>
          <w:szCs w:val="24"/>
        </w:rPr>
      </w:pPr>
      <w:r w:rsidRPr="005A1468">
        <w:rPr>
          <w:rFonts w:ascii="Times New Roman" w:hAnsi="Times New Roman" w:cs="Times New Roman"/>
          <w:sz w:val="24"/>
          <w:szCs w:val="24"/>
        </w:rPr>
        <w:t xml:space="preserve">We conducted a series of ANCOVA models to examine the effects of mangrove species composition and basal area on various bird community metrics. </w:t>
      </w:r>
      <w:r w:rsidR="008B4211">
        <w:rPr>
          <w:rFonts w:ascii="Times New Roman" w:hAnsi="Times New Roman" w:cs="Times New Roman"/>
          <w:sz w:val="24"/>
          <w:szCs w:val="24"/>
        </w:rPr>
        <w:t>O</w:t>
      </w:r>
      <w:r w:rsidR="008B4211" w:rsidRPr="005A1468">
        <w:rPr>
          <w:rFonts w:ascii="Times New Roman" w:hAnsi="Times New Roman" w:cs="Times New Roman"/>
          <w:sz w:val="24"/>
          <w:szCs w:val="24"/>
        </w:rPr>
        <w:t xml:space="preserve">ur ANCOVA models did not </w:t>
      </w:r>
      <w:r w:rsidR="008B4211" w:rsidRPr="005A1468">
        <w:rPr>
          <w:rFonts w:ascii="Times New Roman" w:hAnsi="Times New Roman" w:cs="Times New Roman"/>
          <w:sz w:val="24"/>
          <w:szCs w:val="24"/>
        </w:rPr>
        <w:lastRenderedPageBreak/>
        <w:t>reveal any significant effects of mangrove species composition or basal area on bird community metrics, including species richness, abundance, Shannon-Wiener diversity, functional dispersion, and functional divergence</w:t>
      </w:r>
      <w:r w:rsidR="008B4211">
        <w:rPr>
          <w:rFonts w:ascii="Times New Roman" w:hAnsi="Times New Roman" w:cs="Times New Roman"/>
          <w:sz w:val="24"/>
          <w:szCs w:val="24"/>
        </w:rPr>
        <w:t xml:space="preserve">. </w:t>
      </w:r>
      <w:r w:rsidRPr="005A1468">
        <w:rPr>
          <w:rFonts w:ascii="Times New Roman" w:hAnsi="Times New Roman" w:cs="Times New Roman"/>
          <w:sz w:val="24"/>
          <w:szCs w:val="24"/>
        </w:rPr>
        <w:t>Log-transformed species richness and abundance were not significantly affected by mangrove type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0.093, p = 0.911 for richness; F(2,39) = 0.012, p = 0.988 for abundance) or basal area (F(1,39) = 0.025, p = 0.875 for richness; F(1,39) = 0.055, p = 0.816 for abundance). The interaction between mangrove type and basal area was also non-significant for both metrics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0.086, p = 0.918 for richness; F(2,39) = 0.006, p = 0.994 for abundance).</w:t>
      </w:r>
      <w:r w:rsidR="00E56DE3">
        <w:rPr>
          <w:rFonts w:ascii="Times New Roman" w:hAnsi="Times New Roman" w:cs="Times New Roman"/>
          <w:sz w:val="24"/>
          <w:szCs w:val="24"/>
        </w:rPr>
        <w:t xml:space="preserve"> </w:t>
      </w:r>
      <w:r w:rsidRPr="005A1468">
        <w:rPr>
          <w:rFonts w:ascii="Times New Roman" w:hAnsi="Times New Roman" w:cs="Times New Roman"/>
          <w:sz w:val="24"/>
          <w:szCs w:val="24"/>
        </w:rPr>
        <w:t>The Shannon-Wiener diversity index showed no significant relationship with mangrove type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0.151, p = 0.860), basal area (F(1,39) = 0.143, p = 0.708), or their interaction (F(2,39) = 0.259, p = 0.773).</w:t>
      </w:r>
      <w:r w:rsidR="008B4211">
        <w:rPr>
          <w:rFonts w:ascii="Times New Roman" w:hAnsi="Times New Roman" w:cs="Times New Roman"/>
          <w:sz w:val="24"/>
          <w:szCs w:val="24"/>
        </w:rPr>
        <w:t xml:space="preserve"> </w:t>
      </w:r>
      <w:r w:rsidRPr="005A1468">
        <w:rPr>
          <w:rFonts w:ascii="Times New Roman" w:hAnsi="Times New Roman" w:cs="Times New Roman"/>
          <w:sz w:val="24"/>
          <w:szCs w:val="24"/>
        </w:rPr>
        <w:t>Functional dispersion was not significantly affected by mangrove type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0.454, p = 0.638) or its interaction with basal area (F(2,39) = 1.114, p = 0.338). While basal area showed a marginally stronger effect on functional dispersion, it was not statistically significant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1,39) = 2.148, p = 0.151).</w:t>
      </w:r>
      <w:r w:rsidR="008B4211">
        <w:rPr>
          <w:rFonts w:ascii="Times New Roman" w:hAnsi="Times New Roman" w:cs="Times New Roman"/>
          <w:sz w:val="24"/>
          <w:szCs w:val="24"/>
        </w:rPr>
        <w:t xml:space="preserve"> </w:t>
      </w:r>
      <w:r w:rsidRPr="005A1468">
        <w:rPr>
          <w:rFonts w:ascii="Times New Roman" w:hAnsi="Times New Roman" w:cs="Times New Roman"/>
          <w:sz w:val="24"/>
          <w:szCs w:val="24"/>
        </w:rPr>
        <w:t>Similarly, functional divergence showed no significant relationships with mangrove type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0.499, p = 0.611), basal area (F(1,39) = 1.278, p = 0.265), or their interaction (F(2,39) = 1.057, p = 0.357).</w:t>
      </w:r>
    </w:p>
    <w:p w14:paraId="34AC2312" w14:textId="033FC6AC" w:rsidR="00753355" w:rsidRPr="00B35300" w:rsidRDefault="00753355" w:rsidP="00753355">
      <w:pPr>
        <w:pStyle w:val="Heading1"/>
      </w:pPr>
      <w:r>
        <w:t>Discussion</w:t>
      </w:r>
    </w:p>
    <w:p w14:paraId="11022916" w14:textId="0C72695F" w:rsidR="00472A07" w:rsidRPr="00472A07" w:rsidRDefault="005777A6" w:rsidP="00472A07">
      <w:pPr>
        <w:spacing w:after="200" w:line="480" w:lineRule="auto"/>
        <w:ind w:firstLine="720"/>
        <w:rPr>
          <w:rFonts w:ascii="Times New Roman" w:hAnsi="Times New Roman" w:cs="Times New Roman"/>
          <w:sz w:val="24"/>
          <w:szCs w:val="24"/>
        </w:rPr>
      </w:pPr>
      <w:r w:rsidRPr="005777A6">
        <w:rPr>
          <w:rFonts w:ascii="Times New Roman" w:hAnsi="Times New Roman" w:cs="Times New Roman"/>
          <w:sz w:val="24"/>
          <w:szCs w:val="24"/>
        </w:rPr>
        <w:t xml:space="preserve">In this study, we examined species sorting processes in Grenada's mangrove ecosystems, focusing on the relationships between bird and plant communities. We investigated whether plant communities influence bird occupancy in mangroves, a key aspect of species sorting theory. Our research assessed cross-taxon congruence between bird and plant communities, evaluated differences in community composition between fringing and basin mangroves, and examined associations of bird species and functional traits with these mangrove types. We also </w:t>
      </w:r>
      <w:r w:rsidRPr="005777A6">
        <w:rPr>
          <w:rFonts w:ascii="Times New Roman" w:hAnsi="Times New Roman" w:cs="Times New Roman"/>
          <w:sz w:val="24"/>
          <w:szCs w:val="24"/>
        </w:rPr>
        <w:lastRenderedPageBreak/>
        <w:t>analyzed the predictive power of plant characteristics and site type on bird diversity. This investigation aims to provide evidence-based support for mangrove conservation strategies, emphasizing the potential importance of protecting all mangroves regardless of their physiography. Additionally, our study contributes the first published records of bird communities in these understudied mangrove sites in Grenada, establishing valuable baseline data for future research and conservation efforts.</w:t>
      </w:r>
    </w:p>
    <w:p w14:paraId="5866B0C9" w14:textId="3411450E" w:rsidR="00472A07" w:rsidRPr="00472A07" w:rsidRDefault="00472A07" w:rsidP="001C58F2">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t>Our results showed limited evidence for species sorting in Grenada's mangroves, with only tree height demonstrating significant cross-taxon congruence with bird communities.</w:t>
      </w:r>
    </w:p>
    <w:p w14:paraId="6277D99C" w14:textId="3CD76481" w:rsidR="00472A07" w:rsidRPr="00472A07" w:rsidRDefault="00472A07" w:rsidP="001C58F2">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t xml:space="preserve">The lack of significant differences in community composition between fringing and basin mangroves suggests that these physiographic categories may not be strong determinants of bird community structure in our study </w:t>
      </w:r>
      <w:r w:rsidR="00AF3FA0" w:rsidRPr="00472A07">
        <w:rPr>
          <w:rFonts w:ascii="Times New Roman" w:hAnsi="Times New Roman" w:cs="Times New Roman"/>
          <w:sz w:val="24"/>
          <w:szCs w:val="24"/>
        </w:rPr>
        <w:t>sites,</w:t>
      </w:r>
      <w:r w:rsidR="00332F43">
        <w:rPr>
          <w:rFonts w:ascii="Times New Roman" w:hAnsi="Times New Roman" w:cs="Times New Roman"/>
          <w:sz w:val="24"/>
          <w:szCs w:val="24"/>
        </w:rPr>
        <w:t xml:space="preserve"> or we lacked </w:t>
      </w:r>
      <w:r w:rsidR="00E52015">
        <w:rPr>
          <w:rFonts w:ascii="Times New Roman" w:hAnsi="Times New Roman" w:cs="Times New Roman"/>
          <w:sz w:val="24"/>
          <w:szCs w:val="24"/>
        </w:rPr>
        <w:t>sufficient</w:t>
      </w:r>
      <w:r w:rsidR="00332F43">
        <w:rPr>
          <w:rFonts w:ascii="Times New Roman" w:hAnsi="Times New Roman" w:cs="Times New Roman"/>
          <w:sz w:val="24"/>
          <w:szCs w:val="24"/>
        </w:rPr>
        <w:t xml:space="preserve"> power to detect these relationships due to sample size</w:t>
      </w:r>
      <w:r w:rsidRPr="00472A07">
        <w:rPr>
          <w:rFonts w:ascii="Times New Roman" w:hAnsi="Times New Roman" w:cs="Times New Roman"/>
          <w:sz w:val="24"/>
          <w:szCs w:val="24"/>
        </w:rPr>
        <w:t>.</w:t>
      </w:r>
    </w:p>
    <w:p w14:paraId="0DEE3B54" w14:textId="7E577458" w:rsidR="00472A07" w:rsidRPr="00472A07" w:rsidRDefault="00472A07" w:rsidP="00AF3FA0">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t>Despite the absence of clear species sorting patterns, our findings highlight the importance of tree height as a potential driver of bird community composition in mangrove ecosystems.</w:t>
      </w:r>
    </w:p>
    <w:p w14:paraId="72563205" w14:textId="34E539B0" w:rsidR="00E52015" w:rsidRDefault="00D717EA" w:rsidP="001C58F2">
      <w:pPr>
        <w:spacing w:after="200" w:line="480" w:lineRule="auto"/>
        <w:ind w:firstLine="720"/>
        <w:rPr>
          <w:rFonts w:ascii="Times New Roman" w:hAnsi="Times New Roman" w:cs="Times New Roman"/>
          <w:noProof/>
          <w:sz w:val="24"/>
          <w:szCs w:val="24"/>
        </w:rPr>
      </w:pPr>
      <w:r w:rsidRPr="00D717EA">
        <w:rPr>
          <w:rFonts w:ascii="Times New Roman" w:hAnsi="Times New Roman" w:cs="Times New Roman"/>
          <w:sz w:val="24"/>
          <w:szCs w:val="24"/>
        </w:rPr>
        <w:t>Our study sites harbor complex ecological interactions beyond bird-plant relationships, as evidenced by unpublished data on invasive mammal occurrence</w:t>
      </w:r>
      <w:r w:rsidR="00C3478C">
        <w:rPr>
          <w:rFonts w:ascii="Times New Roman" w:hAnsi="Times New Roman" w:cs="Times New Roman"/>
          <w:sz w:val="24"/>
          <w:szCs w:val="24"/>
        </w:rPr>
        <w:t xml:space="preserve"> (Appendix1)</w:t>
      </w:r>
      <w:r w:rsidRPr="00D717EA">
        <w:rPr>
          <w:rFonts w:ascii="Times New Roman" w:hAnsi="Times New Roman" w:cs="Times New Roman"/>
          <w:sz w:val="24"/>
          <w:szCs w:val="24"/>
        </w:rPr>
        <w:t xml:space="preserve"> and fish community composition</w:t>
      </w:r>
      <w:r w:rsidR="00C3478C">
        <w:rPr>
          <w:rFonts w:ascii="Times New Roman" w:hAnsi="Times New Roman" w:cs="Times New Roman"/>
          <w:sz w:val="24"/>
          <w:szCs w:val="24"/>
        </w:rPr>
        <w:t xml:space="preserve"> (Appendix 2)</w:t>
      </w:r>
      <w:r w:rsidRPr="00D717EA">
        <w:rPr>
          <w:rFonts w:ascii="Times New Roman" w:hAnsi="Times New Roman" w:cs="Times New Roman"/>
          <w:sz w:val="24"/>
          <w:szCs w:val="24"/>
        </w:rPr>
        <w:t xml:space="preserve"> in fringing mangroves, which may influence avian community structure through predation pressure and prey availability, respectively</w:t>
      </w:r>
      <w:r w:rsidR="00C3478C">
        <w:rPr>
          <w:rFonts w:ascii="Times New Roman" w:hAnsi="Times New Roman" w:cs="Times New Roman"/>
          <w:sz w:val="24"/>
          <w:szCs w:val="24"/>
        </w:rPr>
        <w:t>.</w:t>
      </w:r>
    </w:p>
    <w:p w14:paraId="408B4A38" w14:textId="252359A1" w:rsidR="00472A07" w:rsidRPr="00472A07" w:rsidRDefault="00472A07" w:rsidP="001C58F2">
      <w:pPr>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P</w:t>
      </w:r>
      <w:r w:rsidRPr="00472A07">
        <w:rPr>
          <w:rFonts w:ascii="Times New Roman" w:hAnsi="Times New Roman" w:cs="Times New Roman"/>
          <w:sz w:val="24"/>
          <w:szCs w:val="24"/>
        </w:rPr>
        <w:t xml:space="preserve">reliminary stable isotope data indicate that </w:t>
      </w:r>
      <w:r w:rsidR="006B3449">
        <w:rPr>
          <w:rFonts w:ascii="Times New Roman" w:hAnsi="Times New Roman" w:cs="Times New Roman"/>
          <w:sz w:val="24"/>
          <w:szCs w:val="24"/>
        </w:rPr>
        <w:t>plant</w:t>
      </w:r>
      <w:r w:rsidRPr="00472A07">
        <w:rPr>
          <w:rFonts w:ascii="Times New Roman" w:hAnsi="Times New Roman" w:cs="Times New Roman"/>
          <w:sz w:val="24"/>
          <w:szCs w:val="24"/>
        </w:rPr>
        <w:t xml:space="preserve"> species may be utilizing different water sources within the mangrove ecosystem, potentially supporting species sorting mechanisms that are not captured by our current physiographic categories</w:t>
      </w:r>
      <w:r w:rsidR="00AF3FA0">
        <w:rPr>
          <w:rFonts w:ascii="Times New Roman" w:hAnsi="Times New Roman" w:cs="Times New Roman"/>
          <w:sz w:val="24"/>
          <w:szCs w:val="24"/>
        </w:rPr>
        <w:t xml:space="preserve"> (Appendix </w:t>
      </w:r>
      <w:r w:rsidR="00C3478C">
        <w:rPr>
          <w:rFonts w:ascii="Times New Roman" w:hAnsi="Times New Roman" w:cs="Times New Roman"/>
          <w:sz w:val="24"/>
          <w:szCs w:val="24"/>
        </w:rPr>
        <w:t>3</w:t>
      </w:r>
      <w:r w:rsidR="00AF3FA0">
        <w:rPr>
          <w:rFonts w:ascii="Times New Roman" w:hAnsi="Times New Roman" w:cs="Times New Roman"/>
          <w:sz w:val="24"/>
          <w:szCs w:val="24"/>
        </w:rPr>
        <w:t>)</w:t>
      </w:r>
      <w:r w:rsidRPr="00472A07">
        <w:rPr>
          <w:rFonts w:ascii="Times New Roman" w:hAnsi="Times New Roman" w:cs="Times New Roman"/>
          <w:sz w:val="24"/>
          <w:szCs w:val="24"/>
        </w:rPr>
        <w:t>.</w:t>
      </w:r>
      <w:r w:rsidR="00EB71DF">
        <w:fldChar w:fldCharType="begin"/>
      </w:r>
      <w:r w:rsidR="00EB71DF">
        <w:instrText xml:space="preserve"> INCLUDEPICTURE "http://127.0.0.1:25213/chunk_output/s/11498941/c7snp6fw5fwz3/000039.png" \* MERGEFORMATINET </w:instrText>
      </w:r>
      <w:r w:rsidR="00EB71DF">
        <w:fldChar w:fldCharType="separate"/>
      </w:r>
      <w:r w:rsidR="00EB71DF">
        <w:fldChar w:fldCharType="end"/>
      </w:r>
    </w:p>
    <w:p w14:paraId="5443229F" w14:textId="647CB6F9" w:rsidR="00472A07" w:rsidRPr="00472A07" w:rsidRDefault="00472A07" w:rsidP="001C58F2">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lastRenderedPageBreak/>
        <w:t>The absence of strong predictive relationships between plant characteristics or site type and bird diversity metrics underscores the complexity of factors influencing avian communities in mangrove ecosystems.</w:t>
      </w:r>
    </w:p>
    <w:p w14:paraId="74198F31" w14:textId="3E209EAB" w:rsidR="00472A07" w:rsidRPr="00B35300" w:rsidRDefault="00472A07" w:rsidP="00472A07">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t>Our study provides valuable baseline data on bird communities in Grenada's mangroves, highlighting the need for further research to untangle the multiple factors influencing community assembly in these important ecosystems.</w:t>
      </w:r>
    </w:p>
    <w:p w14:paraId="7E67529E"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br w:type="page"/>
      </w:r>
    </w:p>
    <w:p w14:paraId="5CD9737A" w14:textId="77777777" w:rsidR="00882293" w:rsidRPr="00B35300" w:rsidRDefault="0031658D" w:rsidP="00DF79AF">
      <w:pPr>
        <w:pStyle w:val="Heading1"/>
      </w:pPr>
      <w:bookmarkStart w:id="7" w:name="_qg3hr3pczq9c" w:colFirst="0" w:colLast="0"/>
      <w:bookmarkEnd w:id="7"/>
      <w:r w:rsidRPr="00B35300">
        <w:lastRenderedPageBreak/>
        <w:t>References</w:t>
      </w:r>
    </w:p>
    <w:p w14:paraId="1D3007BC"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Acosta M, Mugica L, Rodríguez A, Jiménez A. 2011. A General Overview of Waterbird Communities in Cuba. Journal of Caribbean Ornithology 24:10–19.</w:t>
      </w:r>
    </w:p>
    <w:p w14:paraId="56A566CD" w14:textId="77777777" w:rsidR="00882293" w:rsidRPr="00B35300" w:rsidRDefault="0031658D" w:rsidP="00A94A41">
      <w:pPr>
        <w:spacing w:after="200" w:line="480" w:lineRule="auto"/>
        <w:rPr>
          <w:rFonts w:ascii="Times New Roman" w:hAnsi="Times New Roman" w:cs="Times New Roman"/>
          <w:sz w:val="24"/>
          <w:szCs w:val="24"/>
        </w:rPr>
      </w:pPr>
      <w:proofErr w:type="spellStart"/>
      <w:r w:rsidRPr="00B35300">
        <w:rPr>
          <w:rFonts w:ascii="Times New Roman" w:hAnsi="Times New Roman" w:cs="Times New Roman"/>
          <w:sz w:val="24"/>
          <w:szCs w:val="24"/>
        </w:rPr>
        <w:t>Azimah</w:t>
      </w:r>
      <w:proofErr w:type="spellEnd"/>
      <w:r w:rsidRPr="00B35300">
        <w:rPr>
          <w:rFonts w:ascii="Times New Roman" w:hAnsi="Times New Roman" w:cs="Times New Roman"/>
          <w:sz w:val="24"/>
          <w:szCs w:val="24"/>
        </w:rPr>
        <w:t xml:space="preserve"> AR, </w:t>
      </w:r>
      <w:proofErr w:type="spellStart"/>
      <w:r w:rsidRPr="00B35300">
        <w:rPr>
          <w:rFonts w:ascii="Times New Roman" w:hAnsi="Times New Roman" w:cs="Times New Roman"/>
          <w:sz w:val="24"/>
          <w:szCs w:val="24"/>
        </w:rPr>
        <w:t>Tarmiji</w:t>
      </w:r>
      <w:proofErr w:type="spellEnd"/>
      <w:r w:rsidRPr="00B35300">
        <w:rPr>
          <w:rFonts w:ascii="Times New Roman" w:hAnsi="Times New Roman" w:cs="Times New Roman"/>
          <w:sz w:val="24"/>
          <w:szCs w:val="24"/>
        </w:rPr>
        <w:t xml:space="preserve"> M. 2018. Habitat requirements of migratory birds in the </w:t>
      </w:r>
      <w:proofErr w:type="spellStart"/>
      <w:r w:rsidRPr="00B35300">
        <w:rPr>
          <w:rFonts w:ascii="Times New Roman" w:hAnsi="Times New Roman" w:cs="Times New Roman"/>
          <w:sz w:val="24"/>
          <w:szCs w:val="24"/>
        </w:rPr>
        <w:t>Matang</w:t>
      </w:r>
      <w:proofErr w:type="spellEnd"/>
      <w:r w:rsidRPr="00B35300">
        <w:rPr>
          <w:rFonts w:ascii="Times New Roman" w:hAnsi="Times New Roman" w:cs="Times New Roman"/>
          <w:sz w:val="24"/>
          <w:szCs w:val="24"/>
        </w:rPr>
        <w:t xml:space="preserve"> Mangrove Forest Reserve, Perak. Journal of Tropical Forest Science 30:304–311.</w:t>
      </w:r>
    </w:p>
    <w:p w14:paraId="2265A675"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Cintrón-</w:t>
      </w:r>
      <w:proofErr w:type="spellStart"/>
      <w:r w:rsidRPr="00B35300">
        <w:rPr>
          <w:rFonts w:ascii="Times New Roman" w:hAnsi="Times New Roman" w:cs="Times New Roman"/>
          <w:sz w:val="24"/>
          <w:szCs w:val="24"/>
        </w:rPr>
        <w:t>Molero</w:t>
      </w:r>
      <w:proofErr w:type="spellEnd"/>
      <w:r w:rsidRPr="00B35300">
        <w:rPr>
          <w:rFonts w:ascii="Times New Roman" w:hAnsi="Times New Roman" w:cs="Times New Roman"/>
          <w:sz w:val="24"/>
          <w:szCs w:val="24"/>
        </w:rPr>
        <w:t xml:space="preserve"> G, Schaeffer-Novelli Y. 1984. Methods for studying mangrove structure. Pages 91–113 in S. C. </w:t>
      </w:r>
      <w:proofErr w:type="spellStart"/>
      <w:r w:rsidRPr="00B35300">
        <w:rPr>
          <w:rFonts w:ascii="Times New Roman" w:hAnsi="Times New Roman" w:cs="Times New Roman"/>
          <w:sz w:val="24"/>
          <w:szCs w:val="24"/>
        </w:rPr>
        <w:t>Snedaker</w:t>
      </w:r>
      <w:proofErr w:type="spellEnd"/>
      <w:r w:rsidRPr="00B35300">
        <w:rPr>
          <w:rFonts w:ascii="Times New Roman" w:hAnsi="Times New Roman" w:cs="Times New Roman"/>
          <w:sz w:val="24"/>
          <w:szCs w:val="24"/>
        </w:rPr>
        <w:t xml:space="preserve"> and J. G. </w:t>
      </w:r>
      <w:proofErr w:type="spellStart"/>
      <w:r w:rsidRPr="00B35300">
        <w:rPr>
          <w:rFonts w:ascii="Times New Roman" w:hAnsi="Times New Roman" w:cs="Times New Roman"/>
          <w:sz w:val="24"/>
          <w:szCs w:val="24"/>
        </w:rPr>
        <w:t>Snedaker</w:t>
      </w:r>
      <w:proofErr w:type="spellEnd"/>
      <w:r w:rsidRPr="00B35300">
        <w:rPr>
          <w:rFonts w:ascii="Times New Roman" w:hAnsi="Times New Roman" w:cs="Times New Roman"/>
          <w:sz w:val="24"/>
          <w:szCs w:val="24"/>
        </w:rPr>
        <w:t xml:space="preserve">, editors. The Mangrove Ecosystem: research methods. </w:t>
      </w:r>
      <w:proofErr w:type="spellStart"/>
      <w:r w:rsidRPr="00B35300">
        <w:rPr>
          <w:rFonts w:ascii="Times New Roman" w:hAnsi="Times New Roman" w:cs="Times New Roman"/>
          <w:sz w:val="24"/>
          <w:szCs w:val="24"/>
        </w:rPr>
        <w:t>Unesco</w:t>
      </w:r>
      <w:proofErr w:type="spellEnd"/>
      <w:r w:rsidRPr="00B35300">
        <w:rPr>
          <w:rFonts w:ascii="Times New Roman" w:hAnsi="Times New Roman" w:cs="Times New Roman"/>
          <w:sz w:val="24"/>
          <w:szCs w:val="24"/>
        </w:rPr>
        <w:t>, Bungay, United Kingdom.</w:t>
      </w:r>
    </w:p>
    <w:p w14:paraId="30AFA422"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FAO. 2007. The world’s mangroves 1980-2005. FAO Forestry Paper 153:89.</w:t>
      </w:r>
    </w:p>
    <w:p w14:paraId="5D3866B8"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Hogarth PJ. 2015. The Mangrove Community: Terrestrial Components. Pages 80–106 The Biology of Mangroves and Seagrasses, 3rd edition. Oxford University Press.</w:t>
      </w:r>
    </w:p>
    <w:p w14:paraId="57C98DCA" w14:textId="77777777" w:rsidR="00882293" w:rsidRPr="00B35300" w:rsidRDefault="0031658D" w:rsidP="00A94A41">
      <w:pPr>
        <w:spacing w:after="200" w:line="480" w:lineRule="auto"/>
        <w:rPr>
          <w:rFonts w:ascii="Times New Roman" w:hAnsi="Times New Roman" w:cs="Times New Roman"/>
          <w:sz w:val="24"/>
          <w:szCs w:val="24"/>
        </w:rPr>
      </w:pPr>
      <w:proofErr w:type="spellStart"/>
      <w:r w:rsidRPr="00B35300">
        <w:rPr>
          <w:rFonts w:ascii="Times New Roman" w:hAnsi="Times New Roman" w:cs="Times New Roman"/>
          <w:sz w:val="24"/>
          <w:szCs w:val="24"/>
        </w:rPr>
        <w:t>Ewel</w:t>
      </w:r>
      <w:proofErr w:type="spellEnd"/>
      <w:r w:rsidRPr="00B35300">
        <w:rPr>
          <w:rFonts w:ascii="Times New Roman" w:hAnsi="Times New Roman" w:cs="Times New Roman"/>
          <w:sz w:val="24"/>
          <w:szCs w:val="24"/>
        </w:rPr>
        <w:t>, K., Twilley, R., &amp; Ong, J. I. N. (1998). Different kinds of mangrove forests provide different goods and services. Global Ecology &amp; Biogeography Letters, 7(1), 83-94.</w:t>
      </w:r>
    </w:p>
    <w:p w14:paraId="6A515C44" w14:textId="77777777" w:rsidR="00882293" w:rsidRPr="00B35300" w:rsidRDefault="0031658D" w:rsidP="00A94A41">
      <w:pPr>
        <w:spacing w:after="200" w:line="480" w:lineRule="auto"/>
        <w:rPr>
          <w:rFonts w:ascii="Times New Roman" w:hAnsi="Times New Roman" w:cs="Times New Roman"/>
          <w:sz w:val="24"/>
          <w:szCs w:val="24"/>
        </w:rPr>
      </w:pPr>
      <w:proofErr w:type="spellStart"/>
      <w:r w:rsidRPr="00B35300">
        <w:rPr>
          <w:rFonts w:ascii="Times New Roman" w:hAnsi="Times New Roman" w:cs="Times New Roman"/>
          <w:sz w:val="24"/>
          <w:szCs w:val="24"/>
        </w:rPr>
        <w:t>Jennerjahn</w:t>
      </w:r>
      <w:proofErr w:type="spellEnd"/>
      <w:r w:rsidRPr="00B35300">
        <w:rPr>
          <w:rFonts w:ascii="Times New Roman" w:hAnsi="Times New Roman" w:cs="Times New Roman"/>
          <w:sz w:val="24"/>
          <w:szCs w:val="24"/>
        </w:rPr>
        <w:t xml:space="preserve"> TC, Gilman E, Krauss KW, </w:t>
      </w:r>
      <w:proofErr w:type="spellStart"/>
      <w:r w:rsidRPr="00B35300">
        <w:rPr>
          <w:rFonts w:ascii="Times New Roman" w:hAnsi="Times New Roman" w:cs="Times New Roman"/>
          <w:sz w:val="24"/>
          <w:szCs w:val="24"/>
        </w:rPr>
        <w:t>Lacerda</w:t>
      </w:r>
      <w:proofErr w:type="spellEnd"/>
      <w:r w:rsidRPr="00B35300">
        <w:rPr>
          <w:rFonts w:ascii="Times New Roman" w:hAnsi="Times New Roman" w:cs="Times New Roman"/>
          <w:sz w:val="24"/>
          <w:szCs w:val="24"/>
        </w:rPr>
        <w:t xml:space="preserve"> LD, Nordhaus I, </w:t>
      </w:r>
      <w:proofErr w:type="spellStart"/>
      <w:r w:rsidRPr="00B35300">
        <w:rPr>
          <w:rFonts w:ascii="Times New Roman" w:hAnsi="Times New Roman" w:cs="Times New Roman"/>
          <w:sz w:val="24"/>
          <w:szCs w:val="24"/>
        </w:rPr>
        <w:t>Wolanski</w:t>
      </w:r>
      <w:proofErr w:type="spellEnd"/>
      <w:r w:rsidRPr="00B35300">
        <w:rPr>
          <w:rFonts w:ascii="Times New Roman" w:hAnsi="Times New Roman" w:cs="Times New Roman"/>
          <w:sz w:val="24"/>
          <w:szCs w:val="24"/>
        </w:rPr>
        <w:t xml:space="preserve"> E. 2017. Mangrove ecosystems under climate change. Page Mangrove Ecosystems: A Global Biogeographic Perspective: Structure, Function, and Services.</w:t>
      </w:r>
    </w:p>
    <w:p w14:paraId="0F4C85DF" w14:textId="77777777" w:rsidR="00ED2563" w:rsidRPr="00ED2563" w:rsidRDefault="00ED2563" w:rsidP="00ED2563">
      <w:pPr>
        <w:spacing w:after="200" w:line="480" w:lineRule="auto"/>
        <w:rPr>
          <w:rFonts w:ascii="Times New Roman" w:hAnsi="Times New Roman" w:cs="Times New Roman"/>
          <w:sz w:val="24"/>
          <w:szCs w:val="24"/>
          <w:lang w:val="en-US"/>
        </w:rPr>
      </w:pPr>
      <w:proofErr w:type="spellStart"/>
      <w:r w:rsidRPr="00ED2563">
        <w:rPr>
          <w:rFonts w:ascii="Times New Roman" w:hAnsi="Times New Roman" w:cs="Times New Roman"/>
          <w:sz w:val="24"/>
          <w:szCs w:val="24"/>
          <w:lang w:val="en-US"/>
        </w:rPr>
        <w:t>Laliberté</w:t>
      </w:r>
      <w:proofErr w:type="spellEnd"/>
      <w:r w:rsidRPr="00ED2563">
        <w:rPr>
          <w:rFonts w:ascii="Times New Roman" w:hAnsi="Times New Roman" w:cs="Times New Roman"/>
          <w:sz w:val="24"/>
          <w:szCs w:val="24"/>
          <w:lang w:val="en-US"/>
        </w:rPr>
        <w:t>, E., Legendre, P., &amp; Shipley, B. (2014). FD: measuring functional diversity from multiple traits, and other tools for functional ecology. R package version 1.0-12.</w:t>
      </w:r>
    </w:p>
    <w:p w14:paraId="4E4D8D65"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lastRenderedPageBreak/>
        <w:t xml:space="preserve">Lewis RR. 2009. Methods and Criteria for Successful Mangrove Forest Restoration. Pages 787–800 COASTAL WETLANDS: An Integrated Ecosystem </w:t>
      </w:r>
      <w:proofErr w:type="spellStart"/>
      <w:r w:rsidRPr="00B35300">
        <w:rPr>
          <w:rFonts w:ascii="Times New Roman" w:hAnsi="Times New Roman" w:cs="Times New Roman"/>
          <w:sz w:val="24"/>
          <w:szCs w:val="24"/>
        </w:rPr>
        <w:t>ApproachFirst</w:t>
      </w:r>
      <w:proofErr w:type="spellEnd"/>
      <w:r w:rsidRPr="00B35300">
        <w:rPr>
          <w:rFonts w:ascii="Times New Roman" w:hAnsi="Times New Roman" w:cs="Times New Roman"/>
          <w:sz w:val="24"/>
          <w:szCs w:val="24"/>
        </w:rPr>
        <w:t xml:space="preserve"> edit. Elsevier. Available from http://dx.doi.org/10.1016/B978-0-444-53103-2.00028-4.</w:t>
      </w:r>
    </w:p>
    <w:p w14:paraId="10363CBA"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 xml:space="preserve">McNair DB. 2008. Bird Abundance and Species Richness in Mangrove Forest </w:t>
      </w:r>
      <w:proofErr w:type="gramStart"/>
      <w:r w:rsidRPr="00B35300">
        <w:rPr>
          <w:rFonts w:ascii="Times New Roman" w:hAnsi="Times New Roman" w:cs="Times New Roman"/>
          <w:sz w:val="24"/>
          <w:szCs w:val="24"/>
        </w:rPr>
        <w:t>At</w:t>
      </w:r>
      <w:proofErr w:type="gramEnd"/>
      <w:r w:rsidRPr="00B35300">
        <w:rPr>
          <w:rFonts w:ascii="Times New Roman" w:hAnsi="Times New Roman" w:cs="Times New Roman"/>
          <w:sz w:val="24"/>
          <w:szCs w:val="24"/>
        </w:rPr>
        <w:t xml:space="preserve"> Sugar Bay, St. Croix, Us Virgin Islands: Long-Term Comparison Before and After Hurricane Hugo. Journal of Caribbean Ornithology 21:17.</w:t>
      </w:r>
    </w:p>
    <w:p w14:paraId="0BC467AB" w14:textId="77777777" w:rsidR="00882293" w:rsidRPr="00B35300" w:rsidRDefault="0031658D" w:rsidP="00A94A41">
      <w:pPr>
        <w:spacing w:after="200" w:line="480" w:lineRule="auto"/>
        <w:rPr>
          <w:rFonts w:ascii="Times New Roman" w:hAnsi="Times New Roman" w:cs="Times New Roman"/>
          <w:sz w:val="24"/>
          <w:szCs w:val="24"/>
        </w:rPr>
      </w:pPr>
      <w:proofErr w:type="spellStart"/>
      <w:r w:rsidRPr="00B35300">
        <w:rPr>
          <w:rFonts w:ascii="Times New Roman" w:hAnsi="Times New Roman" w:cs="Times New Roman"/>
          <w:sz w:val="24"/>
          <w:szCs w:val="24"/>
        </w:rPr>
        <w:t>Merken</w:t>
      </w:r>
      <w:proofErr w:type="spellEnd"/>
      <w:r w:rsidRPr="00B35300">
        <w:rPr>
          <w:rFonts w:ascii="Times New Roman" w:hAnsi="Times New Roman" w:cs="Times New Roman"/>
          <w:sz w:val="24"/>
          <w:szCs w:val="24"/>
        </w:rPr>
        <w:t xml:space="preserve"> R, </w:t>
      </w:r>
      <w:proofErr w:type="spellStart"/>
      <w:r w:rsidRPr="00B35300">
        <w:rPr>
          <w:rFonts w:ascii="Times New Roman" w:hAnsi="Times New Roman" w:cs="Times New Roman"/>
          <w:sz w:val="24"/>
          <w:szCs w:val="24"/>
        </w:rPr>
        <w:t>Deboelpaep</w:t>
      </w:r>
      <w:proofErr w:type="spellEnd"/>
      <w:r w:rsidRPr="00B35300">
        <w:rPr>
          <w:rFonts w:ascii="Times New Roman" w:hAnsi="Times New Roman" w:cs="Times New Roman"/>
          <w:sz w:val="24"/>
          <w:szCs w:val="24"/>
        </w:rPr>
        <w:t xml:space="preserve"> E, </w:t>
      </w:r>
      <w:proofErr w:type="spellStart"/>
      <w:r w:rsidRPr="00B35300">
        <w:rPr>
          <w:rFonts w:ascii="Times New Roman" w:hAnsi="Times New Roman" w:cs="Times New Roman"/>
          <w:sz w:val="24"/>
          <w:szCs w:val="24"/>
        </w:rPr>
        <w:t>Teunen</w:t>
      </w:r>
      <w:proofErr w:type="spellEnd"/>
      <w:r w:rsidRPr="00B35300">
        <w:rPr>
          <w:rFonts w:ascii="Times New Roman" w:hAnsi="Times New Roman" w:cs="Times New Roman"/>
          <w:sz w:val="24"/>
          <w:szCs w:val="24"/>
        </w:rPr>
        <w:t xml:space="preserve"> J, </w:t>
      </w:r>
      <w:proofErr w:type="spellStart"/>
      <w:r w:rsidRPr="00B35300">
        <w:rPr>
          <w:rFonts w:ascii="Times New Roman" w:hAnsi="Times New Roman" w:cs="Times New Roman"/>
          <w:sz w:val="24"/>
          <w:szCs w:val="24"/>
        </w:rPr>
        <w:t>Saura</w:t>
      </w:r>
      <w:proofErr w:type="spellEnd"/>
      <w:r w:rsidRPr="00B35300">
        <w:rPr>
          <w:rFonts w:ascii="Times New Roman" w:hAnsi="Times New Roman" w:cs="Times New Roman"/>
          <w:sz w:val="24"/>
          <w:szCs w:val="24"/>
        </w:rPr>
        <w:t xml:space="preserve"> S, </w:t>
      </w:r>
      <w:proofErr w:type="spellStart"/>
      <w:r w:rsidRPr="00B35300">
        <w:rPr>
          <w:rFonts w:ascii="Times New Roman" w:hAnsi="Times New Roman" w:cs="Times New Roman"/>
          <w:sz w:val="24"/>
          <w:szCs w:val="24"/>
        </w:rPr>
        <w:t>Koedam</w:t>
      </w:r>
      <w:proofErr w:type="spellEnd"/>
      <w:r w:rsidRPr="00B35300">
        <w:rPr>
          <w:rFonts w:ascii="Times New Roman" w:hAnsi="Times New Roman" w:cs="Times New Roman"/>
          <w:sz w:val="24"/>
          <w:szCs w:val="24"/>
        </w:rPr>
        <w:t xml:space="preserve"> N. 2015. Wetland suitability and connectivity for trans-</w:t>
      </w:r>
      <w:proofErr w:type="spellStart"/>
      <w:r w:rsidRPr="00B35300">
        <w:rPr>
          <w:rFonts w:ascii="Times New Roman" w:hAnsi="Times New Roman" w:cs="Times New Roman"/>
          <w:sz w:val="24"/>
          <w:szCs w:val="24"/>
        </w:rPr>
        <w:t>saharan</w:t>
      </w:r>
      <w:proofErr w:type="spellEnd"/>
      <w:r w:rsidRPr="00B35300">
        <w:rPr>
          <w:rFonts w:ascii="Times New Roman" w:hAnsi="Times New Roman" w:cs="Times New Roman"/>
          <w:sz w:val="24"/>
          <w:szCs w:val="24"/>
        </w:rPr>
        <w:t xml:space="preserve"> migratory waterbirds. </w:t>
      </w:r>
      <w:proofErr w:type="spellStart"/>
      <w:r w:rsidRPr="00B35300">
        <w:rPr>
          <w:rFonts w:ascii="Times New Roman" w:hAnsi="Times New Roman" w:cs="Times New Roman"/>
          <w:sz w:val="24"/>
          <w:szCs w:val="24"/>
        </w:rPr>
        <w:t>PLoS</w:t>
      </w:r>
      <w:proofErr w:type="spellEnd"/>
      <w:r w:rsidRPr="00B35300">
        <w:rPr>
          <w:rFonts w:ascii="Times New Roman" w:hAnsi="Times New Roman" w:cs="Times New Roman"/>
          <w:sz w:val="24"/>
          <w:szCs w:val="24"/>
        </w:rPr>
        <w:t xml:space="preserve"> ONE 10:1–20.</w:t>
      </w:r>
    </w:p>
    <w:p w14:paraId="08C9B22A"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 xml:space="preserve">Moore GE, Gilmer BF, </w:t>
      </w:r>
      <w:proofErr w:type="spellStart"/>
      <w:r w:rsidRPr="00B35300">
        <w:rPr>
          <w:rFonts w:ascii="Times New Roman" w:hAnsi="Times New Roman" w:cs="Times New Roman"/>
          <w:sz w:val="24"/>
          <w:szCs w:val="24"/>
        </w:rPr>
        <w:t>Schill</w:t>
      </w:r>
      <w:proofErr w:type="spellEnd"/>
      <w:r w:rsidRPr="00B35300">
        <w:rPr>
          <w:rFonts w:ascii="Times New Roman" w:hAnsi="Times New Roman" w:cs="Times New Roman"/>
          <w:sz w:val="24"/>
          <w:szCs w:val="24"/>
        </w:rPr>
        <w:t xml:space="preserve"> SR. 2015. Distribution of Mangrove Habitats of Grenada and the Grenadines. Journal of Coastal Research 31:155.</w:t>
      </w:r>
    </w:p>
    <w:p w14:paraId="7F0921DA" w14:textId="77777777" w:rsidR="00ED2563" w:rsidRPr="00ED2563" w:rsidRDefault="00ED2563" w:rsidP="00ED2563">
      <w:pPr>
        <w:spacing w:after="200" w:line="480" w:lineRule="auto"/>
        <w:rPr>
          <w:rFonts w:ascii="Times New Roman" w:hAnsi="Times New Roman" w:cs="Times New Roman"/>
          <w:sz w:val="24"/>
          <w:szCs w:val="24"/>
          <w:lang w:val="en-US"/>
        </w:rPr>
      </w:pPr>
      <w:r w:rsidRPr="00ED2563">
        <w:rPr>
          <w:rFonts w:ascii="Times New Roman" w:hAnsi="Times New Roman" w:cs="Times New Roman"/>
          <w:sz w:val="24"/>
          <w:szCs w:val="24"/>
          <w:lang w:val="en-US"/>
        </w:rPr>
        <w:t xml:space="preserve">Oksanen, J., Simpson, G. L., Blanchet, F. G., Kindt, R., Legendre, P., Minchin, P. R., ... &amp; Wagner, H. (2023). vegan: Community Ecology Package. R package version 2.6-4. </w:t>
      </w:r>
      <w:hyperlink r:id="rId7" w:history="1">
        <w:r w:rsidRPr="00ED2563">
          <w:rPr>
            <w:rStyle w:val="Hyperlink"/>
            <w:rFonts w:ascii="Times New Roman" w:hAnsi="Times New Roman"/>
            <w:sz w:val="24"/>
            <w:szCs w:val="24"/>
            <w:lang w:val="en-US"/>
          </w:rPr>
          <w:t>https://CRAN.R-project.org/package=vegan</w:t>
        </w:r>
      </w:hyperlink>
    </w:p>
    <w:p w14:paraId="240CD15B"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 xml:space="preserve">Reis, C. R. G., </w:t>
      </w:r>
      <w:proofErr w:type="spellStart"/>
      <w:r w:rsidRPr="00B35300">
        <w:rPr>
          <w:rFonts w:ascii="Times New Roman" w:hAnsi="Times New Roman" w:cs="Times New Roman"/>
          <w:sz w:val="24"/>
          <w:szCs w:val="24"/>
        </w:rPr>
        <w:t>Nardoto</w:t>
      </w:r>
      <w:proofErr w:type="spellEnd"/>
      <w:r w:rsidRPr="00B35300">
        <w:rPr>
          <w:rFonts w:ascii="Times New Roman" w:hAnsi="Times New Roman" w:cs="Times New Roman"/>
          <w:sz w:val="24"/>
          <w:szCs w:val="24"/>
        </w:rPr>
        <w:t xml:space="preserve">, G. B., Rochelle, A. L. C., Vieira, S. A., &amp; Oliveira, R. S. (2017). Nitrogen dynamics in subtropical fringe and basin mangrove forests inferred from stable isotopes. </w:t>
      </w:r>
      <w:proofErr w:type="spellStart"/>
      <w:r w:rsidRPr="00B35300">
        <w:rPr>
          <w:rFonts w:ascii="Times New Roman" w:hAnsi="Times New Roman" w:cs="Times New Roman"/>
          <w:sz w:val="24"/>
          <w:szCs w:val="24"/>
        </w:rPr>
        <w:t>Oecologia</w:t>
      </w:r>
      <w:proofErr w:type="spellEnd"/>
      <w:r w:rsidRPr="00B35300">
        <w:rPr>
          <w:rFonts w:ascii="Times New Roman" w:hAnsi="Times New Roman" w:cs="Times New Roman"/>
          <w:sz w:val="24"/>
          <w:szCs w:val="24"/>
        </w:rPr>
        <w:t>, 183, 841-848.</w:t>
      </w:r>
    </w:p>
    <w:p w14:paraId="78DCD9DD" w14:textId="1D4F3404" w:rsidR="00ED2563"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 xml:space="preserve">Rivera-Monroy VH, Day JH, Twilley RR, Vera-Herrera F, </w:t>
      </w:r>
      <w:proofErr w:type="spellStart"/>
      <w:r w:rsidRPr="00B35300">
        <w:rPr>
          <w:rFonts w:ascii="Times New Roman" w:hAnsi="Times New Roman" w:cs="Times New Roman"/>
          <w:sz w:val="24"/>
          <w:szCs w:val="24"/>
        </w:rPr>
        <w:t>CoronadoMolina</w:t>
      </w:r>
      <w:proofErr w:type="spellEnd"/>
      <w:r w:rsidRPr="00B35300">
        <w:rPr>
          <w:rFonts w:ascii="Times New Roman" w:hAnsi="Times New Roman" w:cs="Times New Roman"/>
          <w:sz w:val="24"/>
          <w:szCs w:val="24"/>
        </w:rPr>
        <w:t xml:space="preserve"> C (1995) Flux of nitrogen and sediment in a fringe mangrove forest in </w:t>
      </w:r>
      <w:proofErr w:type="spellStart"/>
      <w:r w:rsidRPr="00B35300">
        <w:rPr>
          <w:rFonts w:ascii="Times New Roman" w:hAnsi="Times New Roman" w:cs="Times New Roman"/>
          <w:sz w:val="24"/>
          <w:szCs w:val="24"/>
        </w:rPr>
        <w:t>Terminos</w:t>
      </w:r>
      <w:proofErr w:type="spellEnd"/>
      <w:r w:rsidRPr="00B35300">
        <w:rPr>
          <w:rFonts w:ascii="Times New Roman" w:hAnsi="Times New Roman" w:cs="Times New Roman"/>
          <w:sz w:val="24"/>
          <w:szCs w:val="24"/>
        </w:rPr>
        <w:t xml:space="preserve"> Lagoon. Mex </w:t>
      </w:r>
      <w:proofErr w:type="spellStart"/>
      <w:r w:rsidRPr="00B35300">
        <w:rPr>
          <w:rFonts w:ascii="Times New Roman" w:hAnsi="Times New Roman" w:cs="Times New Roman"/>
          <w:sz w:val="24"/>
          <w:szCs w:val="24"/>
        </w:rPr>
        <w:t>Estuar</w:t>
      </w:r>
      <w:proofErr w:type="spellEnd"/>
      <w:r w:rsidRPr="00B35300">
        <w:rPr>
          <w:rFonts w:ascii="Times New Roman" w:hAnsi="Times New Roman" w:cs="Times New Roman"/>
          <w:sz w:val="24"/>
          <w:szCs w:val="24"/>
        </w:rPr>
        <w:t xml:space="preserve"> Coast Shelf Sci 40:139–160. doi:10.1016/S0272-7714(05)80002-2</w:t>
      </w:r>
    </w:p>
    <w:p w14:paraId="33712F1B" w14:textId="77777777" w:rsidR="00ED2563" w:rsidRDefault="00ED2563" w:rsidP="00ED2563">
      <w:pPr>
        <w:spacing w:after="200" w:line="480" w:lineRule="auto"/>
        <w:rPr>
          <w:rFonts w:ascii="Times New Roman" w:hAnsi="Times New Roman" w:cs="Times New Roman"/>
          <w:sz w:val="24"/>
          <w:szCs w:val="24"/>
          <w:lang w:val="en-US"/>
        </w:rPr>
      </w:pPr>
      <w:r w:rsidRPr="00ED2563">
        <w:rPr>
          <w:rFonts w:ascii="Times New Roman" w:hAnsi="Times New Roman" w:cs="Times New Roman"/>
          <w:sz w:val="24"/>
          <w:szCs w:val="24"/>
          <w:lang w:val="en-US"/>
        </w:rPr>
        <w:t xml:space="preserve">R Core Team (2022). R: A language and environment for statistical computing. R Foundation for Statistical Computing, Vienna, Austria. URL </w:t>
      </w:r>
      <w:hyperlink r:id="rId8" w:history="1">
        <w:r w:rsidRPr="00ED2563">
          <w:rPr>
            <w:rStyle w:val="Hyperlink"/>
            <w:rFonts w:ascii="Times New Roman" w:hAnsi="Times New Roman"/>
            <w:sz w:val="24"/>
            <w:szCs w:val="24"/>
            <w:lang w:val="en-US"/>
          </w:rPr>
          <w:t>https://www.R-project.org/</w:t>
        </w:r>
      </w:hyperlink>
      <w:r w:rsidRPr="00ED2563">
        <w:rPr>
          <w:rFonts w:ascii="Times New Roman" w:hAnsi="Times New Roman" w:cs="Times New Roman"/>
          <w:sz w:val="24"/>
          <w:szCs w:val="24"/>
          <w:lang w:val="en-US"/>
        </w:rPr>
        <w:t>.</w:t>
      </w:r>
    </w:p>
    <w:p w14:paraId="74F9F601" w14:textId="77777777" w:rsidR="00ED2563" w:rsidRPr="00B35300" w:rsidRDefault="00ED2563" w:rsidP="00ED2563">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lastRenderedPageBreak/>
        <w:t>Weller MW. 1999. Major groups of birds that use wetlands. Pages 23–48 Wetland Birds: habitat resources and conservation implications. Cambridge University Press, Cambridge.</w:t>
      </w:r>
    </w:p>
    <w:p w14:paraId="345F871D" w14:textId="77777777" w:rsidR="00ED2563" w:rsidRPr="00B35300" w:rsidRDefault="00ED2563" w:rsidP="00ED2563">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World Bank. 2019. Mangroves Monitoring and Evaluation Manual for Jamaica (2019).</w:t>
      </w:r>
    </w:p>
    <w:p w14:paraId="1875A9A6" w14:textId="77777777" w:rsidR="00ED2563" w:rsidRPr="00ED2563" w:rsidRDefault="00ED2563" w:rsidP="00ED2563">
      <w:pPr>
        <w:spacing w:after="200" w:line="480" w:lineRule="auto"/>
        <w:rPr>
          <w:rFonts w:ascii="Times New Roman" w:hAnsi="Times New Roman" w:cs="Times New Roman"/>
          <w:sz w:val="24"/>
          <w:szCs w:val="24"/>
          <w:lang w:val="en-US"/>
        </w:rPr>
      </w:pPr>
    </w:p>
    <w:p w14:paraId="1AC8622F" w14:textId="2BA52082" w:rsidR="00882293" w:rsidRPr="007B6078" w:rsidRDefault="0031658D" w:rsidP="00A94A41">
      <w:pPr>
        <w:spacing w:after="200" w:line="480" w:lineRule="auto"/>
        <w:rPr>
          <w:rFonts w:ascii="Times New Roman" w:hAnsi="Times New Roman" w:cs="Times New Roman"/>
          <w:color w:val="222222"/>
          <w:sz w:val="24"/>
          <w:szCs w:val="24"/>
          <w:highlight w:val="white"/>
        </w:rPr>
      </w:pPr>
      <w:r w:rsidRPr="00B35300">
        <w:rPr>
          <w:rFonts w:ascii="Times New Roman" w:hAnsi="Times New Roman" w:cs="Times New Roman"/>
          <w:sz w:val="24"/>
          <w:szCs w:val="24"/>
        </w:rPr>
        <w:br w:type="page"/>
      </w:r>
    </w:p>
    <w:p w14:paraId="68C2609F" w14:textId="77777777" w:rsidR="00CB7D20" w:rsidRDefault="001E2127" w:rsidP="00265B3B">
      <w:pPr>
        <w:spacing w:line="480" w:lineRule="auto"/>
        <w:rPr>
          <w:rFonts w:ascii="Times New Roman" w:hAnsi="Times New Roman" w:cs="Times New Roman"/>
          <w:color w:val="222222"/>
          <w:sz w:val="24"/>
          <w:szCs w:val="24"/>
          <w:highlight w:val="white"/>
        </w:rPr>
      </w:pPr>
      <w:r w:rsidRPr="00CB7D20">
        <w:rPr>
          <w:rFonts w:ascii="Times New Roman" w:hAnsi="Times New Roman" w:cs="Times New Roman"/>
          <w:b/>
          <w:bCs/>
          <w:color w:val="222222"/>
          <w:sz w:val="24"/>
          <w:szCs w:val="24"/>
          <w:highlight w:val="white"/>
        </w:rPr>
        <w:lastRenderedPageBreak/>
        <w:t>Figure 1</w:t>
      </w:r>
      <w:r>
        <w:rPr>
          <w:rFonts w:ascii="Times New Roman" w:hAnsi="Times New Roman" w:cs="Times New Roman"/>
          <w:color w:val="222222"/>
          <w:sz w:val="24"/>
          <w:szCs w:val="24"/>
          <w:highlight w:val="white"/>
        </w:rPr>
        <w:t xml:space="preserve">:  </w:t>
      </w:r>
      <w:r w:rsidR="00463403">
        <w:rPr>
          <w:rFonts w:ascii="Times New Roman" w:hAnsi="Times New Roman" w:cs="Times New Roman"/>
          <w:color w:val="222222"/>
          <w:sz w:val="24"/>
          <w:szCs w:val="24"/>
          <w:highlight w:val="white"/>
        </w:rPr>
        <w:t xml:space="preserve"> Mangrove site locations in the island of </w:t>
      </w:r>
      <w:r w:rsidR="00CB7D20">
        <w:rPr>
          <w:rFonts w:ascii="Times New Roman" w:hAnsi="Times New Roman" w:cs="Times New Roman"/>
          <w:color w:val="222222"/>
          <w:sz w:val="24"/>
          <w:szCs w:val="24"/>
          <w:highlight w:val="white"/>
        </w:rPr>
        <w:t>Grenada</w:t>
      </w:r>
      <w:r w:rsidR="00463403">
        <w:rPr>
          <w:rFonts w:ascii="Times New Roman" w:hAnsi="Times New Roman" w:cs="Times New Roman"/>
          <w:color w:val="222222"/>
          <w:sz w:val="24"/>
          <w:szCs w:val="24"/>
          <w:highlight w:val="white"/>
        </w:rPr>
        <w:t xml:space="preserve">, grouped as either fringe (Mt Hartman and </w:t>
      </w:r>
      <w:proofErr w:type="spellStart"/>
      <w:r w:rsidR="00463403">
        <w:rPr>
          <w:rFonts w:ascii="Times New Roman" w:hAnsi="Times New Roman" w:cs="Times New Roman"/>
          <w:color w:val="222222"/>
          <w:sz w:val="24"/>
          <w:szCs w:val="24"/>
          <w:highlight w:val="white"/>
        </w:rPr>
        <w:t>Westerhall</w:t>
      </w:r>
      <w:proofErr w:type="spellEnd"/>
      <w:r w:rsidR="00463403">
        <w:rPr>
          <w:rFonts w:ascii="Times New Roman" w:hAnsi="Times New Roman" w:cs="Times New Roman"/>
          <w:color w:val="222222"/>
          <w:sz w:val="24"/>
          <w:szCs w:val="24"/>
          <w:highlight w:val="white"/>
        </w:rPr>
        <w:t>) or Basin (</w:t>
      </w:r>
      <w:r w:rsidR="00CB7D20">
        <w:rPr>
          <w:rFonts w:ascii="Times New Roman" w:hAnsi="Times New Roman" w:cs="Times New Roman"/>
          <w:color w:val="222222"/>
          <w:sz w:val="24"/>
          <w:szCs w:val="24"/>
          <w:highlight w:val="white"/>
        </w:rPr>
        <w:t xml:space="preserve">Conference and Levera). </w:t>
      </w:r>
    </w:p>
    <w:p w14:paraId="15569550" w14:textId="075F21A6" w:rsidR="00C3478C" w:rsidRDefault="00CB7D20" w:rsidP="00265B3B">
      <w:pPr>
        <w:spacing w:line="480" w:lineRule="auto"/>
        <w:rPr>
          <w:rFonts w:ascii="Times New Roman" w:hAnsi="Times New Roman" w:cs="Times New Roman"/>
          <w:color w:val="222222"/>
          <w:sz w:val="24"/>
          <w:szCs w:val="24"/>
          <w:highlight w:val="white"/>
        </w:rPr>
      </w:pPr>
      <w:r w:rsidRPr="00265B3B">
        <w:rPr>
          <w:rFonts w:ascii="Times New Roman" w:hAnsi="Times New Roman" w:cs="Times New Roman"/>
          <w:b/>
          <w:bCs/>
          <w:color w:val="222222"/>
          <w:sz w:val="24"/>
          <w:szCs w:val="24"/>
          <w:highlight w:val="white"/>
        </w:rPr>
        <w:t>Figure 2</w:t>
      </w:r>
      <w:r>
        <w:rPr>
          <w:rFonts w:ascii="Times New Roman" w:hAnsi="Times New Roman" w:cs="Times New Roman"/>
          <w:color w:val="222222"/>
          <w:sz w:val="24"/>
          <w:szCs w:val="24"/>
          <w:highlight w:val="white"/>
        </w:rPr>
        <w:t xml:space="preserve">: </w:t>
      </w:r>
      <w:r w:rsidR="009173CA">
        <w:rPr>
          <w:rFonts w:ascii="Times New Roman" w:hAnsi="Times New Roman" w:cs="Times New Roman"/>
          <w:color w:val="222222"/>
          <w:sz w:val="24"/>
          <w:szCs w:val="24"/>
          <w:highlight w:val="white"/>
        </w:rPr>
        <w:t xml:space="preserve">Mantel and </w:t>
      </w:r>
      <w:proofErr w:type="spellStart"/>
      <w:r w:rsidR="00265B3B">
        <w:rPr>
          <w:rFonts w:ascii="Times New Roman" w:hAnsi="Times New Roman" w:cs="Times New Roman"/>
          <w:color w:val="222222"/>
          <w:sz w:val="24"/>
          <w:szCs w:val="24"/>
          <w:highlight w:val="white"/>
        </w:rPr>
        <w:t>Procustes</w:t>
      </w:r>
      <w:proofErr w:type="spellEnd"/>
      <w:r w:rsidR="009173CA">
        <w:rPr>
          <w:rFonts w:ascii="Times New Roman" w:hAnsi="Times New Roman" w:cs="Times New Roman"/>
          <w:color w:val="222222"/>
          <w:sz w:val="24"/>
          <w:szCs w:val="24"/>
          <w:highlight w:val="white"/>
        </w:rPr>
        <w:t xml:space="preserve"> </w:t>
      </w:r>
      <w:r w:rsidR="00265B3B">
        <w:rPr>
          <w:rFonts w:ascii="Times New Roman" w:hAnsi="Times New Roman" w:cs="Times New Roman"/>
          <w:color w:val="222222"/>
          <w:sz w:val="24"/>
          <w:szCs w:val="24"/>
          <w:highlight w:val="white"/>
        </w:rPr>
        <w:t>Analyses</w:t>
      </w:r>
      <w:r w:rsidR="009173CA">
        <w:rPr>
          <w:rFonts w:ascii="Times New Roman" w:hAnsi="Times New Roman" w:cs="Times New Roman"/>
          <w:color w:val="222222"/>
          <w:sz w:val="24"/>
          <w:szCs w:val="24"/>
          <w:highlight w:val="white"/>
        </w:rPr>
        <w:t xml:space="preserve"> </w:t>
      </w:r>
      <w:r w:rsidR="00265B3B">
        <w:rPr>
          <w:rFonts w:ascii="Times New Roman" w:hAnsi="Times New Roman" w:cs="Times New Roman"/>
          <w:color w:val="222222"/>
          <w:sz w:val="24"/>
          <w:szCs w:val="24"/>
          <w:highlight w:val="white"/>
        </w:rPr>
        <w:t>results</w:t>
      </w:r>
      <w:r w:rsidR="009173CA">
        <w:rPr>
          <w:rFonts w:ascii="Times New Roman" w:hAnsi="Times New Roman" w:cs="Times New Roman"/>
          <w:color w:val="222222"/>
          <w:sz w:val="24"/>
          <w:szCs w:val="24"/>
          <w:highlight w:val="white"/>
        </w:rPr>
        <w:t xml:space="preserve">, showing the </w:t>
      </w:r>
      <w:r w:rsidR="00265B3B">
        <w:rPr>
          <w:rFonts w:ascii="Times New Roman" w:hAnsi="Times New Roman" w:cs="Times New Roman"/>
          <w:color w:val="222222"/>
          <w:sz w:val="24"/>
          <w:szCs w:val="24"/>
          <w:highlight w:val="white"/>
        </w:rPr>
        <w:t xml:space="preserve">strength of the relationship between birds and plants using basal area, canopy width and tree height as a proxy for plant community composition for red (), black () and white mangroves (). </w:t>
      </w:r>
      <w:r w:rsidR="00C3478C">
        <w:rPr>
          <w:rFonts w:ascii="Times New Roman" w:hAnsi="Times New Roman" w:cs="Times New Roman"/>
          <w:color w:val="222222"/>
          <w:sz w:val="24"/>
          <w:szCs w:val="24"/>
          <w:highlight w:val="white"/>
        </w:rPr>
        <w:br w:type="page"/>
      </w:r>
      <w:r w:rsidR="00C3478C" w:rsidRPr="00B35300">
        <w:rPr>
          <w:rFonts w:ascii="Times New Roman" w:hAnsi="Times New Roman" w:cs="Times New Roman"/>
          <w:noProof/>
          <w:sz w:val="24"/>
          <w:szCs w:val="24"/>
        </w:rPr>
        <w:lastRenderedPageBreak/>
        <w:drawing>
          <wp:inline distT="114300" distB="114300" distL="114300" distR="114300" wp14:anchorId="5AC67880" wp14:editId="79111A93">
            <wp:extent cx="5943600" cy="7416136"/>
            <wp:effectExtent l="0" t="0" r="0" b="127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l="4487" t="12747" r="4967"/>
                    <a:stretch>
                      <a:fillRect/>
                    </a:stretch>
                  </pic:blipFill>
                  <pic:spPr>
                    <a:xfrm>
                      <a:off x="0" y="0"/>
                      <a:ext cx="5943600" cy="7416136"/>
                    </a:xfrm>
                    <a:prstGeom prst="rect">
                      <a:avLst/>
                    </a:prstGeom>
                    <a:ln/>
                  </pic:spPr>
                </pic:pic>
              </a:graphicData>
            </a:graphic>
          </wp:inline>
        </w:drawing>
      </w:r>
    </w:p>
    <w:p w14:paraId="3E814150" w14:textId="77777777" w:rsidR="00C3478C" w:rsidRDefault="00C3478C">
      <w:pPr>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br w:type="page"/>
      </w:r>
    </w:p>
    <w:p w14:paraId="40F9CCE6" w14:textId="056A6780" w:rsidR="00C3478C" w:rsidRDefault="00C3478C">
      <w:pPr>
        <w:rPr>
          <w:rFonts w:ascii="Times New Roman" w:hAnsi="Times New Roman" w:cs="Times New Roman"/>
          <w:color w:val="222222"/>
          <w:sz w:val="24"/>
          <w:szCs w:val="24"/>
          <w:highlight w:val="white"/>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9DE774F" wp14:editId="18A5743D">
            <wp:simplePos x="0" y="0"/>
            <wp:positionH relativeFrom="column">
              <wp:posOffset>-120650</wp:posOffset>
            </wp:positionH>
            <wp:positionV relativeFrom="paragraph">
              <wp:posOffset>48481</wp:posOffset>
            </wp:positionV>
            <wp:extent cx="5943600" cy="2971800"/>
            <wp:effectExtent l="0" t="0" r="0" b="0"/>
            <wp:wrapTopAndBottom/>
            <wp:docPr id="1332112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12417"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222222"/>
          <w:sz w:val="24"/>
          <w:szCs w:val="24"/>
          <w:highlight w:val="white"/>
        </w:rPr>
        <w:br w:type="page"/>
      </w:r>
    </w:p>
    <w:p w14:paraId="146B5B8D" w14:textId="42901CDF" w:rsidR="00882293" w:rsidRDefault="0031658D" w:rsidP="001106C7">
      <w:pPr>
        <w:spacing w:line="480" w:lineRule="auto"/>
        <w:rPr>
          <w:rFonts w:ascii="Times New Roman" w:hAnsi="Times New Roman" w:cs="Times New Roman"/>
          <w:color w:val="222222"/>
          <w:sz w:val="24"/>
          <w:szCs w:val="24"/>
          <w:highlight w:val="white"/>
        </w:rPr>
      </w:pPr>
      <w:r w:rsidRPr="005B1306">
        <w:rPr>
          <w:rFonts w:ascii="Times New Roman" w:hAnsi="Times New Roman" w:cs="Times New Roman"/>
          <w:b/>
          <w:bCs/>
          <w:color w:val="222222"/>
          <w:sz w:val="24"/>
          <w:szCs w:val="24"/>
          <w:highlight w:val="white"/>
        </w:rPr>
        <w:lastRenderedPageBreak/>
        <w:t>Appendix 1</w:t>
      </w:r>
      <w:r w:rsidRPr="007B6078">
        <w:rPr>
          <w:rFonts w:ascii="Times New Roman" w:hAnsi="Times New Roman" w:cs="Times New Roman"/>
          <w:color w:val="222222"/>
          <w:sz w:val="24"/>
          <w:szCs w:val="24"/>
          <w:highlight w:val="white"/>
        </w:rPr>
        <w:t xml:space="preserve">: </w:t>
      </w:r>
      <w:r w:rsidR="00A33420" w:rsidRPr="00A33420">
        <w:rPr>
          <w:rFonts w:ascii="Times New Roman" w:hAnsi="Times New Roman" w:cs="Times New Roman"/>
          <w:color w:val="222222"/>
          <w:sz w:val="24"/>
          <w:szCs w:val="24"/>
          <w:highlight w:val="white"/>
        </w:rPr>
        <w:t xml:space="preserve">Number of camera detections of mammals at Mt. Hartman, Conference, and Levera using trail cameras left out for one week during the same period. Brown rat occupancy and detection probabilities were significant overall (22% and 17%, respectively, p&lt;0.005p &lt; 0.005p&lt;0.005), but these probabilities did not differ significantly between sites. For dogs and cats, the limited number of detections resulted in unstable estimates for occupancy and detection, making it difficult to compare across sites. Occupancy and detection estimates were derived using single-season occupancy models implemented in the unmarked package in R. The underlying data are available on </w:t>
      </w:r>
      <w:proofErr w:type="spellStart"/>
      <w:r w:rsidR="00A33420" w:rsidRPr="00A33420">
        <w:rPr>
          <w:rFonts w:ascii="Times New Roman" w:hAnsi="Times New Roman" w:cs="Times New Roman"/>
          <w:color w:val="222222"/>
          <w:sz w:val="24"/>
          <w:szCs w:val="24"/>
          <w:highlight w:val="white"/>
        </w:rPr>
        <w:t>FigShare</w:t>
      </w:r>
      <w:proofErr w:type="spellEnd"/>
      <w:r w:rsidR="00A33420" w:rsidRPr="00A33420">
        <w:rPr>
          <w:rFonts w:ascii="Times New Roman" w:hAnsi="Times New Roman" w:cs="Times New Roman"/>
          <w:color w:val="222222"/>
          <w:sz w:val="24"/>
          <w:szCs w:val="24"/>
          <w:highlight w:val="white"/>
        </w:rPr>
        <w:t xml:space="preserve"> (</w:t>
      </w:r>
      <w:r w:rsidR="00C03E09">
        <w:rPr>
          <w:rFonts w:ascii="Times New Roman" w:hAnsi="Times New Roman" w:cs="Times New Roman"/>
          <w:color w:val="222222"/>
          <w:sz w:val="24"/>
          <w:szCs w:val="24"/>
        </w:rPr>
        <w:t xml:space="preserve">DOI: </w:t>
      </w:r>
      <w:r w:rsidR="00C03E09" w:rsidRPr="00C03E09">
        <w:rPr>
          <w:rFonts w:ascii="Times New Roman" w:hAnsi="Times New Roman" w:cs="Times New Roman"/>
          <w:color w:val="222222"/>
          <w:sz w:val="24"/>
          <w:szCs w:val="24"/>
        </w:rPr>
        <w:t>10.6084/m9.figshare.25442140</w:t>
      </w:r>
      <w:r w:rsidR="00A33420" w:rsidRPr="00A33420">
        <w:rPr>
          <w:rFonts w:ascii="Times New Roman" w:hAnsi="Times New Roman" w:cs="Times New Roman"/>
          <w:color w:val="222222"/>
          <w:sz w:val="24"/>
          <w:szCs w:val="24"/>
          <w:highlight w:val="white"/>
        </w:rPr>
        <w:t>).</w:t>
      </w:r>
    </w:p>
    <w:p w14:paraId="2BC0E9C5" w14:textId="4B8A95A4" w:rsidR="00981EAB" w:rsidRPr="007B6078" w:rsidRDefault="00F71167" w:rsidP="001106C7">
      <w:pPr>
        <w:spacing w:line="480" w:lineRule="auto"/>
        <w:rPr>
          <w:rFonts w:ascii="Times New Roman" w:hAnsi="Times New Roman" w:cs="Times New Roman"/>
          <w:color w:val="222222"/>
          <w:sz w:val="24"/>
          <w:szCs w:val="24"/>
          <w:highlight w:val="white"/>
        </w:rPr>
      </w:pPr>
      <w:r>
        <w:rPr>
          <w:rFonts w:ascii="Times New Roman" w:hAnsi="Times New Roman" w:cs="Times New Roman"/>
          <w:noProof/>
          <w:color w:val="222222"/>
          <w:sz w:val="24"/>
          <w:szCs w:val="24"/>
        </w:rPr>
        <w:drawing>
          <wp:inline distT="0" distB="0" distL="0" distR="0" wp14:anchorId="1E9B90AB" wp14:editId="411F8BA7">
            <wp:extent cx="5943600" cy="3714750"/>
            <wp:effectExtent l="0" t="0" r="0" b="6350"/>
            <wp:docPr id="993994264"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94264" name="Picture 4" descr="A graph with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925DB6" w14:textId="09176C6D" w:rsidR="00C3478C" w:rsidRDefault="0026544F">
      <w:pPr>
        <w:rPr>
          <w:rFonts w:ascii="Times New Roman" w:hAnsi="Times New Roman" w:cs="Times New Roman"/>
          <w:color w:val="222222"/>
          <w:sz w:val="24"/>
          <w:szCs w:val="24"/>
          <w:highlight w:val="white"/>
        </w:rPr>
      </w:pPr>
      <w:r>
        <w:fldChar w:fldCharType="begin"/>
      </w:r>
      <w:r>
        <w:instrText xml:space="preserve"> INCLUDEPICTURE "http://127.0.0.1:41321/chunk_output/s/AEDFCD8F/cklube4xeatsd/000018.png" \* MERGEFORMATINET </w:instrText>
      </w:r>
      <w:r>
        <w:fldChar w:fldCharType="separate"/>
      </w:r>
      <w:r>
        <w:rPr>
          <w:noProof/>
        </w:rPr>
        <mc:AlternateContent>
          <mc:Choice Requires="wps">
            <w:drawing>
              <wp:inline distT="0" distB="0" distL="0" distR="0" wp14:anchorId="26F4CF96" wp14:editId="286A1795">
                <wp:extent cx="299720" cy="299720"/>
                <wp:effectExtent l="0" t="0" r="0" b="0"/>
                <wp:docPr id="93130746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30066" id="Rectangle 1"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" filled="f" stroked="f">
                <o:lock v:ext="edit" aspectratio="t"/>
                <w10:anchorlock/>
              </v:rect>
            </w:pict>
          </mc:Fallback>
        </mc:AlternateContent>
      </w:r>
      <w:r>
        <w:fldChar w:fldCharType="end"/>
      </w:r>
      <w:r w:rsidR="00C3478C">
        <w:rPr>
          <w:rFonts w:ascii="Times New Roman" w:hAnsi="Times New Roman" w:cs="Times New Roman"/>
          <w:color w:val="222222"/>
          <w:sz w:val="24"/>
          <w:szCs w:val="24"/>
          <w:highlight w:val="white"/>
        </w:rPr>
        <w:br w:type="page"/>
      </w:r>
    </w:p>
    <w:p w14:paraId="5686DFF5" w14:textId="4CA7446E" w:rsidR="00B03B23" w:rsidRPr="00B35300" w:rsidRDefault="00713D02" w:rsidP="00A94A41">
      <w:pPr>
        <w:spacing w:after="200" w:line="480" w:lineRule="auto"/>
        <w:rPr>
          <w:rFonts w:ascii="Times New Roman" w:hAnsi="Times New Roman" w:cs="Times New Roman"/>
          <w:color w:val="222222"/>
          <w:sz w:val="24"/>
          <w:szCs w:val="24"/>
          <w:highlight w:val="white"/>
        </w:rPr>
      </w:pPr>
      <w:r w:rsidRPr="00713D02">
        <w:rPr>
          <w:rFonts w:ascii="Times New Roman" w:hAnsi="Times New Roman" w:cs="Times New Roman"/>
          <w:b/>
          <w:bCs/>
          <w:noProof/>
          <w:sz w:val="24"/>
          <w:szCs w:val="24"/>
        </w:rPr>
        <w:lastRenderedPageBreak/>
        <w:drawing>
          <wp:anchor distT="0" distB="0" distL="114300" distR="114300" simplePos="0" relativeHeight="251672576" behindDoc="0" locked="0" layoutInCell="1" allowOverlap="1" wp14:anchorId="639B1AF0" wp14:editId="46067B8B">
            <wp:simplePos x="0" y="0"/>
            <wp:positionH relativeFrom="column">
              <wp:posOffset>0</wp:posOffset>
            </wp:positionH>
            <wp:positionV relativeFrom="paragraph">
              <wp:posOffset>740383</wp:posOffset>
            </wp:positionV>
            <wp:extent cx="5943600" cy="3714750"/>
            <wp:effectExtent l="0" t="0" r="0" b="6350"/>
            <wp:wrapSquare wrapText="bothSides"/>
            <wp:docPr id="528377431" name="Picture 8" descr="A graph of different types of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7431" name="Picture 8" descr="A graph of different types of plan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713D02">
        <w:rPr>
          <w:rFonts w:ascii="Times New Roman" w:hAnsi="Times New Roman" w:cs="Times New Roman"/>
          <w:b/>
          <w:bCs/>
          <w:color w:val="222222"/>
          <w:sz w:val="24"/>
          <w:szCs w:val="24"/>
          <w:highlight w:val="white"/>
        </w:rPr>
        <w:t>Appendix 2</w:t>
      </w:r>
      <w:r w:rsidRPr="00B35300">
        <w:rPr>
          <w:rFonts w:ascii="Times New Roman" w:hAnsi="Times New Roman" w:cs="Times New Roman"/>
          <w:color w:val="222222"/>
          <w:sz w:val="24"/>
          <w:szCs w:val="24"/>
          <w:highlight w:val="white"/>
        </w:rPr>
        <w:t xml:space="preserve">: </w:t>
      </w:r>
      <w:r w:rsidR="005B1306">
        <w:rPr>
          <w:rFonts w:ascii="Times New Roman" w:hAnsi="Times New Roman" w:cs="Times New Roman"/>
          <w:color w:val="222222"/>
          <w:sz w:val="24"/>
          <w:szCs w:val="24"/>
          <w:highlight w:val="white"/>
        </w:rPr>
        <w:t xml:space="preserve">Abundance of </w:t>
      </w:r>
      <w:r>
        <w:rPr>
          <w:rFonts w:ascii="Times New Roman" w:hAnsi="Times New Roman" w:cs="Times New Roman"/>
          <w:color w:val="222222"/>
          <w:sz w:val="24"/>
          <w:szCs w:val="24"/>
          <w:highlight w:val="white"/>
        </w:rPr>
        <w:t>juvenile</w:t>
      </w:r>
      <w:r w:rsidR="001651D6">
        <w:rPr>
          <w:rFonts w:ascii="Times New Roman" w:hAnsi="Times New Roman" w:cs="Times New Roman"/>
          <w:color w:val="222222"/>
          <w:sz w:val="24"/>
          <w:szCs w:val="24"/>
          <w:highlight w:val="white"/>
        </w:rPr>
        <w:t xml:space="preserve"> fish, by functional guild, observed </w:t>
      </w:r>
      <w:r>
        <w:rPr>
          <w:rFonts w:ascii="Times New Roman" w:hAnsi="Times New Roman" w:cs="Times New Roman"/>
          <w:color w:val="222222"/>
          <w:sz w:val="24"/>
          <w:szCs w:val="24"/>
          <w:highlight w:val="white"/>
        </w:rPr>
        <w:t>from</w:t>
      </w:r>
      <w:r w:rsidR="001651D6">
        <w:rPr>
          <w:rFonts w:ascii="Times New Roman" w:hAnsi="Times New Roman" w:cs="Times New Roman"/>
          <w:color w:val="222222"/>
          <w:sz w:val="24"/>
          <w:szCs w:val="24"/>
          <w:highlight w:val="white"/>
        </w:rPr>
        <w:t xml:space="preserve"> </w:t>
      </w:r>
      <w:r>
        <w:rPr>
          <w:rFonts w:ascii="Times New Roman" w:hAnsi="Times New Roman" w:cs="Times New Roman"/>
          <w:color w:val="222222"/>
          <w:sz w:val="24"/>
          <w:szCs w:val="24"/>
          <w:highlight w:val="white"/>
        </w:rPr>
        <w:t>catch</w:t>
      </w:r>
      <w:r w:rsidR="001651D6">
        <w:rPr>
          <w:rFonts w:ascii="Times New Roman" w:hAnsi="Times New Roman" w:cs="Times New Roman"/>
          <w:color w:val="222222"/>
          <w:sz w:val="24"/>
          <w:szCs w:val="24"/>
          <w:highlight w:val="white"/>
        </w:rPr>
        <w:t xml:space="preserve"> and </w:t>
      </w:r>
      <w:proofErr w:type="spellStart"/>
      <w:r>
        <w:rPr>
          <w:rFonts w:ascii="Times New Roman" w:hAnsi="Times New Roman" w:cs="Times New Roman"/>
          <w:color w:val="222222"/>
          <w:sz w:val="24"/>
          <w:szCs w:val="24"/>
          <w:highlight w:val="white"/>
        </w:rPr>
        <w:t>relase</w:t>
      </w:r>
      <w:proofErr w:type="spellEnd"/>
      <w:r w:rsidR="001651D6">
        <w:rPr>
          <w:rFonts w:ascii="Times New Roman" w:hAnsi="Times New Roman" w:cs="Times New Roman"/>
          <w:color w:val="222222"/>
          <w:sz w:val="24"/>
          <w:szCs w:val="24"/>
          <w:highlight w:val="white"/>
        </w:rPr>
        <w:t xml:space="preserve"> study in Mt Hartman and </w:t>
      </w:r>
      <w:proofErr w:type="spellStart"/>
      <w:r w:rsidR="001651D6">
        <w:rPr>
          <w:rFonts w:ascii="Times New Roman" w:hAnsi="Times New Roman" w:cs="Times New Roman"/>
          <w:color w:val="222222"/>
          <w:sz w:val="24"/>
          <w:szCs w:val="24"/>
          <w:highlight w:val="white"/>
        </w:rPr>
        <w:t>Westerhal</w:t>
      </w:r>
      <w:r>
        <w:rPr>
          <w:rFonts w:ascii="Times New Roman" w:hAnsi="Times New Roman" w:cs="Times New Roman"/>
          <w:color w:val="222222"/>
          <w:sz w:val="24"/>
          <w:szCs w:val="24"/>
          <w:highlight w:val="white"/>
        </w:rPr>
        <w:t>l</w:t>
      </w:r>
      <w:proofErr w:type="spellEnd"/>
      <w:r>
        <w:rPr>
          <w:rFonts w:ascii="Times New Roman" w:hAnsi="Times New Roman" w:cs="Times New Roman"/>
          <w:color w:val="222222"/>
          <w:sz w:val="24"/>
          <w:szCs w:val="24"/>
          <w:highlight w:val="white"/>
        </w:rPr>
        <w:t xml:space="preserve">. </w:t>
      </w:r>
      <w:r w:rsidR="007F7DE2" w:rsidRPr="00A33420">
        <w:rPr>
          <w:rFonts w:ascii="Times New Roman" w:hAnsi="Times New Roman" w:cs="Times New Roman"/>
          <w:color w:val="222222"/>
          <w:sz w:val="24"/>
          <w:szCs w:val="24"/>
          <w:highlight w:val="white"/>
        </w:rPr>
        <w:t xml:space="preserve">The underlying data are available on </w:t>
      </w:r>
      <w:proofErr w:type="spellStart"/>
      <w:r w:rsidR="007F7DE2" w:rsidRPr="00A33420">
        <w:rPr>
          <w:rFonts w:ascii="Times New Roman" w:hAnsi="Times New Roman" w:cs="Times New Roman"/>
          <w:color w:val="222222"/>
          <w:sz w:val="24"/>
          <w:szCs w:val="24"/>
          <w:highlight w:val="white"/>
        </w:rPr>
        <w:t>FigShare</w:t>
      </w:r>
      <w:proofErr w:type="spellEnd"/>
      <w:r w:rsidR="007F7DE2" w:rsidRPr="00A33420">
        <w:rPr>
          <w:rFonts w:ascii="Times New Roman" w:hAnsi="Times New Roman" w:cs="Times New Roman"/>
          <w:color w:val="222222"/>
          <w:sz w:val="24"/>
          <w:szCs w:val="24"/>
          <w:highlight w:val="white"/>
        </w:rPr>
        <w:t xml:space="preserve"> (</w:t>
      </w:r>
      <w:r w:rsidR="007F7DE2">
        <w:rPr>
          <w:rFonts w:ascii="Times New Roman" w:hAnsi="Times New Roman" w:cs="Times New Roman"/>
          <w:color w:val="222222"/>
          <w:sz w:val="24"/>
          <w:szCs w:val="24"/>
        </w:rPr>
        <w:t xml:space="preserve">DOI: </w:t>
      </w:r>
      <w:r w:rsidR="007F7DE2" w:rsidRPr="00C03E09">
        <w:rPr>
          <w:rFonts w:ascii="Times New Roman" w:hAnsi="Times New Roman" w:cs="Times New Roman"/>
          <w:color w:val="222222"/>
          <w:sz w:val="24"/>
          <w:szCs w:val="24"/>
        </w:rPr>
        <w:t>10.6084/m9.figshare.25442140</w:t>
      </w:r>
      <w:r w:rsidR="007F7DE2" w:rsidRPr="00A33420">
        <w:rPr>
          <w:rFonts w:ascii="Times New Roman" w:hAnsi="Times New Roman" w:cs="Times New Roman"/>
          <w:color w:val="222222"/>
          <w:sz w:val="24"/>
          <w:szCs w:val="24"/>
          <w:highlight w:val="white"/>
        </w:rPr>
        <w:t>).</w:t>
      </w:r>
    </w:p>
    <w:p w14:paraId="5793F4F1" w14:textId="77777777" w:rsidR="00C3478C" w:rsidRDefault="00C3478C">
      <w:pPr>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br w:type="page"/>
      </w:r>
    </w:p>
    <w:p w14:paraId="2BB0B835" w14:textId="47F9029B" w:rsidR="00882293" w:rsidRPr="007B6078" w:rsidRDefault="00707CAB" w:rsidP="00A94A41">
      <w:pPr>
        <w:spacing w:after="200" w:line="480" w:lineRule="auto"/>
        <w:rPr>
          <w:rFonts w:ascii="Times New Roman" w:hAnsi="Times New Roman" w:cs="Times New Roman"/>
          <w:color w:val="222222"/>
          <w:sz w:val="24"/>
          <w:szCs w:val="24"/>
          <w:highlight w:val="white"/>
        </w:rPr>
      </w:pPr>
      <w:r w:rsidRPr="001106C7">
        <w:rPr>
          <w:b/>
          <w:bCs/>
          <w:noProof/>
        </w:rPr>
        <w:lastRenderedPageBreak/>
        <w:drawing>
          <wp:anchor distT="0" distB="0" distL="114300" distR="114300" simplePos="0" relativeHeight="251669504" behindDoc="1" locked="0" layoutInCell="1" allowOverlap="1" wp14:anchorId="458B4515" wp14:editId="5D54B183">
            <wp:simplePos x="0" y="0"/>
            <wp:positionH relativeFrom="column">
              <wp:posOffset>-173990</wp:posOffset>
            </wp:positionH>
            <wp:positionV relativeFrom="paragraph">
              <wp:posOffset>1546225</wp:posOffset>
            </wp:positionV>
            <wp:extent cx="5943600" cy="3714750"/>
            <wp:effectExtent l="0" t="0" r="0" b="6350"/>
            <wp:wrapTight wrapText="bothSides">
              <wp:wrapPolygon edited="0">
                <wp:start x="0" y="0"/>
                <wp:lineTo x="0" y="21563"/>
                <wp:lineTo x="21554" y="21563"/>
                <wp:lineTo x="21554" y="0"/>
                <wp:lineTo x="0" y="0"/>
              </wp:wrapPolygon>
            </wp:wrapTight>
            <wp:docPr id="1493067212" name="Picture 6"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7212" name="Picture 6" descr="A graph of different colored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1106C7">
        <w:rPr>
          <w:rFonts w:ascii="Times New Roman" w:hAnsi="Times New Roman" w:cs="Times New Roman"/>
          <w:b/>
          <w:bCs/>
          <w:color w:val="222222"/>
          <w:sz w:val="24"/>
          <w:szCs w:val="24"/>
          <w:highlight w:val="white"/>
        </w:rPr>
        <w:t>Appendix 3</w:t>
      </w:r>
      <w:r w:rsidRPr="00B35300">
        <w:rPr>
          <w:rFonts w:ascii="Times New Roman" w:hAnsi="Times New Roman" w:cs="Times New Roman"/>
          <w:color w:val="222222"/>
          <w:sz w:val="24"/>
          <w:szCs w:val="24"/>
          <w:highlight w:val="white"/>
        </w:rPr>
        <w:t xml:space="preserve">: Stable isotopes </w:t>
      </w:r>
      <w:r w:rsidR="001106C7">
        <w:rPr>
          <w:rFonts w:ascii="Times New Roman" w:hAnsi="Times New Roman" w:cs="Times New Roman"/>
          <w:color w:val="222222"/>
          <w:sz w:val="24"/>
          <w:szCs w:val="24"/>
          <w:highlight w:val="white"/>
        </w:rPr>
        <w:t>result</w:t>
      </w:r>
      <w:r w:rsidR="00713D02">
        <w:rPr>
          <w:rFonts w:ascii="Times New Roman" w:hAnsi="Times New Roman" w:cs="Times New Roman"/>
          <w:color w:val="222222"/>
          <w:sz w:val="24"/>
          <w:szCs w:val="24"/>
          <w:highlight w:val="white"/>
        </w:rPr>
        <w:t xml:space="preserve"> for X and Y</w:t>
      </w:r>
      <w:r w:rsidR="008163BD">
        <w:rPr>
          <w:rFonts w:ascii="Times New Roman" w:hAnsi="Times New Roman" w:cs="Times New Roman"/>
          <w:color w:val="222222"/>
          <w:sz w:val="24"/>
          <w:szCs w:val="24"/>
          <w:highlight w:val="white"/>
        </w:rPr>
        <w:t xml:space="preserve"> from samples collected at all four sites. </w:t>
      </w:r>
      <w:r w:rsidR="002E25DC">
        <w:rPr>
          <w:rFonts w:ascii="Times New Roman" w:hAnsi="Times New Roman" w:cs="Times New Roman"/>
          <w:color w:val="222222"/>
          <w:sz w:val="24"/>
          <w:szCs w:val="24"/>
          <w:highlight w:val="white"/>
        </w:rPr>
        <w:t xml:space="preserve">The water samples were </w:t>
      </w:r>
      <w:r w:rsidR="001106C7">
        <w:rPr>
          <w:rFonts w:ascii="Times New Roman" w:hAnsi="Times New Roman" w:cs="Times New Roman"/>
          <w:color w:val="222222"/>
          <w:sz w:val="24"/>
          <w:szCs w:val="24"/>
          <w:highlight w:val="white"/>
        </w:rPr>
        <w:t>sourced from</w:t>
      </w:r>
      <w:r w:rsidR="002E25DC">
        <w:rPr>
          <w:rFonts w:ascii="Times New Roman" w:hAnsi="Times New Roman" w:cs="Times New Roman"/>
          <w:color w:val="222222"/>
          <w:sz w:val="24"/>
          <w:szCs w:val="24"/>
          <w:highlight w:val="white"/>
        </w:rPr>
        <w:t xml:space="preserve"> either the sea, </w:t>
      </w:r>
      <w:r w:rsidR="001106C7">
        <w:rPr>
          <w:rFonts w:ascii="Times New Roman" w:hAnsi="Times New Roman" w:cs="Times New Roman"/>
          <w:color w:val="222222"/>
          <w:sz w:val="24"/>
          <w:szCs w:val="24"/>
          <w:highlight w:val="white"/>
        </w:rPr>
        <w:t xml:space="preserve">streams or surface accumulation. </w:t>
      </w:r>
      <w:r w:rsidR="007F7DE2" w:rsidRPr="00A33420">
        <w:rPr>
          <w:rFonts w:ascii="Times New Roman" w:hAnsi="Times New Roman" w:cs="Times New Roman"/>
          <w:color w:val="222222"/>
          <w:sz w:val="24"/>
          <w:szCs w:val="24"/>
          <w:highlight w:val="white"/>
        </w:rPr>
        <w:t xml:space="preserve">The underlying data are available on </w:t>
      </w:r>
      <w:proofErr w:type="spellStart"/>
      <w:r w:rsidR="007F7DE2" w:rsidRPr="00A33420">
        <w:rPr>
          <w:rFonts w:ascii="Times New Roman" w:hAnsi="Times New Roman" w:cs="Times New Roman"/>
          <w:color w:val="222222"/>
          <w:sz w:val="24"/>
          <w:szCs w:val="24"/>
          <w:highlight w:val="white"/>
        </w:rPr>
        <w:t>FigShare</w:t>
      </w:r>
      <w:proofErr w:type="spellEnd"/>
      <w:r w:rsidR="007F7DE2" w:rsidRPr="00A33420">
        <w:rPr>
          <w:rFonts w:ascii="Times New Roman" w:hAnsi="Times New Roman" w:cs="Times New Roman"/>
          <w:color w:val="222222"/>
          <w:sz w:val="24"/>
          <w:szCs w:val="24"/>
          <w:highlight w:val="white"/>
        </w:rPr>
        <w:t xml:space="preserve"> (</w:t>
      </w:r>
      <w:r w:rsidR="007F7DE2">
        <w:rPr>
          <w:rFonts w:ascii="Times New Roman" w:hAnsi="Times New Roman" w:cs="Times New Roman"/>
          <w:color w:val="222222"/>
          <w:sz w:val="24"/>
          <w:szCs w:val="24"/>
        </w:rPr>
        <w:t xml:space="preserve">DOI: </w:t>
      </w:r>
      <w:r w:rsidR="007F7DE2" w:rsidRPr="00C03E09">
        <w:rPr>
          <w:rFonts w:ascii="Times New Roman" w:hAnsi="Times New Roman" w:cs="Times New Roman"/>
          <w:color w:val="222222"/>
          <w:sz w:val="24"/>
          <w:szCs w:val="24"/>
        </w:rPr>
        <w:t>10.6084/m9.figshare.25442140</w:t>
      </w:r>
      <w:r w:rsidR="007F7DE2" w:rsidRPr="00A33420">
        <w:rPr>
          <w:rFonts w:ascii="Times New Roman" w:hAnsi="Times New Roman" w:cs="Times New Roman"/>
          <w:color w:val="222222"/>
          <w:sz w:val="24"/>
          <w:szCs w:val="24"/>
          <w:highlight w:val="white"/>
        </w:rPr>
        <w:t>).</w:t>
      </w:r>
    </w:p>
    <w:p w14:paraId="3597A68A" w14:textId="77777777" w:rsidR="00882293" w:rsidRPr="007B6078" w:rsidRDefault="00882293" w:rsidP="00A94A41">
      <w:pPr>
        <w:spacing w:after="200" w:line="480" w:lineRule="auto"/>
        <w:rPr>
          <w:rFonts w:ascii="Times New Roman" w:hAnsi="Times New Roman" w:cs="Times New Roman"/>
          <w:color w:val="222222"/>
          <w:sz w:val="24"/>
          <w:szCs w:val="24"/>
          <w:highlight w:val="white"/>
        </w:rPr>
      </w:pPr>
    </w:p>
    <w:sectPr w:rsidR="00882293" w:rsidRPr="007B60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448EF"/>
    <w:multiLevelType w:val="multilevel"/>
    <w:tmpl w:val="5A447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8D5740"/>
    <w:multiLevelType w:val="multilevel"/>
    <w:tmpl w:val="CFEAC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8F601E"/>
    <w:multiLevelType w:val="multilevel"/>
    <w:tmpl w:val="595CB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304ECD"/>
    <w:multiLevelType w:val="multilevel"/>
    <w:tmpl w:val="8AA4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5772933">
    <w:abstractNumId w:val="2"/>
  </w:num>
  <w:num w:numId="2" w16cid:durableId="550311549">
    <w:abstractNumId w:val="0"/>
  </w:num>
  <w:num w:numId="3" w16cid:durableId="549923607">
    <w:abstractNumId w:val="1"/>
  </w:num>
  <w:num w:numId="4" w16cid:durableId="1153705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293"/>
    <w:rsid w:val="000022E4"/>
    <w:rsid w:val="00034A98"/>
    <w:rsid w:val="0009629B"/>
    <w:rsid w:val="000A0A92"/>
    <w:rsid w:val="000A25F0"/>
    <w:rsid w:val="000D7A13"/>
    <w:rsid w:val="000E1DC1"/>
    <w:rsid w:val="000E300F"/>
    <w:rsid w:val="000E679B"/>
    <w:rsid w:val="00100D91"/>
    <w:rsid w:val="001106C7"/>
    <w:rsid w:val="001651D6"/>
    <w:rsid w:val="00171FA3"/>
    <w:rsid w:val="00175DC7"/>
    <w:rsid w:val="00177445"/>
    <w:rsid w:val="001841BC"/>
    <w:rsid w:val="001C58F2"/>
    <w:rsid w:val="001E2127"/>
    <w:rsid w:val="001F0413"/>
    <w:rsid w:val="00211F30"/>
    <w:rsid w:val="00250F42"/>
    <w:rsid w:val="002550DC"/>
    <w:rsid w:val="00260AE4"/>
    <w:rsid w:val="0026544F"/>
    <w:rsid w:val="00265B3B"/>
    <w:rsid w:val="00282959"/>
    <w:rsid w:val="00292347"/>
    <w:rsid w:val="002A0DF7"/>
    <w:rsid w:val="002A4406"/>
    <w:rsid w:val="002E25DC"/>
    <w:rsid w:val="00311758"/>
    <w:rsid w:val="0031658D"/>
    <w:rsid w:val="0032033B"/>
    <w:rsid w:val="00332F43"/>
    <w:rsid w:val="0033663D"/>
    <w:rsid w:val="003A268D"/>
    <w:rsid w:val="003A46C3"/>
    <w:rsid w:val="003E40D0"/>
    <w:rsid w:val="004150E3"/>
    <w:rsid w:val="0042235F"/>
    <w:rsid w:val="00422D84"/>
    <w:rsid w:val="00424F55"/>
    <w:rsid w:val="00463044"/>
    <w:rsid w:val="00463403"/>
    <w:rsid w:val="00465886"/>
    <w:rsid w:val="00472A07"/>
    <w:rsid w:val="00485D82"/>
    <w:rsid w:val="004B4C36"/>
    <w:rsid w:val="004E7FDE"/>
    <w:rsid w:val="0050410A"/>
    <w:rsid w:val="0053696D"/>
    <w:rsid w:val="00546225"/>
    <w:rsid w:val="005777A6"/>
    <w:rsid w:val="005822C6"/>
    <w:rsid w:val="005A1468"/>
    <w:rsid w:val="005B1306"/>
    <w:rsid w:val="005E505D"/>
    <w:rsid w:val="005F2FE9"/>
    <w:rsid w:val="0066781E"/>
    <w:rsid w:val="006B3449"/>
    <w:rsid w:val="006D3A8D"/>
    <w:rsid w:val="006E4A42"/>
    <w:rsid w:val="006F2564"/>
    <w:rsid w:val="00702BE0"/>
    <w:rsid w:val="00707CAB"/>
    <w:rsid w:val="00713D02"/>
    <w:rsid w:val="007323E8"/>
    <w:rsid w:val="00753355"/>
    <w:rsid w:val="00776DD2"/>
    <w:rsid w:val="007A4F2D"/>
    <w:rsid w:val="007B0616"/>
    <w:rsid w:val="007B4F72"/>
    <w:rsid w:val="007B6078"/>
    <w:rsid w:val="007C4562"/>
    <w:rsid w:val="007D35D4"/>
    <w:rsid w:val="007F7DE2"/>
    <w:rsid w:val="008108F7"/>
    <w:rsid w:val="008163BD"/>
    <w:rsid w:val="00840B19"/>
    <w:rsid w:val="008701D0"/>
    <w:rsid w:val="0087348D"/>
    <w:rsid w:val="00874D3F"/>
    <w:rsid w:val="00876456"/>
    <w:rsid w:val="00882293"/>
    <w:rsid w:val="008925A1"/>
    <w:rsid w:val="008B4211"/>
    <w:rsid w:val="008C5193"/>
    <w:rsid w:val="008E03EC"/>
    <w:rsid w:val="0091734F"/>
    <w:rsid w:val="009173CA"/>
    <w:rsid w:val="00917A76"/>
    <w:rsid w:val="00930815"/>
    <w:rsid w:val="00933E6A"/>
    <w:rsid w:val="00981EAB"/>
    <w:rsid w:val="0098317A"/>
    <w:rsid w:val="009C029A"/>
    <w:rsid w:val="009C7EB7"/>
    <w:rsid w:val="009F1023"/>
    <w:rsid w:val="009F4E2A"/>
    <w:rsid w:val="00A112D8"/>
    <w:rsid w:val="00A14829"/>
    <w:rsid w:val="00A33420"/>
    <w:rsid w:val="00A457E5"/>
    <w:rsid w:val="00A53D5D"/>
    <w:rsid w:val="00A608AA"/>
    <w:rsid w:val="00A94A41"/>
    <w:rsid w:val="00AC56A2"/>
    <w:rsid w:val="00AF3FA0"/>
    <w:rsid w:val="00B03B23"/>
    <w:rsid w:val="00B35300"/>
    <w:rsid w:val="00B53779"/>
    <w:rsid w:val="00B5539F"/>
    <w:rsid w:val="00B72111"/>
    <w:rsid w:val="00B7315C"/>
    <w:rsid w:val="00B8322A"/>
    <w:rsid w:val="00B86B68"/>
    <w:rsid w:val="00BF06E7"/>
    <w:rsid w:val="00C03E09"/>
    <w:rsid w:val="00C04377"/>
    <w:rsid w:val="00C04535"/>
    <w:rsid w:val="00C2623B"/>
    <w:rsid w:val="00C3478C"/>
    <w:rsid w:val="00C44C18"/>
    <w:rsid w:val="00C61195"/>
    <w:rsid w:val="00C910D1"/>
    <w:rsid w:val="00CB7D20"/>
    <w:rsid w:val="00CC53C9"/>
    <w:rsid w:val="00CF3A20"/>
    <w:rsid w:val="00D60213"/>
    <w:rsid w:val="00D717EA"/>
    <w:rsid w:val="00D74C38"/>
    <w:rsid w:val="00DA13D2"/>
    <w:rsid w:val="00DB298E"/>
    <w:rsid w:val="00DD7DC9"/>
    <w:rsid w:val="00DE4D99"/>
    <w:rsid w:val="00DF4564"/>
    <w:rsid w:val="00DF79AF"/>
    <w:rsid w:val="00E15DDC"/>
    <w:rsid w:val="00E345F5"/>
    <w:rsid w:val="00E372C0"/>
    <w:rsid w:val="00E42E50"/>
    <w:rsid w:val="00E46069"/>
    <w:rsid w:val="00E52015"/>
    <w:rsid w:val="00E55ABD"/>
    <w:rsid w:val="00E56DE3"/>
    <w:rsid w:val="00E72855"/>
    <w:rsid w:val="00E761B1"/>
    <w:rsid w:val="00E9478A"/>
    <w:rsid w:val="00E96B78"/>
    <w:rsid w:val="00EB71DF"/>
    <w:rsid w:val="00EB739D"/>
    <w:rsid w:val="00EC3293"/>
    <w:rsid w:val="00EC77C1"/>
    <w:rsid w:val="00ED2563"/>
    <w:rsid w:val="00EE1B4E"/>
    <w:rsid w:val="00F00434"/>
    <w:rsid w:val="00F109CE"/>
    <w:rsid w:val="00F175C4"/>
    <w:rsid w:val="00F30840"/>
    <w:rsid w:val="00F55C3B"/>
    <w:rsid w:val="00F71167"/>
    <w:rsid w:val="00F75CF9"/>
    <w:rsid w:val="00FB0CEA"/>
    <w:rsid w:val="00FC2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99924"/>
  <w15:docId w15:val="{081BEFCD-8055-D447-9376-852E5464B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F79AF"/>
    <w:pPr>
      <w:keepNext/>
      <w:keepLines/>
      <w:spacing w:before="400" w:after="200" w:line="480" w:lineRule="auto"/>
      <w:jc w:val="center"/>
      <w:outlineLvl w:val="0"/>
    </w:pPr>
    <w:rPr>
      <w:rFonts w:ascii="Times New Roman" w:hAnsi="Times New Roman" w:cs="Times New Roman"/>
      <w:b/>
      <w:bCs/>
      <w:sz w:val="24"/>
      <w:szCs w:val="24"/>
    </w:rPr>
  </w:style>
  <w:style w:type="paragraph" w:styleId="Heading2">
    <w:name w:val="heading 2"/>
    <w:basedOn w:val="Normal"/>
    <w:next w:val="Normal"/>
    <w:uiPriority w:val="9"/>
    <w:unhideWhenUsed/>
    <w:qFormat/>
    <w:rsid w:val="00753355"/>
    <w:pPr>
      <w:spacing w:before="240" w:after="200" w:line="480" w:lineRule="auto"/>
      <w:outlineLvl w:val="1"/>
    </w:pPr>
    <w:rPr>
      <w:rFonts w:ascii="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422D84"/>
    <w:pPr>
      <w:ind w:left="720"/>
      <w:contextualSpacing/>
    </w:pPr>
  </w:style>
  <w:style w:type="character" w:styleId="Hyperlink">
    <w:name w:val="Hyperlink"/>
    <w:basedOn w:val="DefaultParagraphFont"/>
    <w:uiPriority w:val="99"/>
    <w:unhideWhenUsed/>
    <w:rsid w:val="00C04377"/>
    <w:rPr>
      <w:rFonts w:cs="Times New Roman"/>
      <w:color w:val="0000FF" w:themeColor="hyperlink"/>
      <w:u w:val="single"/>
    </w:rPr>
  </w:style>
  <w:style w:type="paragraph" w:customStyle="1" w:styleId="CoverPage">
    <w:name w:val="Cover Page"/>
    <w:basedOn w:val="Normal"/>
    <w:link w:val="CoverPageChar"/>
    <w:qFormat/>
    <w:rsid w:val="00C04377"/>
    <w:pPr>
      <w:spacing w:line="480" w:lineRule="auto"/>
      <w:ind w:firstLine="720"/>
      <w:jc w:val="center"/>
    </w:pPr>
    <w:rPr>
      <w:rFonts w:ascii="Times New Roman" w:eastAsia="Times New Roman" w:hAnsi="Times New Roman" w:cs="Times New Roman"/>
      <w:color w:val="000000"/>
      <w:sz w:val="24"/>
      <w:szCs w:val="24"/>
      <w:lang w:val="en-US"/>
    </w:rPr>
  </w:style>
  <w:style w:type="character" w:customStyle="1" w:styleId="CoverPageChar">
    <w:name w:val="Cover Page Char"/>
    <w:basedOn w:val="DefaultParagraphFont"/>
    <w:link w:val="CoverPage"/>
    <w:locked/>
    <w:rsid w:val="00C04377"/>
    <w:rPr>
      <w:rFonts w:ascii="Times New Roman" w:eastAsia="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E55A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755">
      <w:bodyDiv w:val="1"/>
      <w:marLeft w:val="0"/>
      <w:marRight w:val="0"/>
      <w:marTop w:val="0"/>
      <w:marBottom w:val="0"/>
      <w:divBdr>
        <w:top w:val="none" w:sz="0" w:space="0" w:color="auto"/>
        <w:left w:val="none" w:sz="0" w:space="0" w:color="auto"/>
        <w:bottom w:val="none" w:sz="0" w:space="0" w:color="auto"/>
        <w:right w:val="none" w:sz="0" w:space="0" w:color="auto"/>
      </w:divBdr>
    </w:div>
    <w:div w:id="65031805">
      <w:bodyDiv w:val="1"/>
      <w:marLeft w:val="0"/>
      <w:marRight w:val="0"/>
      <w:marTop w:val="0"/>
      <w:marBottom w:val="0"/>
      <w:divBdr>
        <w:top w:val="none" w:sz="0" w:space="0" w:color="auto"/>
        <w:left w:val="none" w:sz="0" w:space="0" w:color="auto"/>
        <w:bottom w:val="none" w:sz="0" w:space="0" w:color="auto"/>
        <w:right w:val="none" w:sz="0" w:space="0" w:color="auto"/>
      </w:divBdr>
    </w:div>
    <w:div w:id="179707411">
      <w:bodyDiv w:val="1"/>
      <w:marLeft w:val="0"/>
      <w:marRight w:val="0"/>
      <w:marTop w:val="0"/>
      <w:marBottom w:val="0"/>
      <w:divBdr>
        <w:top w:val="none" w:sz="0" w:space="0" w:color="auto"/>
        <w:left w:val="none" w:sz="0" w:space="0" w:color="auto"/>
        <w:bottom w:val="none" w:sz="0" w:space="0" w:color="auto"/>
        <w:right w:val="none" w:sz="0" w:space="0" w:color="auto"/>
      </w:divBdr>
    </w:div>
    <w:div w:id="217518848">
      <w:bodyDiv w:val="1"/>
      <w:marLeft w:val="0"/>
      <w:marRight w:val="0"/>
      <w:marTop w:val="0"/>
      <w:marBottom w:val="0"/>
      <w:divBdr>
        <w:top w:val="none" w:sz="0" w:space="0" w:color="auto"/>
        <w:left w:val="none" w:sz="0" w:space="0" w:color="auto"/>
        <w:bottom w:val="none" w:sz="0" w:space="0" w:color="auto"/>
        <w:right w:val="none" w:sz="0" w:space="0" w:color="auto"/>
      </w:divBdr>
    </w:div>
    <w:div w:id="265886463">
      <w:bodyDiv w:val="1"/>
      <w:marLeft w:val="0"/>
      <w:marRight w:val="0"/>
      <w:marTop w:val="0"/>
      <w:marBottom w:val="0"/>
      <w:divBdr>
        <w:top w:val="none" w:sz="0" w:space="0" w:color="auto"/>
        <w:left w:val="none" w:sz="0" w:space="0" w:color="auto"/>
        <w:bottom w:val="none" w:sz="0" w:space="0" w:color="auto"/>
        <w:right w:val="none" w:sz="0" w:space="0" w:color="auto"/>
      </w:divBdr>
    </w:div>
    <w:div w:id="298613205">
      <w:bodyDiv w:val="1"/>
      <w:marLeft w:val="0"/>
      <w:marRight w:val="0"/>
      <w:marTop w:val="0"/>
      <w:marBottom w:val="0"/>
      <w:divBdr>
        <w:top w:val="none" w:sz="0" w:space="0" w:color="auto"/>
        <w:left w:val="none" w:sz="0" w:space="0" w:color="auto"/>
        <w:bottom w:val="none" w:sz="0" w:space="0" w:color="auto"/>
        <w:right w:val="none" w:sz="0" w:space="0" w:color="auto"/>
      </w:divBdr>
    </w:div>
    <w:div w:id="386539931">
      <w:bodyDiv w:val="1"/>
      <w:marLeft w:val="0"/>
      <w:marRight w:val="0"/>
      <w:marTop w:val="0"/>
      <w:marBottom w:val="0"/>
      <w:divBdr>
        <w:top w:val="none" w:sz="0" w:space="0" w:color="auto"/>
        <w:left w:val="none" w:sz="0" w:space="0" w:color="auto"/>
        <w:bottom w:val="none" w:sz="0" w:space="0" w:color="auto"/>
        <w:right w:val="none" w:sz="0" w:space="0" w:color="auto"/>
      </w:divBdr>
    </w:div>
    <w:div w:id="421880510">
      <w:bodyDiv w:val="1"/>
      <w:marLeft w:val="0"/>
      <w:marRight w:val="0"/>
      <w:marTop w:val="0"/>
      <w:marBottom w:val="0"/>
      <w:divBdr>
        <w:top w:val="none" w:sz="0" w:space="0" w:color="auto"/>
        <w:left w:val="none" w:sz="0" w:space="0" w:color="auto"/>
        <w:bottom w:val="none" w:sz="0" w:space="0" w:color="auto"/>
        <w:right w:val="none" w:sz="0" w:space="0" w:color="auto"/>
      </w:divBdr>
    </w:div>
    <w:div w:id="634332978">
      <w:bodyDiv w:val="1"/>
      <w:marLeft w:val="0"/>
      <w:marRight w:val="0"/>
      <w:marTop w:val="0"/>
      <w:marBottom w:val="0"/>
      <w:divBdr>
        <w:top w:val="none" w:sz="0" w:space="0" w:color="auto"/>
        <w:left w:val="none" w:sz="0" w:space="0" w:color="auto"/>
        <w:bottom w:val="none" w:sz="0" w:space="0" w:color="auto"/>
        <w:right w:val="none" w:sz="0" w:space="0" w:color="auto"/>
      </w:divBdr>
    </w:div>
    <w:div w:id="757214658">
      <w:bodyDiv w:val="1"/>
      <w:marLeft w:val="0"/>
      <w:marRight w:val="0"/>
      <w:marTop w:val="0"/>
      <w:marBottom w:val="0"/>
      <w:divBdr>
        <w:top w:val="none" w:sz="0" w:space="0" w:color="auto"/>
        <w:left w:val="none" w:sz="0" w:space="0" w:color="auto"/>
        <w:bottom w:val="none" w:sz="0" w:space="0" w:color="auto"/>
        <w:right w:val="none" w:sz="0" w:space="0" w:color="auto"/>
      </w:divBdr>
    </w:div>
    <w:div w:id="1508010460">
      <w:bodyDiv w:val="1"/>
      <w:marLeft w:val="0"/>
      <w:marRight w:val="0"/>
      <w:marTop w:val="0"/>
      <w:marBottom w:val="0"/>
      <w:divBdr>
        <w:top w:val="none" w:sz="0" w:space="0" w:color="auto"/>
        <w:left w:val="none" w:sz="0" w:space="0" w:color="auto"/>
        <w:bottom w:val="none" w:sz="0" w:space="0" w:color="auto"/>
        <w:right w:val="none" w:sz="0" w:space="0" w:color="auto"/>
      </w:divBdr>
    </w:div>
    <w:div w:id="1681001483">
      <w:bodyDiv w:val="1"/>
      <w:marLeft w:val="0"/>
      <w:marRight w:val="0"/>
      <w:marTop w:val="0"/>
      <w:marBottom w:val="0"/>
      <w:divBdr>
        <w:top w:val="none" w:sz="0" w:space="0" w:color="auto"/>
        <w:left w:val="none" w:sz="0" w:space="0" w:color="auto"/>
        <w:bottom w:val="none" w:sz="0" w:space="0" w:color="auto"/>
        <w:right w:val="none" w:sz="0" w:space="0" w:color="auto"/>
      </w:divBdr>
    </w:div>
    <w:div w:id="1729304436">
      <w:bodyDiv w:val="1"/>
      <w:marLeft w:val="0"/>
      <w:marRight w:val="0"/>
      <w:marTop w:val="0"/>
      <w:marBottom w:val="0"/>
      <w:divBdr>
        <w:top w:val="none" w:sz="0" w:space="0" w:color="auto"/>
        <w:left w:val="none" w:sz="0" w:space="0" w:color="auto"/>
        <w:bottom w:val="none" w:sz="0" w:space="0" w:color="auto"/>
        <w:right w:val="none" w:sz="0" w:space="0" w:color="auto"/>
      </w:divBdr>
    </w:div>
    <w:div w:id="1736127127">
      <w:bodyDiv w:val="1"/>
      <w:marLeft w:val="0"/>
      <w:marRight w:val="0"/>
      <w:marTop w:val="0"/>
      <w:marBottom w:val="0"/>
      <w:divBdr>
        <w:top w:val="none" w:sz="0" w:space="0" w:color="auto"/>
        <w:left w:val="none" w:sz="0" w:space="0" w:color="auto"/>
        <w:bottom w:val="none" w:sz="0" w:space="0" w:color="auto"/>
        <w:right w:val="none" w:sz="0" w:space="0" w:color="auto"/>
      </w:divBdr>
    </w:div>
    <w:div w:id="1739353105">
      <w:bodyDiv w:val="1"/>
      <w:marLeft w:val="0"/>
      <w:marRight w:val="0"/>
      <w:marTop w:val="0"/>
      <w:marBottom w:val="0"/>
      <w:divBdr>
        <w:top w:val="none" w:sz="0" w:space="0" w:color="auto"/>
        <w:left w:val="none" w:sz="0" w:space="0" w:color="auto"/>
        <w:bottom w:val="none" w:sz="0" w:space="0" w:color="auto"/>
        <w:right w:val="none" w:sz="0" w:space="0" w:color="auto"/>
      </w:divBdr>
    </w:div>
    <w:div w:id="2013141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RAN.R-project.org/package=vegan"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odyndaniel@gmail.com"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1236</TotalTime>
  <Pages>25</Pages>
  <Words>4573</Words>
  <Characters>26071</Characters>
  <Application>Microsoft Office Word</Application>
  <DocSecurity>0</DocSecurity>
  <Lines>217</Lines>
  <Paragraphs>61</Paragraphs>
  <ScaleCrop>false</ScaleCrop>
  <Company/>
  <LinksUpToDate>false</LinksUpToDate>
  <CharactersWithSpaces>30583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Jody Daniel</cp:lastModifiedBy>
  <cp:revision>162</cp:revision>
  <dcterms:created xsi:type="dcterms:W3CDTF">2024-09-11T19:11:00Z</dcterms:created>
  <dcterms:modified xsi:type="dcterms:W3CDTF">2024-12-24T17:48:00Z</dcterms:modified>
</cp:coreProperties>
</file>