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Reto 7 -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Auditor de Código Cliente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p0ksrkhp2man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Hallazgos Críticos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Estos problemas deben solucionarse inmediatamente para evitar fallos graves o bloqueos en producción.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Ausencia de Timeouts de Red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Problema:</w:t>
        <w:br w:type="textWrapping"/>
        <w:t xml:space="preserve"> La API fetch nativa no tiene un timeout por defecto. Si el servidor deja de responder pero mantiene la conexión abierta, el cliente se quedará colgado indefinidamente, bloqueando el proceso.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Solución:</w:t>
        <w:br w:type="textWrapping"/>
        <w:t xml:space="preserve"> Implementar AbortController para forzar un timeout después de un tiempo razonable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Manejo inseguro de respuestas no JSON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Problema:</w:t>
        <w:br w:type="textWrapping"/>
        <w:t xml:space="preserve"> El código asume que todas las respuestas del servidor son JSON. Si el servidor devuelve HTML o texto plano, intentar convertir la respuesta usando response.json() genera un error.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Solución:</w:t>
        <w:br w:type="textWrapping"/>
        <w:t xml:space="preserve"> Verificar el encabezado Content-Type antes de convertir la respuesta.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bxinjnofxupq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 - Mejoras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Cambios que aumentan la mantenibilidad y calidad del código.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Lógica de petición duplicada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Problema:</w:t>
        <w:br w:type="textWrapping"/>
        <w:t xml:space="preserve"> Se repite la lógica de fetch, headers y manejo de errores en varias funciones.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Solución:</w:t>
        <w:br w:type="textWrapping"/>
        <w:t xml:space="preserve"> Centralizar la lógica en una función request() reutilizable.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