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Arial" w:cs="Arial" w:eastAsia="Arial" w:hAnsi="Arial"/>
          <w:b/>
          <w:bCs/>
        </w:rPr>
        <w:t xml:space="preserve">Analyse de charge par domaine technique</w:t>
      </w:r>
    </w:p>
    <w:p>
      <w:pPr>
        <w:spacing w:after="200" w:before="100"/>
      </w:pPr>
      <w:r>
        <w:rPr>
          <w:rFonts w:ascii="Arial" w:cs="Arial" w:eastAsia="Arial" w:hAnsi="Arial"/>
          <w:b w:val="false"/>
          <w:bCs w:val="false"/>
          <w:i/>
          <w:iCs/>
          <w:color w:val="000000"/>
          <w:sz w:val="24"/>
          <w:szCs w:val="24"/>
        </w:rPr>
        <w:t xml:space="preserve">VibeUp - Matrice de répartition de la charge vs capacité de l'équipe</w:t>
      </w:r>
    </w:p>
    <w:p>
      <w:pPr>
        <w:spacing w:after="300" w:before="100"/>
      </w:pPr>
      <w:r>
        <w:rPr>
          <w:rFonts w:ascii="Arial" w:cs="Arial" w:eastAsia="Arial" w:hAnsi="Arial"/>
          <w:b w:val="false"/>
          <w:bCs w:val="false"/>
          <w:i w:val="false"/>
          <w:iCs w:val="false"/>
          <w:color w:val="000000"/>
          <w:sz w:val="20"/>
          <w:szCs w:val="20"/>
        </w:rPr>
        <w:t xml:space="preserve">Ce document analyse la répartition de la charge de travail du product backlog par domaine technique (Mobile, Web, Backend, Algorithme) et la confronte à la capacité réelle de l'équipe, en tenant compte des rôles non-dev de chaque membre.</w:t>
      </w:r>
    </w:p>
    <w:p>
      <w:pPr>
        <w:pStyle w:val="Heading2"/>
        <w:spacing w:after="200" w:before="300"/>
      </w:pPr>
      <w:r>
        <w:rPr>
          <w:rFonts w:ascii="Arial" w:cs="Arial" w:eastAsia="Arial" w:hAnsi="Arial"/>
          <w:b/>
          <w:bCs/>
        </w:rPr>
        <w:t xml:space="preserve">1. Composition et capacité de l'équipe</w:t>
      </w:r>
    </w:p>
    <w:p>
      <w:pPr>
        <w:spacing w:after="200" w:before="100"/>
      </w:pPr>
      <w:r>
        <w:rPr>
          <w:rFonts w:ascii="Arial" w:cs="Arial" w:eastAsia="Arial" w:hAnsi="Arial"/>
          <w:b w:val="false"/>
          <w:bCs w:val="false"/>
          <w:i w:val="false"/>
          <w:iCs w:val="false"/>
          <w:color w:val="000000"/>
          <w:sz w:val="20"/>
          <w:szCs w:val="20"/>
        </w:rPr>
        <w:t xml:space="preserve">La capacité de développement effective tient compte du temps consacré aux responsabilités non-dev (PO, PM, Tech Lead, QA). Le pourcentage de dev représente le temps réellement disponible pour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900"/>
        <w:gridCol w:w="1200"/>
        <w:gridCol w:w="1200"/>
        <w:gridCol w:w="1338"/>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Membre</w:t>
            </w:r>
          </w:p>
        </w:tc>
        <w:tc>
          <w:tcPr>
            <w:tcW w:type="dxa" w:w="3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Rôles</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Dev %</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 dev (j/h)</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Domaines</w:t>
            </w:r>
          </w:p>
        </w:tc>
        <w:tc>
          <w:tcPr>
            <w:tcW w:type="dxa" w:w="13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Équipe(s)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Sayuri</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 + Backend Lead + Algo Feed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14.7</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backend, algo</w:t>
            </w:r>
          </w:p>
        </w:tc>
        <w:tc>
          <w:tcPr>
            <w:tcW w:type="dxa" w:w="13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Backend, Algo</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Haifa</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Backend + Mobile + Algo Feed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backend, mobile</w:t>
            </w:r>
          </w:p>
        </w:tc>
        <w:tc>
          <w:tcPr>
            <w:tcW w:type="dxa" w:w="13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 Backend</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Franck</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Tech Lead + Web + Mobile Lead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14.7</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web, mobile</w:t>
            </w:r>
          </w:p>
        </w:tc>
        <w:tc>
          <w:tcPr>
            <w:tcW w:type="dxa" w:w="13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 Web</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Gaël</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PM + Web</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web</w:t>
            </w:r>
          </w:p>
        </w:tc>
        <w:tc>
          <w:tcPr>
            <w:tcW w:type="dxa" w:w="13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Web</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Félix</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Développeur Mobile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w:t>
            </w:r>
          </w:p>
        </w:tc>
        <w:tc>
          <w:tcPr>
            <w:tcW w:type="dxa" w:w="13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Mathieu</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Développeur Mobile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w:t>
            </w:r>
          </w:p>
        </w:tc>
        <w:tc>
          <w:tcPr>
            <w:tcW w:type="dxa" w:w="13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Mobile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Timoty</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DevOps / QA (transverse)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devops</w:t>
            </w:r>
          </w:p>
        </w:tc>
        <w:tc>
          <w:tcPr>
            <w:tcW w:type="dxa" w:w="13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DevOps</w:t>
            </w:r>
          </w:p>
        </w:tc>
      </w:tr>
      <w:tr>
        <w:tc>
          <w:tcPr>
            <w:tcW w:type="dxa" w:w="18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TOTAL</w:t>
            </w:r>
          </w:p>
        </w:tc>
        <w:tc>
          <w:tcPr>
            <w:tcW w:type="dxa" w:w="32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130.4</w:t>
            </w:r>
          </w:p>
        </w:tc>
        <w:tc>
          <w:tcPr>
            <w:tcW w:type="dxa" w:w="12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w:r>
          </w:p>
        </w:tc>
        <w:tc>
          <w:tcPr>
            <w:tcW w:type="dxa" w:w="1338"/>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w:r>
          </w:p>
        </w:tc>
      </w:tr>
    </w:tbl>
    <w:p>
      <w:r>
        <w:br w:type="page"/>
      </w:r>
    </w:p>
    <w:p>
      <w:pPr>
        <w:pStyle w:val="Heading2"/>
        <w:spacing w:after="200" w:before="300"/>
      </w:pPr>
      <w:r>
        <w:rPr>
          <w:rFonts w:ascii="Arial" w:cs="Arial" w:eastAsia="Arial" w:hAnsi="Arial"/>
          <w:b/>
          <w:bCs/>
        </w:rPr>
        <w:t xml:space="preserve">2. Charge vs Capacité par domaine technique</w:t>
      </w:r>
    </w:p>
    <w:p>
      <w:pPr>
        <w:spacing w:after="200" w:before="100"/>
      </w:pPr>
      <w:r>
        <w:rPr>
          <w:rFonts w:ascii="Arial" w:cs="Arial" w:eastAsia="Arial" w:hAnsi="Arial"/>
          <w:b w:val="false"/>
          <w:bCs w:val="false"/>
          <w:i w:val="false"/>
          <w:iCs w:val="false"/>
          <w:color w:val="000000"/>
          <w:sz w:val="20"/>
          <w:szCs w:val="20"/>
        </w:rPr>
        <w:t xml:space="preserve">Confrontation de la charge estimée dans le backlog (64,5 j/h) avec la capacité disponible par domaine. La charge de chaque US est répartie proportionnellement entre les domaines techniques impliqués.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838"/>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Domaine</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Charge (j/h)</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Capacité (j/h)</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Taux occupation</w:t>
            </w:r>
          </w:p>
        </w:tc>
        <w:tc>
          <w:tcPr>
            <w:tcW w:type="dxa" w:w="18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Mobile (React Native)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71.1</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26%</w:t>
            </w:r>
          </w:p>
        </w:tc>
        <w:tc>
          <w:tcPr>
            <w:tcW w:type="dxa" w:w="1838"/>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jc w:val="center"/>
            </w:pPr>
            <w:r>
              <w:rPr>
                <w:rFonts w:ascii="Arial" w:cs="Arial" w:eastAsia="Arial" w:hAnsi="Arial"/>
                <w:b/>
                <w:bCs/>
                <w:color w:val="155724"/>
                <w:sz w:val="18"/>
                <w:szCs w:val="18"/>
              </w:rPr>
              <w:t xml:space="preserve">OK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Web (React/TS)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24.9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53%</w:t>
            </w:r>
          </w:p>
        </w:tc>
        <w:tc>
          <w:tcPr>
            <w:tcW w:type="dxa" w:w="1838"/>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jc w:val="center"/>
            </w:pPr>
            <w:r>
              <w:rPr>
                <w:rFonts w:ascii="Arial" w:cs="Arial" w:eastAsia="Arial" w:hAnsi="Arial"/>
                <w:b/>
                <w:bCs/>
                <w:color w:val="155724"/>
                <w:sz w:val="18"/>
                <w:szCs w:val="18"/>
              </w:rPr>
              <w:t xml:space="preserve">OK</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Backend (Node/Express)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29.4</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18.3</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161%</w:t>
            </w:r>
          </w:p>
        </w:tc>
        <w:tc>
          <w:tcPr>
            <w:tcW w:type="dxa" w:w="1838"/>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SURCHARGE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Algo Feed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52%</w:t>
            </w:r>
          </w:p>
        </w:tc>
        <w:tc>
          <w:tcPr>
            <w:tcW w:type="dxa" w:w="1838"/>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jc w:val="center"/>
            </w:pPr>
            <w:r>
              <w:rPr>
                <w:rFonts w:ascii="Arial" w:cs="Arial" w:eastAsia="Arial" w:hAnsi="Arial"/>
                <w:b/>
                <w:bCs/>
                <w:color w:val="155724"/>
                <w:sz w:val="18"/>
                <w:szCs w:val="18"/>
              </w:rPr>
              <w:t xml:space="preserve">OK</w:t>
            </w:r>
          </w:p>
        </w:tc>
      </w:tr>
    </w:tbl>
    <w:p>
      <w:pPr>
        <w:spacing w:after="200" w:before="100"/>
      </w:pPr>
      <w:r>
        <w:rPr>
          <w:rFonts w:ascii="Arial" w:cs="Arial" w:eastAsia="Arial" w:hAnsi="Arial"/>
          <w:b w:val="false"/>
          <w:bCs w:val="false"/>
          <w:i w:val="false"/>
          <w:iCs w:val="false"/>
          <w:color w:val="000000"/>
          <w:sz w:val="22"/>
          <w:szCs w:val="22"/>
        </w:rPr>
        <w:t xml:space="preserve"/>
      </w:r>
    </w:p>
    <w:p>
      <w:pPr>
        <w:pStyle w:val="Heading2"/>
        <w:spacing w:after="200" w:before="300"/>
      </w:pPr>
      <w:r>
        <w:rPr>
          <w:rFonts w:ascii="Arial" w:cs="Arial" w:eastAsia="Arial" w:hAnsi="Arial"/>
          <w:b/>
          <w:bCs/>
        </w:rPr>
        <w:t xml:space="preserve">3. Répartition de la charge par jalon et domaine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200"/>
        <w:gridCol w:w="1838"/>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Jalon</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Mobile (j/h)</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Web (j/h)</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Backend (j/h)</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 (j/h)</w:t>
            </w:r>
          </w:p>
        </w:tc>
        <w:tc>
          <w:tcPr>
            <w:tcW w:type="dxa" w:w="18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(j/h)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Jalon 2.0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w:t>
            </w:r>
          </w:p>
        </w:tc>
        <w:tc>
          <w:tcPr>
            <w:tcW w:type="dxa" w:w="18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7.5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Jalon 3.0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7.1</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w:t>
            </w:r>
          </w:p>
        </w:tc>
        <w:tc>
          <w:tcPr>
            <w:tcW w:type="dxa" w:w="18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15.5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Jalon 4.0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7.6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w:t>
            </w:r>
          </w:p>
        </w:tc>
        <w:tc>
          <w:tcPr>
            <w:tcW w:type="dxa" w:w="18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16.5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Jalon 5.0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7.0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w:t>
            </w:r>
          </w:p>
        </w:tc>
        <w:tc>
          <w:tcPr>
            <w:tcW w:type="dxa" w:w="18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13.5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Jalon 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w:t>
            </w:r>
          </w:p>
        </w:tc>
        <w:tc>
          <w:tcPr>
            <w:tcW w:type="dxa" w:w="18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5.5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Jalon 7.0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w:t>
            </w:r>
          </w:p>
        </w:tc>
        <w:tc>
          <w:tcPr>
            <w:tcW w:type="dxa" w:w="18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6.0</w:t>
            </w:r>
          </w:p>
        </w:tc>
      </w:tr>
      <w:tr>
        <w:tc>
          <w:tcPr>
            <w:tcW w:type="dxa" w:w="12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TOTAL</w:t>
            </w:r>
          </w:p>
        </w:tc>
        <w:tc>
          <w:tcPr>
            <w:tcW w:type="dxa" w:w="18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18.2</w:t>
            </w:r>
          </w:p>
        </w:tc>
        <w:tc>
          <w:tcPr>
            <w:tcW w:type="dxa" w:w="18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13.1</w:t>
            </w:r>
          </w:p>
        </w:tc>
        <w:tc>
          <w:tcPr>
            <w:tcW w:type="dxa" w:w="18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29.4</w:t>
            </w:r>
          </w:p>
        </w:tc>
        <w:tc>
          <w:tcPr>
            <w:tcW w:type="dxa" w:w="1200"/>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3.8</w:t>
            </w:r>
          </w:p>
        </w:tc>
        <w:tc>
          <w:tcPr>
            <w:tcW w:type="dxa" w:w="1838"/>
            <w:tcBorders>
              <w:top w:val="single" w:color="AAAAAA" w:sz="1"/>
              <w:left w:val="single" w:color="AAAAAA" w:sz="1"/>
              <w:bottom w:val="single" w:color="AAAAAA" w:sz="1"/>
              <w:right w:val="single" w:color="AAAAAA" w:sz="1"/>
            </w:tcBorders>
            <w:shd w:fill="E0E0E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64.5</w:t>
            </w:r>
          </w:p>
        </w:tc>
      </w:tr>
    </w:tbl>
    <w:p>
      <w:r>
        <w:br w:type="page"/>
      </w:r>
    </w:p>
    <w:p>
      <w:pPr>
        <w:pStyle w:val="Heading2"/>
        <w:spacing w:after="200" w:before="300"/>
      </w:pPr>
      <w:r>
        <w:rPr>
          <w:rFonts w:ascii="Arial" w:cs="Arial" w:eastAsia="Arial" w:hAnsi="Arial"/>
          <w:b/>
          <w:bCs/>
        </w:rPr>
        <w:t xml:space="preserve">4. Analyse des risques et recommandations</w:t>
      </w:r>
    </w:p>
    <w:p>
      <w:pPr>
        <w:spacing w:after="100" w:before="100"/>
      </w:pPr>
      <w:r>
        <w:rPr>
          <w:rFonts w:ascii="Arial" w:cs="Arial" w:eastAsia="Arial" w:hAnsi="Arial"/>
          <w:b/>
          <w:bCs/>
          <w:i w:val="false"/>
          <w:iCs w:val="false"/>
          <w:color w:val="CC0000"/>
          <w:sz w:val="24"/>
          <w:szCs w:val="24"/>
        </w:rPr>
        <w:t xml:space="preserve">RISQUE CRITIQUE : Surcharge Backend (161%)</w:t>
      </w:r>
    </w:p>
    <w:p>
      <w:pPr>
        <w:spacing w:after="100" w:before="100"/>
      </w:pPr>
      <w:r>
        <w:rPr>
          <w:rFonts w:ascii="Arial" w:cs="Arial" w:eastAsia="Arial" w:hAnsi="Arial"/>
          <w:b w:val="false"/>
          <w:bCs w:val="false"/>
          <w:i w:val="false"/>
          <w:iCs w:val="false"/>
          <w:color w:val="000000"/>
          <w:sz w:val="20"/>
          <w:szCs w:val="20"/>
        </w:rPr>
        <w:t xml:space="preserve">Le backend concentre 29,4 j/h de charge pour seulement 18,3 j/h de capacité disponible (Sayuri à 50% et Haifa partagée). Quasiment toutes les US fonctionnelles nécessitent du travail backend (API, BDD, logique métier). C'est le chemin critique du projet.</w:t>
      </w:r>
    </w:p>
    <w:p>
      <w:pPr>
        <w:spacing w:after="50" w:before="100"/>
      </w:pPr>
      <w:r>
        <w:rPr>
          <w:rFonts w:ascii="Arial" w:cs="Arial" w:eastAsia="Arial" w:hAnsi="Arial"/>
          <w:b/>
          <w:bCs/>
          <w:i w:val="false"/>
          <w:iCs w:val="false"/>
          <w:color w:val="000000"/>
          <w:sz w:val="20"/>
          <w:szCs w:val="20"/>
        </w:rPr>
        <w:t xml:space="preserve">Recommandations :</w:t>
      </w:r>
    </w:p>
    <w:p>
      <w:pPr>
        <w:spacing w:after="40" w:before="100"/>
      </w:pPr>
      <w:r>
        <w:rPr>
          <w:rFonts w:ascii="Arial" w:cs="Arial" w:eastAsia="Arial" w:hAnsi="Arial"/>
          <w:b w:val="false"/>
          <w:bCs w:val="false"/>
          <w:i w:val="false"/>
          <w:iCs w:val="false"/>
          <w:color w:val="000000"/>
          <w:sz w:val="20"/>
          <w:szCs w:val="20"/>
        </w:rPr>
        <w:t xml:space="preserve">  •  Former un ou deux développeurs mobiles (Félix ou Mathieu) sur les bases du backend Node.js/Express pour absorber les endpoints simples (CRUD).</w:t>
      </w:r>
    </w:p>
    <w:p>
      <w:pPr>
        <w:spacing w:after="40" w:before="100"/>
      </w:pPr>
      <w:r>
        <w:rPr>
          <w:rFonts w:ascii="Arial" w:cs="Arial" w:eastAsia="Arial" w:hAnsi="Arial"/>
          <w:b w:val="false"/>
          <w:bCs w:val="false"/>
          <w:i w:val="false"/>
          <w:iCs w:val="false"/>
          <w:color w:val="000000"/>
          <w:sz w:val="20"/>
          <w:szCs w:val="20"/>
        </w:rPr>
        <w:t xml:space="preserve">  •  Prioriser impérativement les US backend des jalons 2 et 3 : sans API fonctionnelle, le mobile et le web sont bloqués.</w:t>
      </w:r>
    </w:p>
    <w:p>
      <w:pPr>
        <w:spacing w:after="40" w:before="100"/>
      </w:pPr>
      <w:r>
        <w:rPr>
          <w:rFonts w:ascii="Arial" w:cs="Arial" w:eastAsia="Arial" w:hAnsi="Arial"/>
          <w:b w:val="false"/>
          <w:bCs w:val="false"/>
          <w:i w:val="false"/>
          <w:iCs w:val="false"/>
          <w:color w:val="000000"/>
          <w:sz w:val="20"/>
          <w:szCs w:val="20"/>
        </w:rPr>
        <w:t xml:space="preserve">  •  Envisager de réduire le scope du jalon 4 (US-65 détection de bots à 2 j/h est ambitieuse et peut être reportée).</w:t>
      </w:r>
    </w:p>
    <w:p>
      <w:pPr>
        <w:spacing w:after="40" w:before="100"/>
      </w:pPr>
      <w:r>
        <w:rPr>
          <w:rFonts w:ascii="Arial" w:cs="Arial" w:eastAsia="Arial" w:hAnsi="Arial"/>
          <w:b w:val="false"/>
          <w:bCs w:val="false"/>
          <w:i w:val="false"/>
          <w:iCs w:val="false"/>
          <w:color w:val="000000"/>
          <w:sz w:val="20"/>
          <w:szCs w:val="20"/>
        </w:rPr>
        <w:t xml:space="preserve">  •  Sayuri doit être protégée de toute tâche non-critique : le temps qu'elle perd en réunions PO est du temps backend perdu.</w:t>
      </w:r>
    </w:p>
    <w:p>
      <w:pPr>
        <w:spacing w:after="100" w:before="100"/>
      </w:pPr>
      <w:r>
        <w:rPr>
          <w:rFonts w:ascii="Arial" w:cs="Arial" w:eastAsia="Arial" w:hAnsi="Arial"/>
          <w:b w:val="false"/>
          <w:bCs w:val="false"/>
          <w:i w:val="false"/>
          <w:iCs w:val="false"/>
          <w:color w:val="000000"/>
          <w:sz w:val="22"/>
          <w:szCs w:val="22"/>
        </w:rPr>
        <w:t xml:space="preserve"/>
      </w:r>
    </w:p>
    <w:p>
      <w:pPr>
        <w:spacing w:after="100" w:before="100"/>
      </w:pPr>
      <w:r>
        <w:rPr>
          <w:rFonts w:ascii="Arial" w:cs="Arial" w:eastAsia="Arial" w:hAnsi="Arial"/>
          <w:b/>
          <w:bCs/>
          <w:i w:val="false"/>
          <w:iCs w:val="false"/>
          <w:color w:val="CC6600"/>
          <w:sz w:val="24"/>
          <w:szCs w:val="24"/>
        </w:rPr>
        <w:t xml:space="preserve">RISQUE MAJEUR : Sayuri est un Single Point of Failure</w:t>
      </w:r>
    </w:p>
    <w:p>
      <w:pPr>
        <w:spacing w:after="100" w:before="100"/>
      </w:pPr>
      <w:r>
        <w:rPr>
          <w:rFonts w:ascii="Arial" w:cs="Arial" w:eastAsia="Arial" w:hAnsi="Arial"/>
          <w:b w:val="false"/>
          <w:bCs w:val="false"/>
          <w:i w:val="false"/>
          <w:iCs w:val="false"/>
          <w:color w:val="000000"/>
          <w:sz w:val="20"/>
          <w:szCs w:val="20"/>
        </w:rPr>
        <w:t xml:space="preserve">Sayuri cumule PO, lead backend et lead algorithme. En cas d'absence (maladie, surcharge), le backend et l'algo sont paralysés et les décisions produit sont bloquées. C'est le risque humain principal du projet.</w:t>
      </w:r>
    </w:p>
    <w:p>
      <w:pPr>
        <w:spacing w:after="50" w:before="100"/>
      </w:pPr>
      <w:r>
        <w:rPr>
          <w:rFonts w:ascii="Arial" w:cs="Arial" w:eastAsia="Arial" w:hAnsi="Arial"/>
          <w:b/>
          <w:bCs/>
          <w:i w:val="false"/>
          <w:iCs w:val="false"/>
          <w:color w:val="000000"/>
          <w:sz w:val="20"/>
          <w:szCs w:val="20"/>
        </w:rPr>
        <w:t xml:space="preserve">Recommandations :</w:t>
      </w:r>
    </w:p>
    <w:p>
      <w:pPr>
        <w:spacing w:after="40" w:before="100"/>
      </w:pPr>
      <w:r>
        <w:rPr>
          <w:rFonts w:ascii="Arial" w:cs="Arial" w:eastAsia="Arial" w:hAnsi="Arial"/>
          <w:b w:val="false"/>
          <w:bCs w:val="false"/>
          <w:i w:val="false"/>
          <w:iCs w:val="false"/>
          <w:color w:val="000000"/>
          <w:sz w:val="20"/>
          <w:szCs w:val="20"/>
        </w:rPr>
        <w:t xml:space="preserve">  •  Déléguer une partie des responsabilités PO (validation, critères d'acceptation) au PM (Gaël) ou au Tech Lead (Franck).</w:t>
      </w:r>
    </w:p>
    <w:p>
      <w:pPr>
        <w:spacing w:after="40" w:before="100"/>
      </w:pPr>
      <w:r>
        <w:rPr>
          <w:rFonts w:ascii="Arial" w:cs="Arial" w:eastAsia="Arial" w:hAnsi="Arial"/>
          <w:b w:val="false"/>
          <w:bCs w:val="false"/>
          <w:i w:val="false"/>
          <w:iCs w:val="false"/>
          <w:color w:val="000000"/>
          <w:sz w:val="20"/>
          <w:szCs w:val="20"/>
        </w:rPr>
        <w:t xml:space="preserve">  •  Documenter systématiquement les décisions d'architecture backend pour permettre à Haifa de prendre le relais.</w:t>
      </w:r>
    </w:p>
    <w:p>
      <w:pPr>
        <w:spacing w:after="40" w:before="100"/>
      </w:pPr>
      <w:r>
        <w:rPr>
          <w:rFonts w:ascii="Arial" w:cs="Arial" w:eastAsia="Arial" w:hAnsi="Arial"/>
          <w:b w:val="false"/>
          <w:bCs w:val="false"/>
          <w:i w:val="false"/>
          <w:iCs w:val="false"/>
          <w:color w:val="000000"/>
          <w:sz w:val="20"/>
          <w:szCs w:val="20"/>
        </w:rPr>
        <w:t xml:space="preserve">  •  Planifier un transfert de connaissances sur l'algorithme de feed dès que la V1 est stabilisée.</w:t>
      </w:r>
    </w:p>
    <w:p>
      <w:pPr>
        <w:spacing w:after="100" w:before="100"/>
      </w:pPr>
      <w:r>
        <w:rPr>
          <w:rFonts w:ascii="Arial" w:cs="Arial" w:eastAsia="Arial" w:hAnsi="Arial"/>
          <w:b w:val="false"/>
          <w:bCs w:val="false"/>
          <w:i w:val="false"/>
          <w:iCs w:val="false"/>
          <w:color w:val="000000"/>
          <w:sz w:val="22"/>
          <w:szCs w:val="22"/>
        </w:rPr>
        <w:t xml:space="preserve"/>
      </w:r>
    </w:p>
    <w:p>
      <w:pPr>
        <w:spacing w:after="100" w:before="100"/>
      </w:pPr>
      <w:r>
        <w:rPr>
          <w:rFonts w:ascii="Arial" w:cs="Arial" w:eastAsia="Arial" w:hAnsi="Arial"/>
          <w:b/>
          <w:bCs/>
          <w:i w:val="false"/>
          <w:iCs w:val="false"/>
          <w:color w:val="856404"/>
          <w:sz w:val="24"/>
          <w:szCs w:val="24"/>
        </w:rPr>
        <w:t xml:space="preserve">RISQUE MODÉRÉ : Capacité Web limitée</w:t>
      </w:r>
    </w:p>
    <w:p>
      <w:pPr>
        <w:spacing w:after="100" w:before="100"/>
      </w:pPr>
      <w:r>
        <w:rPr>
          <w:rFonts w:ascii="Arial" w:cs="Arial" w:eastAsia="Arial" w:hAnsi="Arial"/>
          <w:b w:val="false"/>
          <w:bCs w:val="false"/>
          <w:i w:val="false"/>
          <w:iCs w:val="false"/>
          <w:color w:val="000000"/>
          <w:sz w:val="20"/>
          <w:szCs w:val="20"/>
        </w:rPr>
        <w:t xml:space="preserve">Franck et Gaël sont les seuls développeurs web, tous deux avec des responsabilités managériales lourdes. Le taux d'occupation web est de 53%, ce qui semble gérable, mais les interfaces admin et promoteur sont critiques pour les jalons 3-4. Un retard sur le web bloque la création d'événements (promoteur) et la modération (admin).</w:t>
      </w:r>
    </w:p>
    <w:p>
      <w:pPr>
        <w:spacing w:after="50" w:before="100"/>
      </w:pPr>
      <w:r>
        <w:rPr>
          <w:rFonts w:ascii="Arial" w:cs="Arial" w:eastAsia="Arial" w:hAnsi="Arial"/>
          <w:b/>
          <w:bCs/>
          <w:i w:val="false"/>
          <w:iCs w:val="false"/>
          <w:color w:val="000000"/>
          <w:sz w:val="20"/>
          <w:szCs w:val="20"/>
        </w:rPr>
        <w:t xml:space="preserve">Recommandations :</w:t>
      </w:r>
    </w:p>
    <w:p>
      <w:pPr>
        <w:spacing w:after="40" w:before="100"/>
      </w:pPr>
      <w:r>
        <w:rPr>
          <w:rFonts w:ascii="Arial" w:cs="Arial" w:eastAsia="Arial" w:hAnsi="Arial"/>
          <w:b w:val="false"/>
          <w:bCs w:val="false"/>
          <w:i w:val="false"/>
          <w:iCs w:val="false"/>
          <w:color w:val="000000"/>
          <w:sz w:val="20"/>
          <w:szCs w:val="20"/>
        </w:rPr>
        <w:t xml:space="preserve">  •  Planifier les US web promoteur (US-52, US-56, US-74) en début de jalon pour ne pas bloquer les tests end-to-end.</w:t>
      </w:r>
    </w:p>
    <w:p>
      <w:pPr>
        <w:spacing w:after="40" w:before="100"/>
      </w:pPr>
      <w:r>
        <w:rPr>
          <w:rFonts w:ascii="Arial" w:cs="Arial" w:eastAsia="Arial" w:hAnsi="Arial"/>
          <w:b w:val="false"/>
          <w:bCs w:val="false"/>
          <w:i w:val="false"/>
          <w:iCs w:val="false"/>
          <w:color w:val="000000"/>
          <w:sz w:val="20"/>
          <w:szCs w:val="20"/>
        </w:rPr>
        <w:t xml:space="preserve">  •  Si Haifa a des compétences React, lui confier ponctuellement des US web simples (interfaces admin).</w:t>
      </w:r>
    </w:p>
    <w:p>
      <w:pPr>
        <w:spacing w:after="100" w:before="100"/>
      </w:pPr>
      <w:r>
        <w:rPr>
          <w:rFonts w:ascii="Arial" w:cs="Arial" w:eastAsia="Arial" w:hAnsi="Arial"/>
          <w:b w:val="false"/>
          <w:bCs w:val="false"/>
          <w:i w:val="false"/>
          <w:iCs w:val="false"/>
          <w:color w:val="000000"/>
          <w:sz w:val="22"/>
          <w:szCs w:val="22"/>
        </w:rPr>
        <w:t xml:space="preserve"/>
      </w:r>
    </w:p>
    <w:p>
      <w:pPr>
        <w:spacing w:after="100" w:before="100"/>
      </w:pPr>
      <w:r>
        <w:rPr>
          <w:rFonts w:ascii="Arial" w:cs="Arial" w:eastAsia="Arial" w:hAnsi="Arial"/>
          <w:b/>
          <w:bCs/>
          <w:i w:val="false"/>
          <w:iCs w:val="false"/>
          <w:color w:val="155724"/>
          <w:sz w:val="24"/>
          <w:szCs w:val="24"/>
        </w:rPr>
        <w:t xml:space="preserve">OBSERVATION : Mobile largement sous-capacitaire (26%)</w:t>
      </w:r>
    </w:p>
    <w:p>
      <w:pPr>
        <w:spacing w:after="100" w:before="100"/>
      </w:pPr>
      <w:r>
        <w:rPr>
          <w:rFonts w:ascii="Arial" w:cs="Arial" w:eastAsia="Arial" w:hAnsi="Arial"/>
          <w:b w:val="false"/>
          <w:bCs w:val="false"/>
          <w:i w:val="false"/>
          <w:iCs w:val="false"/>
          <w:color w:val="000000"/>
          <w:sz w:val="20"/>
          <w:szCs w:val="20"/>
        </w:rPr>
        <w:t xml:space="preserve">L'équipe mobile (Félix, Mathieu + Haifa partielle) dispose de 71 j/h de capacité pour seulement 18 j/h de charge. C'est une réserve de force considérable mais non fongible : ces développeurs ne peuvent pas spontanément absorber du backend ou du web sans montée en compétence.</w:t>
      </w:r>
    </w:p>
    <w:p>
      <w:pPr>
        <w:spacing w:after="50" w:before="100"/>
      </w:pPr>
      <w:r>
        <w:rPr>
          <w:rFonts w:ascii="Arial" w:cs="Arial" w:eastAsia="Arial" w:hAnsi="Arial"/>
          <w:b/>
          <w:bCs/>
          <w:i w:val="false"/>
          <w:iCs w:val="false"/>
          <w:color w:val="000000"/>
          <w:sz w:val="20"/>
          <w:szCs w:val="20"/>
        </w:rPr>
        <w:t xml:space="preserve">Recommandations :</w:t>
      </w:r>
    </w:p>
    <w:p>
      <w:pPr>
        <w:spacing w:after="40" w:before="100"/>
      </w:pPr>
      <w:r>
        <w:rPr>
          <w:rFonts w:ascii="Arial" w:cs="Arial" w:eastAsia="Arial" w:hAnsi="Arial"/>
          <w:b w:val="false"/>
          <w:bCs w:val="false"/>
          <w:i w:val="false"/>
          <w:iCs w:val="false"/>
          <w:color w:val="000000"/>
          <w:sz w:val="20"/>
          <w:szCs w:val="20"/>
        </w:rPr>
        <w:t xml:space="preserve">  •  Investir le temps disponible de Félix et/ou Mathieu en formation Node.js/Express pour créer de la polyvalence backend.</w:t>
      </w:r>
    </w:p>
    <w:p>
      <w:pPr>
        <w:spacing w:after="40" w:before="100"/>
      </w:pPr>
      <w:r>
        <w:rPr>
          <w:rFonts w:ascii="Arial" w:cs="Arial" w:eastAsia="Arial" w:hAnsi="Arial"/>
          <w:b w:val="false"/>
          <w:bCs w:val="false"/>
          <w:i w:val="false"/>
          <w:iCs w:val="false"/>
          <w:color w:val="000000"/>
          <w:sz w:val="20"/>
          <w:szCs w:val="20"/>
        </w:rPr>
        <w:t xml:space="preserve">  •  Leur confier la rédaction des tests d'intégration (Jest) qui testent les endpoints API du point de vue mobile.</w:t>
      </w:r>
    </w:p>
    <w:p>
      <w:pPr>
        <w:spacing w:after="40" w:before="100"/>
      </w:pPr>
      <w:r>
        <w:rPr>
          <w:rFonts w:ascii="Arial" w:cs="Arial" w:eastAsia="Arial" w:hAnsi="Arial"/>
          <w:b w:val="false"/>
          <w:bCs w:val="false"/>
          <w:i w:val="false"/>
          <w:iCs w:val="false"/>
          <w:color w:val="000000"/>
          <w:sz w:val="20"/>
          <w:szCs w:val="20"/>
        </w:rPr>
        <w:t xml:space="preserve">  •  Anticiper les US mobiles des jalons 5-7 (stories, notifications, questionnaire) pour lisser la charge.</w:t>
      </w:r>
    </w:p>
    <w:p>
      <w:r>
        <w:br w:type="page"/>
      </w:r>
    </w:p>
    <w:p>
      <w:pPr>
        <w:pStyle w:val="Heading2"/>
        <w:spacing w:after="200" w:before="300"/>
      </w:pPr>
      <w:r>
        <w:rPr>
          <w:rFonts w:ascii="Arial" w:cs="Arial" w:eastAsia="Arial" w:hAnsi="Arial"/>
          <w:b/>
          <w:bCs/>
        </w:rPr>
        <w:t xml:space="preserve">5. User Stories à rechiffrer</w:t>
      </w:r>
    </w:p>
    <w:p>
      <w:pPr>
        <w:spacing w:after="200" w:before="100"/>
      </w:pPr>
      <w:r>
        <w:rPr>
          <w:rFonts w:ascii="Arial" w:cs="Arial" w:eastAsia="Arial" w:hAnsi="Arial"/>
          <w:b w:val="false"/>
          <w:bCs w:val="false"/>
          <w:i w:val="false"/>
          <w:iCs w:val="false"/>
          <w:color w:val="000000"/>
          <w:sz w:val="20"/>
          <w:szCs w:val="20"/>
        </w:rPr>
        <w:t xml:space="preserve">Les US suivantes présentent un chiffrage qui semble sous-estimé au regard de leur complexité technique et fonctionnelle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6738"/>
      </w:tblGrid>
      <w:tr>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Actuel</w:t>
            </w:r>
          </w:p>
        </w:tc>
        <w:tc>
          <w:tcPr>
            <w:tcW w:type="dxa" w:w="11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Proposé</w:t>
            </w:r>
          </w:p>
        </w:tc>
        <w:tc>
          <w:tcPr>
            <w:tcW w:type="dxa" w:w="67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Justification</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US-11</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 j/h</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10-15 j/h</w:t>
            </w:r>
          </w:p>
        </w:tc>
        <w:tc>
          <w:tcPr>
            <w:tcW w:type="dxa" w:w="67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Algorithme de recommandation à 4 bases (localisation, interactions, découverte, comptes similaires). Nécessite modélisation données, implémentation, tuning, tests de pertinence. Avec Sayuri à 50% de dispo, c'est 3-4 semaines de sprint minimum.</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US-52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0.5 j/h</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2.0-3.0 j/h</w:t>
            </w:r>
          </w:p>
        </w:tc>
        <w:tc>
          <w:tcPr>
            <w:tcW w:type="dxa" w:w="67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Formulaire de création d'événement avec nombreux champs (tags multiples avec couleurs, validation CGU, gestion prix/capacité/+18). Implique backend (API, validation, BDD) + web (formulaire complexe).</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US-32</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4.0 j/h</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5.0-6.0 j/h</w:t>
            </w:r>
          </w:p>
        </w:tc>
        <w:tc>
          <w:tcPr>
            <w:tcW w:type="dxa" w:w="67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Système d'inscription/connexion complet avec authentification, gestion profil, préférences, CGU. Touche mobile + web + backend + Supabase Auth. Le 4.0 est raisonnable mais optimiste vu le nombre de domaines impliqués.</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US-65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 j/h</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4.0-5.0 j/h</w:t>
            </w:r>
          </w:p>
        </w:tc>
        <w:tc>
          <w:tcPr>
            <w:tcW w:type="dxa" w:w="67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Détection de bots avec critères configurables, journal d'activité, possibilité de rétablissement. Implique logique de détection côté backend + interface admin côté web.</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US-56</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 j/h</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3.0-4.0 j/h</w:t>
            </w:r>
          </w:p>
        </w:tc>
        <w:tc>
          <w:tcPr>
            <w:tcW w:type="dxa" w:w="67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Page promoteur complète (photos, description, adresses multiples, horaires, historique publications). C'est quasiment une mini-application en soi.</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US-69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 j/h</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5.0-8.0 j/h</w:t>
            </w:r>
          </w:p>
        </w:tc>
        <w:tc>
          <w:tcPr>
            <w:tcW w:type="dxa" w:w="67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Billetterie intégrée avec paiement sécurisé, gestion stocks, QR codes. Intégration Stripe/paiement = toujours plus long que prévu.</w:t>
            </w:r>
          </w:p>
        </w:tc>
      </w:tr>
    </w:tbl>
    <w:p>
      <w:pPr>
        <w:spacing w:after="100" w:before="100"/>
      </w:pPr>
      <w:r>
        <w:rPr>
          <w:rFonts w:ascii="Arial" w:cs="Arial" w:eastAsia="Arial" w:hAnsi="Arial"/>
          <w:b w:val="false"/>
          <w:bCs w:val="false"/>
          <w:i w:val="false"/>
          <w:iCs w:val="false"/>
          <w:color w:val="000000"/>
          <w:sz w:val="22"/>
          <w:szCs w:val="22"/>
        </w:rPr>
        <w:t xml:space="preserve"/>
      </w:r>
    </w:p>
    <w:p>
      <w:pPr>
        <w:spacing w:after="200" w:before="100"/>
      </w:pPr>
      <w:r>
        <w:rPr>
          <w:rFonts w:ascii="Arial" w:cs="Arial" w:eastAsia="Arial" w:hAnsi="Arial"/>
          <w:b/>
          <w:bCs/>
          <w:i w:val="false"/>
          <w:iCs w:val="false"/>
          <w:color w:val="000000"/>
          <w:sz w:val="20"/>
          <w:szCs w:val="20"/>
        </w:rPr>
        <w:t xml:space="preserve">Impact du rechiffrage : en appliquant les estimations proposées, la charge backend passerait d'environ 29 j/h à environ 42-50 j/h, ce qui porterait le taux d'occupation backend à plus de 230%. Cela confirme la nécessité absolue de renforcer la capacité backend, soit par formation interne, soit par redécoupage des responsabilités.</w:t>
      </w:r>
    </w:p>
    <w:p>
      <w:r>
        <w:br w:type="page"/>
      </w:r>
    </w:p>
    <w:p>
      <w:pPr>
        <w:pStyle w:val="Heading2"/>
        <w:spacing w:after="200" w:before="300"/>
      </w:pPr>
      <w:r>
        <w:rPr>
          <w:rFonts w:ascii="Arial" w:cs="Arial" w:eastAsia="Arial" w:hAnsi="Arial"/>
          <w:b/>
          <w:bCs/>
        </w:rPr>
        <w:t xml:space="preserve">6. Synthèse et plan d'action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Horizon</w:t>
            </w:r>
          </w:p>
        </w:tc>
        <w:tc>
          <w:tcPr>
            <w:tcW w:type="dxa" w:w="71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Court terme (Sprint 1-2)</w:t>
            </w:r>
          </w:p>
        </w:tc>
        <w:tc>
          <w:tcPr>
            <w:tcW w:type="dxa" w:w="71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Finaliser la matrice de compétences (US-75). Former Félix ou Mathieu aux bases de Node.js/Express. Documenter l'architecture backend.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Moyen terme (Jalons 2-3)</w:t>
            </w:r>
          </w:p>
        </w:tc>
        <w:tc>
          <w:tcPr>
            <w:tcW w:type="dxa" w:w="71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Répartir les endpoints CRUD simples vers les devs mobiles formés. Protéger le temps de Sayuri sur le backend. Planifier les US web promoteur en début de jalon.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bCs/>
                <w:color w:val="000000"/>
                <w:sz w:val="18"/>
                <w:szCs w:val="18"/>
              </w:rPr>
              <w:t xml:space="preserve">Long terme (Jalons 4+)</w:t>
            </w:r>
          </w:p>
        </w:tc>
        <w:tc>
          <w:tcPr>
            <w:tcW w:type="dxa" w:w="71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Évaluer la faisabilité de l'algorithme de recommandation avec la capacité réelle. Rechiffrer les US identifiées. Réévaluer le scope des jalons 5-7 (monétisation) en fonction de la vélocité observée.</w:t>
            </w:r>
          </w:p>
        </w:tc>
      </w:tr>
    </w:tbl>
    <w:p>
      <w:pPr>
        <w:spacing w:after="200" w:before="100"/>
      </w:pPr>
      <w:r>
        <w:rPr>
          <w:rFonts w:ascii="Arial" w:cs="Arial" w:eastAsia="Arial" w:hAnsi="Arial"/>
          <w:b w:val="false"/>
          <w:bCs w:val="false"/>
          <w:i w:val="false"/>
          <w:iCs w:val="false"/>
          <w:color w:val="000000"/>
          <w:sz w:val="22"/>
          <w:szCs w:val="22"/>
        </w:rPr>
        <w:t xml:space="preserve"/>
      </w:r>
    </w:p>
    <w:p>
      <w:pPr>
        <w:spacing w:after="100" w:before="100"/>
      </w:pPr>
      <w:r>
        <w:rPr>
          <w:rFonts w:ascii="Arial" w:cs="Arial" w:eastAsia="Arial" w:hAnsi="Arial"/>
          <w:b/>
          <w:bCs/>
          <w:i w:val="false"/>
          <w:iCs w:val="false"/>
          <w:color w:val="000000"/>
          <w:sz w:val="20"/>
          <w:szCs w:val="20"/>
        </w:rPr>
        <w:t xml:space="preserve">Conclusion : Le projet dispose d'une enveloppe globale confortable (164 j/h disponibles vs 64,5 j/h estimés), mais la répartition par domaine révèle un déséquilibre structurel majeur au niveau du backend. Sans action corrective, le backend deviendra le goulot d'étranglement qui retardera l'ensemble du projet, indépendamment de la marge globale disponible.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4E7E"/>
      <w:sz w:val="36"/>
      <w:szCs w:val="36"/>
    </w:rPr>
  </w:style>
  <w:style w:type="paragraph" w:styleId="Heading2">
    <w:name w:val="Heading 2"/>
    <w:basedOn w:val="Normal"/>
    <w:next w:val="Normal"/>
    <w:qFormat/>
    <w:pPr>
      <w:spacing w:after="2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2026-03-23T15:25:22.129Z</dcterms:created>
  <dcterms:modified xsi:type="dcterms:W3CDTF">2026-03-23T15:25:22.129Z</dcterms:modified>
</cp:coreProperties>
</file>

<file path=docProps/custom.xml><?xml version="1.0" encoding="utf-8"?>
<Properties xmlns="http://schemas.openxmlformats.org/officeDocument/2006/custom-properties" xmlns:vt="http://schemas.openxmlformats.org/officeDocument/2006/docPropsVTypes"/>
</file>