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Arial" w:cs="Arial" w:eastAsia="Arial" w:hAnsi="Arial"/>
          <w:b/>
          <w:bCs/>
        </w:rPr>
        <w:t xml:space="preserve">Plan d'action - VibeUp</w:t>
      </w:r>
    </w:p>
    <w:p>
      <w:pPr>
        <w:spacing w:after="300" w:before="80"/>
      </w:pPr>
      <w:r>
        <w:rPr>
          <w:rFonts w:ascii="Arial" w:cs="Arial" w:eastAsia="Arial" w:hAnsi="Arial"/>
          <w:b w:val="false"/>
          <w:bCs w:val="false"/>
          <w:i/>
          <w:iCs/>
          <w:color w:val="000000"/>
          <w:sz w:val="22"/>
          <w:szCs w:val="22"/>
        </w:rPr>
        <w:t xml:space="preserve">Recommandations concrètes pour rendre le backlog réalisable dans le contexte d'une équipe en apprentissage, avec arrivées de nouveaux membres aux jalons 3 et 5-6.</w:t>
      </w:r>
    </w:p>
    <w:p>
      <w:pPr>
        <w:pStyle w:val="Heading2"/>
        <w:spacing w:after="200" w:before="300"/>
      </w:pPr>
      <w:r>
        <w:rPr>
          <w:rFonts w:ascii="Arial" w:cs="Arial" w:eastAsia="Arial" w:hAnsi="Arial"/>
          <w:b/>
          <w:bCs/>
        </w:rPr>
        <w:t xml:space="preserve">1. Rappel du contexte</w:t>
      </w:r>
    </w:p>
    <w:p>
      <w:pPr>
        <w:spacing w:after="100" w:before="80"/>
      </w:pPr>
      <w:r>
        <w:rPr>
          <w:rFonts w:ascii="Arial" w:cs="Arial" w:eastAsia="Arial" w:hAnsi="Arial"/>
          <w:b w:val="false"/>
          <w:bCs w:val="false"/>
          <w:i w:val="false"/>
          <w:iCs w:val="false"/>
          <w:color w:val="000000"/>
          <w:sz w:val="20"/>
          <w:szCs w:val="20"/>
        </w:rPr>
        <w:t xml:space="preserve">Capacité totale : 205 j/h jusqu'à avril 2027, dont 164 j/h nets (20% de réserve). Charge backlog actuelle : 64,5 j/h. Équipe actuelle de 7 personnes avec des rôles cumulés (PO/dev, PM/dev, Tech Lead/dev). Arrivée de 1-2 membres au jalon 3, et potentiellement jusqu'à 3 membres supplémentaires au jalon 5-6. Ambition de déploiement réel de l'application.</w:t>
      </w:r>
    </w:p>
    <w:p>
      <w:pPr>
        <w:spacing w:after="200" w:before="80"/>
      </w:pPr>
      <w:r>
        <w:rPr>
          <w:rFonts w:ascii="Arial" w:cs="Arial" w:eastAsia="Arial" w:hAnsi="Arial"/>
          <w:b/>
          <w:bCs/>
          <w:i w:val="false"/>
          <w:iCs w:val="false"/>
          <w:color w:val="000000"/>
          <w:sz w:val="20"/>
          <w:szCs w:val="20"/>
        </w:rPr>
        <w:t xml:space="preserve">Le problème central identifié : le backend est à 161% de capacité (29,4 j/h de charge pour 18,3 j/h de capacité). L'équipe mobile est à 26% d'occupation. Ce déséquilibre structurel est le principal risque du projet.</w:t>
      </w:r>
    </w:p>
    <w:p>
      <w:pPr>
        <w:pStyle w:val="Heading2"/>
        <w:spacing w:after="200" w:before="300"/>
      </w:pPr>
      <w:r>
        <w:rPr>
          <w:rFonts w:ascii="Arial" w:cs="Arial" w:eastAsia="Arial" w:hAnsi="Arial"/>
          <w:b/>
          <w:bCs/>
        </w:rPr>
        <w:t xml:space="preserve">2. Actions immédiates (avant le jalon 2)</w:t>
      </w:r>
    </w:p>
    <w:p>
      <w:pPr>
        <w:pStyle w:val="ListParagraph"/>
        <w:numPr>
          <w:ilvl w:val="0"/>
          <w:numId w:val="2"/>
        </w:numPr>
        <w:spacing w:after="60" w:before="60"/>
      </w:pPr>
      <w:r>
        <w:rPr>
          <w:rFonts w:ascii="Arial" w:cs="Arial" w:eastAsia="Arial" w:hAnsi="Arial"/>
          <w:b/>
          <w:bCs/>
          <w:color w:val="000000"/>
          <w:sz w:val="20"/>
          <w:szCs w:val="20"/>
        </w:rPr>
        <w:t xml:space="preserve">Basculer Haifa à 100% Backend / Algo Feed</w:t>
      </w:r>
    </w:p>
    <w:p>
      <w:pPr>
        <w:spacing w:after="40" w:before="20"/>
      </w:pPr>
      <w:r>
        <w:rPr>
          <w:rFonts w:ascii="Arial" w:cs="Arial" w:eastAsia="Arial" w:hAnsi="Arial"/>
          <w:b w:val="false"/>
          <w:bCs w:val="false"/>
          <w:i w:val="false"/>
          <w:iCs w:val="false"/>
          <w:color w:val="000000"/>
          <w:sz w:val="20"/>
          <w:szCs w:val="20"/>
        </w:rPr>
        <w:t xml:space="preserve">La retirer de l'équipe mobile. L'impact sur le mobile est négligeable (taux passe de 26% à 30%), et ça donne à Haifa la possibilité de monter en compétence en continu sur le backend sans les context-switches. Ça sécurise aussi le binôme Sayuri/Haifa sur l'algorithme de recommandation, qui est le coeur de la valeur de VibeUp.</w:t>
      </w:r>
    </w:p>
    <w:p>
      <w:pPr>
        <w:pStyle w:val="ListParagraph"/>
        <w:numPr>
          <w:ilvl w:val="0"/>
          <w:numId w:val="2"/>
        </w:numPr>
        <w:spacing w:after="60" w:before="60"/>
      </w:pPr>
      <w:r>
        <w:rPr>
          <w:rFonts w:ascii="Arial" w:cs="Arial" w:eastAsia="Arial" w:hAnsi="Arial"/>
          <w:b/>
          <w:bCs/>
          <w:color w:val="000000"/>
          <w:sz w:val="20"/>
          <w:szCs w:val="20"/>
        </w:rPr>
        <w:t xml:space="preserve">Finaliser la matrice de compétences (US-75) en priorité absolue</w:t>
      </w:r>
    </w:p>
    <w:p>
      <w:pPr>
        <w:spacing w:after="40" w:before="20"/>
      </w:pPr>
      <w:r>
        <w:rPr>
          <w:rFonts w:ascii="Arial" w:cs="Arial" w:eastAsia="Arial" w:hAnsi="Arial"/>
          <w:b w:val="false"/>
          <w:bCs w:val="false"/>
          <w:i w:val="false"/>
          <w:iCs w:val="false"/>
          <w:color w:val="000000"/>
          <w:sz w:val="20"/>
          <w:szCs w:val="20"/>
        </w:rPr>
        <w:t xml:space="preserve">Cette US est encore "In Progress". Elle est pourtant le prérequis pour affecter intelligemment les nouveaux membres qui arrivent au jalon 3. Sans elle, vous allez onboarder à l'aveugle. Responsable : Gaël (PM). Deadline : avant la fin du jalon 1.</w:t>
      </w:r>
    </w:p>
    <w:p>
      <w:pPr>
        <w:pStyle w:val="ListParagraph"/>
        <w:numPr>
          <w:ilvl w:val="0"/>
          <w:numId w:val="2"/>
        </w:numPr>
        <w:spacing w:after="60" w:before="60"/>
      </w:pPr>
      <w:r>
        <w:rPr>
          <w:rFonts w:ascii="Arial" w:cs="Arial" w:eastAsia="Arial" w:hAnsi="Arial"/>
          <w:b/>
          <w:bCs/>
          <w:color w:val="000000"/>
          <w:sz w:val="20"/>
          <w:szCs w:val="20"/>
        </w:rPr>
        <w:t xml:space="preserve">Documenter l'architecture backend et le schéma BDD dès maintenant</w:t>
      </w:r>
    </w:p>
    <w:p>
      <w:pPr>
        <w:spacing w:after="40" w:before="20"/>
      </w:pPr>
      <w:r>
        <w:rPr>
          <w:rFonts w:ascii="Arial" w:cs="Arial" w:eastAsia="Arial" w:hAnsi="Arial"/>
          <w:b w:val="false"/>
          <w:bCs w:val="false"/>
          <w:i w:val="false"/>
          <w:iCs w:val="false"/>
          <w:color w:val="000000"/>
          <w:sz w:val="20"/>
          <w:szCs w:val="20"/>
        </w:rPr>
        <w:t xml:space="preserve">Sayuri doit poser noir sur blanc l'architecture API (routes, modèles, relations) et le schéma PostgreSQL/Supabase. C'est un investissement de 1-2 jours qui va permettre à Haifa d'être autonome plus vite, et surtout aux nouveaux membres du jalon 3 de contribuer au backend sans devoir tout apprendre oralement. Dans un contexte scolaire, c'est aussi un livrable qui a de la valeur pédagogique.</w:t>
      </w:r>
    </w:p>
    <w:p>
      <w:pPr>
        <w:pStyle w:val="ListParagraph"/>
        <w:numPr>
          <w:ilvl w:val="0"/>
          <w:numId w:val="2"/>
        </w:numPr>
        <w:spacing w:after="60" w:before="60"/>
      </w:pPr>
      <w:r>
        <w:rPr>
          <w:rFonts w:ascii="Arial" w:cs="Arial" w:eastAsia="Arial" w:hAnsi="Arial"/>
          <w:b/>
          <w:bCs/>
          <w:color w:val="000000"/>
          <w:sz w:val="20"/>
          <w:szCs w:val="20"/>
        </w:rPr>
        <w:t xml:space="preserve">Définir les contrats d'API (endpoints, payloads) avant de coder</w:t>
      </w:r>
    </w:p>
    <w:p>
      <w:pPr>
        <w:spacing w:after="200" w:before="20"/>
      </w:pPr>
      <w:r>
        <w:rPr>
          <w:rFonts w:ascii="Arial" w:cs="Arial" w:eastAsia="Arial" w:hAnsi="Arial"/>
          <w:b w:val="false"/>
          <w:bCs w:val="false"/>
          <w:i w:val="false"/>
          <w:iCs w:val="false"/>
          <w:color w:val="000000"/>
          <w:sz w:val="20"/>
          <w:szCs w:val="20"/>
        </w:rPr>
        <w:t xml:space="preserve">Permettre au mobile et au web de travailler en parallèle du backend avec des mocks. Franck (Tech Lead) et Sayuri définissent ensemble les interfaces API. L'équipe mobile peut ainsi commencer l'intégration avec des données fictives sans attendre que le backend soit prêt. C'est la seule façon de déparalleliser le travail et d'éviter que le backend devienne un bloqueur pour tout le monde.</w:t>
      </w:r>
    </w:p>
    <w:p>
      <w:r>
        <w:br w:type="page"/>
      </w:r>
    </w:p>
    <w:p>
      <w:pPr>
        <w:pStyle w:val="Heading2"/>
        <w:spacing w:after="200" w:before="300"/>
      </w:pPr>
      <w:r>
        <w:rPr>
          <w:rFonts w:ascii="Arial" w:cs="Arial" w:eastAsia="Arial" w:hAnsi="Arial"/>
          <w:b/>
          <w:bCs/>
        </w:rPr>
        <w:t xml:space="preserve">3. Onboarding des nouveaux membres (Jalon 3)</w:t>
      </w:r>
    </w:p>
    <w:p>
      <w:pPr>
        <w:spacing w:after="100" w:before="80"/>
      </w:pPr>
      <w:r>
        <w:rPr>
          <w:rFonts w:ascii="Arial" w:cs="Arial" w:eastAsia="Arial" w:hAnsi="Arial"/>
          <w:b w:val="false"/>
          <w:bCs w:val="false"/>
          <w:i w:val="false"/>
          <w:iCs w:val="false"/>
          <w:color w:val="000000"/>
          <w:sz w:val="20"/>
          <w:szCs w:val="20"/>
        </w:rPr>
        <w:t xml:space="preserve">C'est LE moment charnière du projet. Le jalon 3 concentre 15,5 j/h de charge dont 7,1 j/h de backend. Si les nouveaux arrivent sans préparation, ils vont consommer du temps d'encadrement à Sayuri et Franck sans produire pendant 2-3 sprints.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c>
          <w:tcPr>
            <w:tcW w:type="dxa" w:w="9638"/>
            <w:gridSpan w:val="3"/>
            <w:tcBorders>
              <w:top w:val="single" w:color="AAAAAA" w:sz="1"/>
              <w:left w:val="single" w:color="AAAAAA" w:sz="1"/>
              <w:bottom w:val="single" w:color="AAAAAA" w:sz="1"/>
              <w:right w:val="single" w:color="AAAAAA" w:sz="1"/>
            </w:tcBorders>
            <w:shd w:fill="1A4E7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Stratégie d'affectation des nouveaux membres (Jalon 3)</w:t>
            </w:r>
          </w:p>
        </w:tc>
      </w:tr>
      <w:tr>
        <w:tc>
          <w:tcPr>
            <w:tcW w:type="dxa" w:w="24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Scénario</w:t>
            </w:r>
          </w:p>
        </w:tc>
        <w:tc>
          <w:tcPr>
            <w:tcW w:type="dxa" w:w="36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Affectation recommandée</w:t>
            </w:r>
          </w:p>
        </w:tc>
        <w:tc>
          <w:tcPr>
            <w:tcW w:type="dxa" w:w="36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Justification</w:t>
            </w:r>
          </w:p>
        </w:tc>
      </w:tr>
      <w:tr>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1 nouveau membre</w:t>
            </w:r>
          </w:p>
        </w:tc>
        <w:tc>
          <w:tcPr>
            <w:tcW w:type="dxa" w:w="3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L'affecter au backend sous la supervision de Haifa.</w:t>
            </w:r>
          </w:p>
          <w:p>
            <w:pPr>
              <w:spacing w:after="20" w:before="20"/>
            </w:pPr>
            <w:r>
              <w:rPr>
                <w:rFonts w:ascii="Arial" w:cs="Arial" w:eastAsia="Arial" w:hAnsi="Arial"/>
                <w:b w:val="false"/>
                <w:bCs w:val="false"/>
                <w:color w:val="000000"/>
                <w:sz w:val="18"/>
                <w:szCs w:val="18"/>
              </w:rPr>
              <w:t xml:space="preserve">Profil idéal : quelqu'un à l'aise avec Node.js ou le SQL.</w:t>
            </w:r>
          </w:p>
          <w:p>
            <w:pPr>
              <w:spacing w:after="20" w:before="20"/>
            </w:pPr>
            <w:r>
              <w:rPr>
                <w:rFonts w:ascii="Arial" w:cs="Arial" w:eastAsia="Arial" w:hAnsi="Arial"/>
                <w:b w:val="false"/>
                <w:bCs w:val="false"/>
                <w:color w:val="000000"/>
                <w:sz w:val="18"/>
                <w:szCs w:val="18"/>
              </w:rPr>
              <w:t xml:space="preserve">À défaut : quelqu'un motivé à apprendre.</w:t>
            </w:r>
          </w:p>
        </w:tc>
        <w:tc>
          <w:tcPr>
            <w:tcW w:type="dxa" w:w="36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Le backend est le goulot. Chaque j/h gagné ici débloque le mobile et le web.</w:t>
            </w:r>
          </w:p>
          <w:p>
            <w:pPr>
              <w:spacing w:after="20" w:before="20"/>
            </w:pPr>
            <w:r>
              <w:rPr>
                <w:rFonts w:ascii="Arial" w:cs="Arial" w:eastAsia="Arial" w:hAnsi="Arial"/>
                <w:b w:val="false"/>
                <w:bCs w:val="false"/>
                <w:color w:val="000000"/>
                <w:sz w:val="18"/>
                <w:szCs w:val="18"/>
              </w:rPr>
              <w:t xml:space="preserve">Haifa (et non Sayuri) encadre, pour ne pas surcharger davantage la PO.</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2 nouveaux membres</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1er membre : backend (idem ci-dessus).</w:t>
            </w:r>
          </w:p>
          <w:p>
            <w:pPr>
              <w:spacing w:after="20" w:before="20"/>
            </w:pPr>
            <w:r>
              <w:rPr>
                <w:rFonts w:ascii="Arial" w:cs="Arial" w:eastAsia="Arial" w:hAnsi="Arial"/>
                <w:b w:val="false"/>
                <w:bCs w:val="false"/>
                <w:color w:val="000000"/>
                <w:sz w:val="18"/>
                <w:szCs w:val="18"/>
              </w:rPr>
              <w:t xml:space="preserve">2e membre : web (React/TypeScript), sous supervision de Franck.</w:t>
            </w:r>
          </w:p>
          <w:p>
            <w:pPr>
              <w:spacing w:after="20" w:before="20"/>
            </w:pPr>
            <w:r>
              <w:rPr>
                <w:rFonts w:ascii="Arial" w:cs="Arial" w:eastAsia="Arial" w:hAnsi="Arial"/>
                <w:b w:val="false"/>
                <w:bCs w:val="false"/>
                <w:color w:val="000000"/>
                <w:sz w:val="18"/>
                <w:szCs w:val="18"/>
              </w:rPr>
              <w:t xml:space="preserve">Les interfaces admin/promoteur du jalon 3 (US-62, US-63, US-74) sont un bon terrain d'apprentissage.</w:t>
            </w:r>
          </w:p>
        </w:tc>
        <w:tc>
          <w:tcPr>
            <w:tcW w:type="dxa" w:w="36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Ça soulage les deux goulots identifiés (backend + web).</w:t>
            </w:r>
          </w:p>
          <w:p>
            <w:pPr>
              <w:spacing w:after="20" w:before="20"/>
            </w:pPr>
            <w:r>
              <w:rPr>
                <w:rFonts w:ascii="Arial" w:cs="Arial" w:eastAsia="Arial" w:hAnsi="Arial"/>
                <w:b w:val="false"/>
                <w:bCs w:val="false"/>
                <w:color w:val="000000"/>
                <w:sz w:val="18"/>
                <w:szCs w:val="18"/>
              </w:rPr>
              <w:t xml:space="preserve">Les US admin sont des CRUD avec formulaires, parfaites pour un onboarding progressif.</w:t>
            </w:r>
          </w:p>
          <w:p>
            <w:pPr>
              <w:spacing w:after="20" w:before="20"/>
            </w:pPr>
            <w:r>
              <w:rPr>
                <w:rFonts w:ascii="Arial" w:cs="Arial" w:eastAsia="Arial" w:hAnsi="Arial"/>
                <w:b w:val="false"/>
                <w:bCs w:val="false"/>
                <w:color w:val="000000"/>
                <w:sz w:val="18"/>
                <w:szCs w:val="18"/>
              </w:rPr>
              <w:t xml:space="preserve">Gaël est ainsi libéré pour se concentrer sur le PM.</w:t>
            </w:r>
          </w:p>
        </w:tc>
      </w:tr>
    </w:tbl>
    <w:p>
      <w:pPr>
        <w:spacing w:after="100" w:before="80"/>
      </w:pPr>
      <w:r>
        <w:rPr>
          <w:rFonts w:ascii="Arial" w:cs="Arial" w:eastAsia="Arial" w:hAnsi="Arial"/>
          <w:b w:val="false"/>
          <w:bCs w:val="false"/>
          <w:i w:val="false"/>
          <w:iCs w:val="false"/>
          <w:color w:val="000000"/>
          <w:sz w:val="20"/>
          <w:szCs w:val="20"/>
        </w:rPr>
        <w:t xml:space="preserve"/>
      </w:r>
    </w:p>
    <w:p>
      <w:pPr>
        <w:spacing w:after="50" w:before="80"/>
      </w:pPr>
      <w:r>
        <w:rPr>
          <w:rFonts w:ascii="Arial" w:cs="Arial" w:eastAsia="Arial" w:hAnsi="Arial"/>
          <w:b/>
          <w:bCs/>
          <w:i w:val="false"/>
          <w:iCs w:val="false"/>
          <w:color w:val="000000"/>
          <w:sz w:val="22"/>
          <w:szCs w:val="22"/>
        </w:rPr>
        <w:t xml:space="preserve">Préparer en amont pour les nouveaux :</w:t>
      </w:r>
    </w:p>
    <w:p>
      <w:pPr>
        <w:pStyle w:val="ListParagraph"/>
        <w:numPr>
          <w:ilvl w:val="0"/>
          <w:numId w:val="3"/>
        </w:numPr>
        <w:spacing w:after="60" w:before="60"/>
      </w:pPr>
      <w:r>
        <w:rPr>
          <w:rFonts w:ascii="Arial" w:cs="Arial" w:eastAsia="Arial" w:hAnsi="Arial"/>
          <w:b w:val="false"/>
          <w:bCs w:val="false"/>
          <w:color w:val="000000"/>
          <w:sz w:val="20"/>
          <w:szCs w:val="20"/>
        </w:rPr>
        <w:t xml:space="preserve">Un README de setup du projet (Docker Compose, variables d'env, accès Supabase dev) - à la charge de Timoty</w:t>
      </w:r>
    </w:p>
    <w:p>
      <w:pPr>
        <w:pStyle w:val="ListParagraph"/>
        <w:numPr>
          <w:ilvl w:val="0"/>
          <w:numId w:val="3"/>
        </w:numPr>
        <w:spacing w:after="60" w:before="60"/>
      </w:pPr>
      <w:r>
        <w:rPr>
          <w:rFonts w:ascii="Arial" w:cs="Arial" w:eastAsia="Arial" w:hAnsi="Arial"/>
          <w:b w:val="false"/>
          <w:bCs w:val="false"/>
          <w:color w:val="000000"/>
          <w:sz w:val="20"/>
          <w:szCs w:val="20"/>
        </w:rPr>
        <w:t xml:space="preserve">Un guide de contribution (conventions Git, process de PR, Definition of Done) - déjà couvert par l'US-6</w:t>
      </w:r>
    </w:p>
    <w:p>
      <w:pPr>
        <w:pStyle w:val="ListParagraph"/>
        <w:numPr>
          <w:ilvl w:val="0"/>
          <w:numId w:val="3"/>
        </w:numPr>
        <w:spacing w:after="60" w:before="60"/>
      </w:pPr>
      <w:r>
        <w:rPr>
          <w:rFonts w:ascii="Arial" w:cs="Arial" w:eastAsia="Arial" w:hAnsi="Arial"/>
          <w:b w:val="false"/>
          <w:bCs w:val="false"/>
          <w:color w:val="000000"/>
          <w:sz w:val="20"/>
          <w:szCs w:val="20"/>
        </w:rPr>
        <w:t xml:space="preserve">2-3 US "first ticket" identifiées à l'avance : des tâches simples, bien documentées, qui permettent de faire un premier commit sans risque (par exemple : un endpoint GET simple ou une page admin basique)</w:t>
      </w:r>
    </w:p>
    <w:p>
      <w:pPr>
        <w:pStyle w:val="ListParagraph"/>
        <w:numPr>
          <w:ilvl w:val="0"/>
          <w:numId w:val="3"/>
        </w:numPr>
        <w:spacing w:after="60" w:before="60"/>
      </w:pPr>
      <w:r>
        <w:rPr>
          <w:rFonts w:ascii="Arial" w:cs="Arial" w:eastAsia="Arial" w:hAnsi="Arial"/>
          <w:b w:val="false"/>
          <w:bCs w:val="false"/>
          <w:color w:val="000000"/>
          <w:sz w:val="20"/>
          <w:szCs w:val="20"/>
        </w:rPr>
        <w:t xml:space="preserve">Un binôme de parrainage : chaque nouveau est parrainé par un membre existant (pas Sayuri, elle est déjà surchargée)</w:t>
      </w:r>
    </w:p>
    <w:p>
      <w:r>
        <w:br w:type="page"/>
      </w:r>
    </w:p>
    <w:p>
      <w:pPr>
        <w:pStyle w:val="Heading2"/>
        <w:spacing w:after="200" w:before="300"/>
      </w:pPr>
      <w:r>
        <w:rPr>
          <w:rFonts w:ascii="Arial" w:cs="Arial" w:eastAsia="Arial" w:hAnsi="Arial"/>
          <w:b/>
          <w:bCs/>
        </w:rPr>
        <w:t xml:space="preserve">4. Réorganisation du backlog</w:t>
      </w:r>
    </w:p>
    <w:p>
      <w:pPr>
        <w:spacing w:after="150" w:before="80"/>
      </w:pPr>
      <w:r>
        <w:rPr>
          <w:rFonts w:ascii="Arial" w:cs="Arial" w:eastAsia="Arial" w:hAnsi="Arial"/>
          <w:b w:val="false"/>
          <w:bCs w:val="false"/>
          <w:i w:val="false"/>
          <w:iCs w:val="false"/>
          <w:color w:val="000000"/>
          <w:sz w:val="20"/>
          <w:szCs w:val="20"/>
        </w:rPr>
        <w:t xml:space="preserve">Trois ajustements pour rendre la charge réaliste :</w:t>
      </w:r>
    </w:p>
    <w:p>
      <w:pPr>
        <w:spacing w:after="50" w:before="80"/>
      </w:pPr>
      <w:r>
        <w:rPr>
          <w:rFonts w:ascii="Arial" w:cs="Arial" w:eastAsia="Arial" w:hAnsi="Arial"/>
          <w:b/>
          <w:bCs/>
          <w:i w:val="false"/>
          <w:iCs w:val="false"/>
          <w:color w:val="000000"/>
          <w:sz w:val="22"/>
          <w:szCs w:val="22"/>
        </w:rPr>
        <w:t xml:space="preserve">4.1 Reporter les US de monétisation au-delà du jalon 7 (ou dans un backlog séparé)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1200"/>
        <w:gridCol w:w="1200"/>
        <w:gridCol w:w="1238"/>
      </w:tblGrid>
      <w:tr>
        <w:tc>
          <w:tcPr>
            <w:tcW w:type="dxa" w:w="1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US</w:t>
            </w:r>
          </w:p>
        </w:tc>
        <w:tc>
          <w:tcPr>
            <w:tcW w:type="dxa" w:w="5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Charge BE</w:t>
            </w:r>
          </w:p>
        </w:tc>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Jalon actuel</w:t>
            </w:r>
          </w:p>
        </w:tc>
        <w:tc>
          <w:tcPr>
            <w:tcW w:type="dxa" w:w="12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US-69</w:t>
            </w:r>
          </w:p>
        </w:tc>
        <w:tc>
          <w:tcPr>
            <w:tcW w:type="dxa" w:w="5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Achat de tickets in-app</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1.0 j/h</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1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Reporter</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US-70</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Commission affiliée sur tickets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2.0 j/h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1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Reporter</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US-71</w:t>
            </w:r>
          </w:p>
        </w:tc>
        <w:tc>
          <w:tcPr>
            <w:tcW w:type="dxa" w:w="5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Partenariats événements</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0.5 j/h</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1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Reporter</w:t>
            </w:r>
          </w:p>
        </w:tc>
      </w:tr>
      <w:tr>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US-72</w:t>
            </w:r>
          </w:p>
        </w:tc>
        <w:tc>
          <w:tcPr>
            <w:tcW w:type="dxa" w:w="5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Posts sponsorisés</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0.5 j/h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1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Reporter</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US-73</w:t>
            </w:r>
          </w:p>
        </w:tc>
        <w:tc>
          <w:tcPr>
            <w:tcW w:type="dxa" w:w="5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Mise en avant payante</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0.25 j/h</w:t>
            </w:r>
          </w:p>
        </w:tc>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1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Reporter</w:t>
            </w:r>
          </w:p>
        </w:tc>
      </w:tr>
      <w:tr>
        <w:tc>
          <w:tcPr>
            <w:tcW w:type="dxa" w:w="1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TOTAL</w:t>
            </w:r>
          </w:p>
        </w:tc>
        <w:tc>
          <w:tcPr>
            <w:tcW w:type="dxa" w:w="5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1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4.2 j/h</w:t>
            </w:r>
          </w:p>
        </w:tc>
        <w:tc>
          <w:tcPr>
            <w:tcW w:type="dxa" w:w="12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
            </w:r>
          </w:p>
        </w:tc>
        <w:tc>
          <w:tcPr>
            <w:tcW w:type="dxa" w:w="1238"/>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
            </w:r>
          </w:p>
        </w:tc>
      </w:tr>
    </w:tbl>
    <w:p>
      <w:pPr>
        <w:spacing w:after="150" w:before="80"/>
      </w:pPr>
      <w:r>
        <w:rPr>
          <w:rFonts w:ascii="Arial" w:cs="Arial" w:eastAsia="Arial" w:hAnsi="Arial"/>
          <w:b w:val="false"/>
          <w:bCs w:val="false"/>
          <w:i w:val="false"/>
          <w:iCs w:val="false"/>
          <w:color w:val="000000"/>
          <w:sz w:val="20"/>
          <w:szCs w:val="20"/>
        </w:rPr>
        <w:t xml:space="preserve">Ces fonctionnalités ne sont pas nécessaires au lancement. La monétisation viendra naturellement une fois que la base utilisateurs existe. En les reportant, vous libérez 4,2 j/h de backend et vous permettez à l'équipe de se concentrer sur le produit qui attire les utilisateurs.</w:t>
      </w:r>
    </w:p>
    <w:p>
      <w:pPr>
        <w:spacing w:after="50" w:before="80"/>
      </w:pPr>
      <w:r>
        <w:rPr>
          <w:rFonts w:ascii="Arial" w:cs="Arial" w:eastAsia="Arial" w:hAnsi="Arial"/>
          <w:b/>
          <w:bCs/>
          <w:i w:val="false"/>
          <w:iCs w:val="false"/>
          <w:color w:val="000000"/>
          <w:sz w:val="22"/>
          <w:szCs w:val="22"/>
        </w:rPr>
        <w:t xml:space="preserve">4.2 Mutualiser les US de filtrage en un seul "moteur de filtrage"</w:t>
      </w:r>
    </w:p>
    <w:p>
      <w:pPr>
        <w:spacing w:after="150" w:before="80"/>
      </w:pPr>
      <w:r>
        <w:rPr>
          <w:rFonts w:ascii="Arial" w:cs="Arial" w:eastAsia="Arial" w:hAnsi="Arial"/>
          <w:b w:val="false"/>
          <w:bCs w:val="false"/>
          <w:i w:val="false"/>
          <w:iCs w:val="false"/>
          <w:color w:val="000000"/>
          <w:sz w:val="20"/>
          <w:szCs w:val="20"/>
        </w:rPr>
        <w:t xml:space="preserve">Les US-22, US-33, US-34, US-35, US-36 et US-37 sont chiffrées individuellement à 0,5 j/h chacune. Mais elles partagent toutes la même logique backend : une API de recherche avec filtres combinables. Plutôt que 6 US indépendantes, concevoir un seul endpoint de recherche paramétrique (vibe, distance, prix, date, mots-clés) dès le départ. C'est un investissement initial un peu plus lourd (2-3 j/h au lieu de 6 x 0,25 = 1,5 j/h de backend) mais ça évite de refactorer 6 fois le même code et ça donne un résultat bien plus robuste.</w:t>
      </w:r>
    </w:p>
    <w:p>
      <w:pPr>
        <w:spacing w:after="50" w:before="80"/>
      </w:pPr>
      <w:r>
        <w:rPr>
          <w:rFonts w:ascii="Arial" w:cs="Arial" w:eastAsia="Arial" w:hAnsi="Arial"/>
          <w:b/>
          <w:bCs/>
          <w:i w:val="false"/>
          <w:iCs w:val="false"/>
          <w:color w:val="000000"/>
          <w:sz w:val="22"/>
          <w:szCs w:val="22"/>
        </w:rPr>
        <w:t xml:space="preserve">4.3 Identifier et prioriser les US qui débloquent les 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638"/>
      </w:tblGrid>
      <w:tr>
        <w:tc>
          <w:tcPr>
            <w:tcW w:type="dxa" w:w="1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US</w:t>
            </w:r>
          </w:p>
        </w:tc>
        <w:tc>
          <w:tcPr>
            <w:tcW w:type="dxa" w:w="4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Ce qu'elle débloque</w:t>
            </w:r>
          </w:p>
        </w:tc>
        <w:tc>
          <w:tcPr>
            <w:tcW w:type="dxa" w:w="46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Pourquoi la prioriser</w:t>
            </w:r>
          </w:p>
        </w:tc>
      </w:tr>
      <w:tr>
        <w:tc>
          <w:tcPr>
            <w:tcW w:type="dxa" w:w="10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US-32</w:t>
            </w:r>
          </w:p>
        </w:tc>
        <w:tc>
          <w:tcPr>
            <w:tcW w:type="dxa" w:w="40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Authentification : débloque TOUTES les US qui nécessitent un utilisateur connecté (like, save, follow, profil, notifications)</w:t>
            </w:r>
          </w:p>
        </w:tc>
        <w:tc>
          <w:tcPr>
            <w:tcW w:type="dxa" w:w="4638"/>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Sans auth, 80% du backlog est bloqué. Doit être la première US fonctionnelle du jalon 3. Utiliser Supabase Auth pour accélérer.</w:t>
            </w:r>
          </w:p>
        </w:tc>
      </w:tr>
      <w:tr>
        <w:tc>
          <w:tcPr>
            <w:tcW w:type="dxa" w:w="1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US-52</w:t>
            </w:r>
          </w:p>
        </w:tc>
        <w:tc>
          <w:tcPr>
            <w:tcW w:type="dxa" w:w="4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Création d'événement : sans événements en BDD, impossible de tester le feed, la map, les filtres, les interactions</w:t>
            </w:r>
          </w:p>
        </w:tc>
        <w:tc>
          <w:tcPr>
            <w:tcW w:type="dxa" w:w="46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Doit être livrée au jalon 2 comme prévu. Même une version simplifiée suffit pour alimenter les tests.</w:t>
            </w:r>
          </w:p>
        </w:tc>
      </w:tr>
      <w:tr>
        <w:tc>
          <w:tcPr>
            <w:tcW w:type="dxa" w:w="1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US-74</w:t>
            </w:r>
          </w:p>
        </w:tc>
        <w:tc>
          <w:tcPr>
            <w:tcW w:type="dxa" w:w="4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Inscription promoteur : sans promoteurs, pas d'événements, pas de feed</w:t>
            </w:r>
          </w:p>
        </w:tc>
        <w:tc>
          <w:tcPr>
            <w:tcW w:type="dxa" w:w="46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Peut être simplifiée au jalon 3 (création directe par admin) puis enrichie après.</w:t>
            </w:r>
          </w:p>
        </w:tc>
      </w:tr>
      <w:tr>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bCs/>
                <w:i w:val="false"/>
                <w:iCs w:val="false"/>
                <w:color w:val="000000"/>
                <w:sz w:val="18"/>
                <w:szCs w:val="18"/>
              </w:rPr>
              <w:t xml:space="preserve">US-11</w:t>
            </w:r>
          </w:p>
        </w:tc>
        <w:tc>
          <w:tcPr>
            <w:tcW w:type="dxa" w:w="4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Algorithme de recommandation : débloque US-16 (feed personnalisé), coeur de la proposition de valeur</w:t>
            </w:r>
          </w:p>
        </w:tc>
        <w:tc>
          <w:tcPr>
            <w:tcW w:type="dxa" w:w="46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Commencer par une V1 simple (tri par proximité + préférences) au jalon 3-4 puis itérer. Ne pas attendre le jalon 4 pour commencer la réflexion.</w:t>
            </w:r>
          </w:p>
        </w:tc>
      </w:tr>
    </w:tbl>
    <w:p>
      <w:r>
        <w:br w:type="page"/>
      </w:r>
    </w:p>
    <w:p>
      <w:pPr>
        <w:pStyle w:val="Heading2"/>
        <w:spacing w:after="200" w:before="300"/>
      </w:pPr>
      <w:r>
        <w:rPr>
          <w:rFonts w:ascii="Arial" w:cs="Arial" w:eastAsia="Arial" w:hAnsi="Arial"/>
          <w:b/>
          <w:bCs/>
        </w:rPr>
        <w:t xml:space="preserve">5. Renforts au jalon 5-6 (jusqu'à 3 membres)</w:t>
      </w:r>
    </w:p>
    <w:p>
      <w:pPr>
        <w:spacing w:after="100" w:before="80"/>
      </w:pPr>
      <w:r>
        <w:rPr>
          <w:rFonts w:ascii="Arial" w:cs="Arial" w:eastAsia="Arial" w:hAnsi="Arial"/>
          <w:b w:val="false"/>
          <w:bCs w:val="false"/>
          <w:i w:val="false"/>
          <w:iCs w:val="false"/>
          <w:color w:val="000000"/>
          <w:sz w:val="20"/>
          <w:szCs w:val="20"/>
        </w:rPr>
        <w:t xml:space="preserve">Au jalon 5-6, le produit devrait être fonctionnel avec le coeur de l'expérience utilisateur en place (feed, map, filtres, auth, algo V1). Les renforts doivent servir à deux choses : préparer le déploiement réel et enrichir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c>
          <w:tcPr>
            <w:tcW w:type="dxa" w:w="9638"/>
            <w:gridSpan w:val="3"/>
            <w:tcBorders>
              <w:top w:val="single" w:color="AAAAAA" w:sz="1"/>
              <w:left w:val="single" w:color="AAAAAA" w:sz="1"/>
              <w:bottom w:val="single" w:color="AAAAAA" w:sz="1"/>
              <w:right w:val="single" w:color="AAAAAA" w:sz="1"/>
            </w:tcBorders>
            <w:shd w:fill="1A4E7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Affectation recommandée des renforts (Jalon 5-6)</w:t>
            </w:r>
          </w:p>
        </w:tc>
      </w:tr>
      <w:tr>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Profil</w:t>
            </w:r>
          </w:p>
        </w:tc>
        <w:tc>
          <w:tcPr>
            <w:tcW w:type="dxa" w:w="38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Missions</w:t>
            </w:r>
          </w:p>
        </w:tc>
        <w:tc>
          <w:tcPr>
            <w:tcW w:type="dxa" w:w="38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 concernées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1 Dev Backend</w:t>
            </w:r>
          </w:p>
        </w:tc>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Notifications (US-48, 49, 50, 51) : système transverse, idéal pour un profil backend.</w:t>
            </w:r>
          </w:p>
          <w:p>
            <w:pPr>
              <w:spacing w:after="20" w:before="20"/>
            </w:pPr>
            <w:r>
              <w:rPr>
                <w:rFonts w:ascii="Arial" w:cs="Arial" w:eastAsia="Arial" w:hAnsi="Arial"/>
                <w:b w:val="false"/>
                <w:bCs w:val="false"/>
                <w:color w:val="000000"/>
                <w:sz w:val="18"/>
                <w:szCs w:val="18"/>
              </w:rPr>
              <w:t xml:space="preserve">Publication programmée (US-54).</w:t>
            </w:r>
          </w:p>
          <w:p>
            <w:pPr>
              <w:spacing w:after="20" w:before="20"/>
            </w:pPr>
            <w:r>
              <w:rPr>
                <w:rFonts w:ascii="Arial" w:cs="Arial" w:eastAsia="Arial" w:hAnsi="Arial"/>
                <w:b w:val="false"/>
                <w:bCs w:val="false"/>
                <w:color w:val="000000"/>
                <w:sz w:val="18"/>
                <w:szCs w:val="18"/>
              </w:rPr>
              <w:t xml:space="preserve">Support sur les endpoints restants.</w:t>
            </w:r>
          </w:p>
        </w:tc>
        <w:tc>
          <w:tcPr>
            <w:tcW w:type="dxa" w:w="38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US-48, US-49, US-50, US-51, US-54</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1 Dev Web/Fullstack</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Métriques promoteur (US-58) : tableau de bord, data viz.</w:t>
            </w:r>
          </w:p>
          <w:p>
            <w:pPr>
              <w:spacing w:after="20" w:before="20"/>
            </w:pPr>
            <w:r>
              <w:rPr>
                <w:rFonts w:ascii="Arial" w:cs="Arial" w:eastAsia="Arial" w:hAnsi="Arial"/>
                <w:b w:val="false"/>
                <w:bCs w:val="false"/>
                <w:color w:val="000000"/>
                <w:sz w:val="18"/>
                <w:szCs w:val="18"/>
              </w:rPr>
              <w:t xml:space="preserve">Statistiques admin (US-66) si non fait au jalon 4.</w:t>
            </w:r>
          </w:p>
          <w:p>
            <w:pPr>
              <w:spacing w:after="20" w:before="20"/>
            </w:pPr>
            <w:r>
              <w:rPr>
                <w:rFonts w:ascii="Arial" w:cs="Arial" w:eastAsia="Arial" w:hAnsi="Arial"/>
                <w:b w:val="false"/>
                <w:bCs w:val="false"/>
                <w:color w:val="000000"/>
                <w:sz w:val="18"/>
                <w:szCs w:val="18"/>
              </w:rPr>
              <w:t xml:space="preserve">Pages de gestion avancées.</w:t>
            </w:r>
          </w:p>
        </w:tc>
        <w:tc>
          <w:tcPr>
            <w:tcW w:type="dxa" w:w="383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US-58, US-66, US-59</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1 Dev Mobile ou QA</w:t>
            </w:r>
          </w:p>
        </w:tc>
        <w:tc>
          <w:tcPr>
            <w:tcW w:type="dxa" w:w="3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pPr>
            <w:r>
              <w:rPr>
                <w:rFonts w:ascii="Arial" w:cs="Arial" w:eastAsia="Arial" w:hAnsi="Arial"/>
                <w:b w:val="false"/>
                <w:bCs w:val="false"/>
                <w:color w:val="000000"/>
                <w:sz w:val="18"/>
                <w:szCs w:val="18"/>
              </w:rPr>
              <w:t xml:space="preserve">Si mobile : prendre les US d'enrichissement (stories US-17, commentaires US-25, partage US-26).</w:t>
            </w:r>
          </w:p>
          <w:p>
            <w:pPr>
              <w:spacing w:after="20" w:before="20"/>
            </w:pPr>
            <w:r>
              <w:rPr>
                <w:rFonts w:ascii="Arial" w:cs="Arial" w:eastAsia="Arial" w:hAnsi="Arial"/>
                <w:b w:val="false"/>
                <w:bCs w:val="false"/>
                <w:color w:val="000000"/>
                <w:sz w:val="18"/>
                <w:szCs w:val="18"/>
              </w:rPr>
              <w:t xml:space="preserve">Si QA : renforcer Timoty sur les tests end-to-end avant le déploiement réel. Écrire les tests de non-régression.</w:t>
            </w:r>
          </w:p>
          <w:p>
            <w:pPr>
              <w:spacing w:after="20" w:before="20"/>
            </w:pPr>
            <w:r>
              <w:rPr>
                <w:rFonts w:ascii="Arial" w:cs="Arial" w:eastAsia="Arial" w:hAnsi="Arial"/>
                <w:b w:val="false"/>
                <w:bCs w:val="false"/>
                <w:color w:val="000000"/>
                <w:sz w:val="18"/>
                <w:szCs w:val="18"/>
              </w:rPr>
              <w:t xml:space="preserve">Dans un contexte scolaire, un profil QA a autant de valeur pédagogique qu'un dev.</w:t>
            </w:r>
          </w:p>
        </w:tc>
        <w:tc>
          <w:tcPr>
            <w:tcW w:type="dxa" w:w="38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US-17, US-25, US-26 ou tests E2E</w:t>
            </w:r>
          </w:p>
        </w:tc>
      </w:tr>
    </w:tbl>
    <w:p>
      <w:pPr>
        <w:spacing w:after="100" w:before="80"/>
      </w:pPr>
      <w:r>
        <w:rPr>
          <w:rFonts w:ascii="Arial" w:cs="Arial" w:eastAsia="Arial" w:hAnsi="Arial"/>
          <w:b w:val="false"/>
          <w:bCs w:val="false"/>
          <w:i w:val="false"/>
          <w:iCs w:val="false"/>
          <w:color w:val="000000"/>
          <w:sz w:val="20"/>
          <w:szCs w:val="20"/>
        </w:rPr>
        <w:t xml:space="preserve"/>
      </w:r>
    </w:p>
    <w:p>
      <w:pPr>
        <w:pStyle w:val="Heading2"/>
        <w:spacing w:after="200" w:before="300"/>
      </w:pPr>
      <w:r>
        <w:rPr>
          <w:rFonts w:ascii="Arial" w:cs="Arial" w:eastAsia="Arial" w:hAnsi="Arial"/>
          <w:b/>
          <w:bCs/>
        </w:rPr>
        <w:t xml:space="preserve">6. Recommandations spécifiques au contexte scolaire</w:t>
      </w:r>
    </w:p>
    <w:p>
      <w:pPr>
        <w:pStyle w:val="ListParagraph"/>
        <w:numPr>
          <w:ilvl w:val="0"/>
          <w:numId w:val="2"/>
        </w:numPr>
        <w:spacing w:after="60" w:before="60"/>
      </w:pPr>
      <w:r>
        <w:rPr>
          <w:rFonts w:ascii="Arial" w:cs="Arial" w:eastAsia="Arial" w:hAnsi="Arial"/>
          <w:b/>
          <w:bCs/>
          <w:color w:val="000000"/>
          <w:sz w:val="20"/>
          <w:szCs w:val="20"/>
        </w:rPr>
        <w:t xml:space="preserve">Accepter qu'on ne livrera pas tout, et l'assumer dans les livrables</w:t>
      </w:r>
    </w:p>
    <w:p>
      <w:pPr>
        <w:spacing w:after="60" w:before="20"/>
      </w:pPr>
      <w:r>
        <w:rPr>
          <w:rFonts w:ascii="Arial" w:cs="Arial" w:eastAsia="Arial" w:hAnsi="Arial"/>
          <w:b w:val="false"/>
          <w:bCs w:val="false"/>
          <w:i w:val="false"/>
          <w:iCs w:val="false"/>
          <w:color w:val="000000"/>
          <w:sz w:val="20"/>
          <w:szCs w:val="20"/>
        </w:rPr>
        <w:t xml:space="preserve">Un backlog de 75 US avec 7 développeurs en apprentissage, c'est ambitieux. Les correcteurs valorisent davantage une démarche rigoureuse (priorisation, arbitrages documentés, vélocité mesurée) qu'un produit fini à 100%. Documenter explicitement ce qui a été reporté et pourquoi est un signe de maturité projet.</w:t>
      </w:r>
    </w:p>
    <w:p>
      <w:pPr>
        <w:pStyle w:val="ListParagraph"/>
        <w:numPr>
          <w:ilvl w:val="0"/>
          <w:numId w:val="2"/>
        </w:numPr>
        <w:spacing w:after="60" w:before="60"/>
      </w:pPr>
      <w:r>
        <w:rPr>
          <w:rFonts w:ascii="Arial" w:cs="Arial" w:eastAsia="Arial" w:hAnsi="Arial"/>
          <w:b/>
          <w:bCs/>
          <w:color w:val="000000"/>
          <w:sz w:val="20"/>
          <w:szCs w:val="20"/>
        </w:rPr>
        <w:t xml:space="preserve">Mesurer la vélocité réelle dès le sprint 1 et ajuster</w:t>
      </w:r>
    </w:p>
    <w:p>
      <w:pPr>
        <w:spacing w:after="60" w:before="20"/>
      </w:pPr>
      <w:r>
        <w:rPr>
          <w:rFonts w:ascii="Arial" w:cs="Arial" w:eastAsia="Arial" w:hAnsi="Arial"/>
          <w:b w:val="false"/>
          <w:bCs w:val="false"/>
          <w:i w:val="false"/>
          <w:iCs w:val="false"/>
          <w:color w:val="000000"/>
          <w:sz w:val="20"/>
          <w:szCs w:val="20"/>
        </w:rPr>
        <w:t xml:space="preserve">Les chiffrages actuels sont des estimations. La vélocité réelle se mesurera après 2-3 sprints. Prévoir un point de recalibrage formel après le jalon 2 : comparer prévu vs réalisé, ajuster les estimations des jalons suivants. C'est de la gestion de projet appliquée, et c'est exactement ce qu'un cursus attend.</w:t>
      </w:r>
    </w:p>
    <w:p>
      <w:pPr>
        <w:pStyle w:val="ListParagraph"/>
        <w:numPr>
          <w:ilvl w:val="0"/>
          <w:numId w:val="2"/>
        </w:numPr>
        <w:spacing w:after="60" w:before="60"/>
      </w:pPr>
      <w:r>
        <w:rPr>
          <w:rFonts w:ascii="Arial" w:cs="Arial" w:eastAsia="Arial" w:hAnsi="Arial"/>
          <w:b/>
          <w:bCs/>
          <w:color w:val="000000"/>
          <w:sz w:val="20"/>
          <w:szCs w:val="20"/>
        </w:rPr>
        <w:t xml:space="preserve">Utiliser les rôles cumulés comme force, pas comme faiblesse</w:t>
      </w:r>
    </w:p>
    <w:p>
      <w:pPr>
        <w:spacing w:after="60" w:before="20"/>
      </w:pPr>
      <w:r>
        <w:rPr>
          <w:rFonts w:ascii="Arial" w:cs="Arial" w:eastAsia="Arial" w:hAnsi="Arial"/>
          <w:b w:val="false"/>
          <w:bCs w:val="false"/>
          <w:i w:val="false"/>
          <w:iCs w:val="false"/>
          <w:color w:val="000000"/>
          <w:sz w:val="20"/>
          <w:szCs w:val="20"/>
        </w:rPr>
        <w:t xml:space="preserve">Le fait que Sayuri soit PO et dev, que Gaël soit PM et dev, c'est réaliste dans une startup. Les fiches de postes sont bien faites, les KPIs sont définis. Le risque est que ces rôles deviennent une excuse pour ne pas coder. Fixer un minimum de temps dev par sprint pour chaque personne à rôle cumulé (ex : Sayuri = minimum 2,5 j de dev par sprint de 5 jours).</w:t>
      </w:r>
    </w:p>
    <w:p>
      <w:pPr>
        <w:pStyle w:val="ListParagraph"/>
        <w:numPr>
          <w:ilvl w:val="0"/>
          <w:numId w:val="2"/>
        </w:numPr>
        <w:spacing w:after="60" w:before="60"/>
      </w:pPr>
      <w:r>
        <w:rPr>
          <w:rFonts w:ascii="Arial" w:cs="Arial" w:eastAsia="Arial" w:hAnsi="Arial"/>
          <w:b/>
          <w:bCs/>
          <w:color w:val="000000"/>
          <w:sz w:val="20"/>
          <w:szCs w:val="20"/>
        </w:rPr>
        <w:t xml:space="preserve">Le déploiement réel est un atout majeur, le sécuriser</w:t>
      </w:r>
    </w:p>
    <w:p>
      <w:pPr>
        <w:spacing w:after="60" w:before="20"/>
      </w:pPr>
      <w:r>
        <w:rPr>
          <w:rFonts w:ascii="Arial" w:cs="Arial" w:eastAsia="Arial" w:hAnsi="Arial"/>
          <w:b w:val="false"/>
          <w:bCs w:val="false"/>
          <w:i w:val="false"/>
          <w:iCs w:val="false"/>
          <w:color w:val="000000"/>
          <w:sz w:val="20"/>
          <w:szCs w:val="20"/>
        </w:rPr>
        <w:t xml:space="preserve">Le fait que Timoty travaille sur un vrai déploiement Kubernetes est un différenciant fort. Mais attention : le déploiement ne doit pas être un side-project silencieux. Intégrer des US de déploiement/infra explicites dans le backlog (CI/CD pipeline, environnement de staging, monitoring) pour rendre ce travail visible et chiffré. Si l'app tourne vraiment en production, c'est un argument extrêmement puissant pour votre projet.</w:t>
      </w:r>
    </w:p>
    <w:p>
      <w:pPr>
        <w:pStyle w:val="ListParagraph"/>
        <w:numPr>
          <w:ilvl w:val="0"/>
          <w:numId w:val="2"/>
        </w:numPr>
        <w:spacing w:after="60" w:before="60"/>
      </w:pPr>
      <w:r>
        <w:rPr>
          <w:rFonts w:ascii="Arial" w:cs="Arial" w:eastAsia="Arial" w:hAnsi="Arial"/>
          <w:b/>
          <w:bCs/>
          <w:color w:val="000000"/>
          <w:sz w:val="20"/>
          <w:szCs w:val="20"/>
        </w:rPr>
        <w:t xml:space="preserve">Préparer l'onboarding des nouveaux comme un vrai processus</w:t>
      </w:r>
    </w:p>
    <w:p>
      <w:pPr>
        <w:spacing w:after="60" w:before="20"/>
      </w:pPr>
      <w:r>
        <w:rPr>
          <w:rFonts w:ascii="Arial" w:cs="Arial" w:eastAsia="Arial" w:hAnsi="Arial"/>
          <w:b w:val="false"/>
          <w:bCs w:val="false"/>
          <w:i w:val="false"/>
          <w:iCs w:val="false"/>
          <w:color w:val="000000"/>
          <w:sz w:val="20"/>
          <w:szCs w:val="20"/>
        </w:rPr>
        <w:t xml:space="preserve">En école, les nouveaux membres arrivent souvent sans contexte. Le temps perdu en onboarding est du temps de sprint perdu. Prévoir un "kit d'onboarding" (README, guide de contribution, architecture technique, 2-3 tickets faciles) AVANT leur arrivée. Responsable : Gaël (PM) avec le support de Timoty (DevOps) pour le setup technique.</w:t>
      </w:r>
    </w:p>
    <w:p>
      <w:r>
        <w:br w:type="page"/>
      </w:r>
    </w:p>
    <w:p>
      <w:pPr>
        <w:pStyle w:val="Heading2"/>
        <w:spacing w:after="200" w:before="300"/>
      </w:pPr>
      <w:r>
        <w:rPr>
          <w:rFonts w:ascii="Arial" w:cs="Arial" w:eastAsia="Arial" w:hAnsi="Arial"/>
          <w:b/>
          <w:bCs/>
        </w:rPr>
        <w:t xml:space="preserve">7. Synthèse des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00"/>
        <w:gridCol w:w="2238"/>
      </w:tblGrid>
      <w:tr>
        <w:tc>
          <w:tcPr>
            <w:tcW w:type="dxa" w:w="1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t>
            </w:r>
          </w:p>
        </w:tc>
        <w:tc>
          <w:tcPr>
            <w:tcW w:type="dxa" w:w="42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Action</w:t>
            </w:r>
          </w:p>
        </w:tc>
        <w:tc>
          <w:tcPr>
            <w:tcW w:type="dxa" w:w="2000"/>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Responsable</w:t>
            </w:r>
          </w:p>
        </w:tc>
        <w:tc>
          <w:tcPr>
            <w:tcW w:type="dxa" w:w="2238"/>
            <w:tcBorders>
              <w:top w:val="single" w:color="AAAAAA" w:sz="1"/>
              <w:left w:val="single" w:color="AAAAAA" w:sz="1"/>
              <w:bottom w:val="single" w:color="AAAAAA" w:sz="1"/>
              <w:right w:val="single" w:color="AAAAAA" w:sz="1"/>
            </w:tcBorders>
            <w:shd w:fill="2E75B6" w:val="clear"/>
            <w:tcMar>
              <w:top w:type="dxa" w:w="60"/>
              <w:left w:type="dxa" w:w="100"/>
              <w:bottom w:type="dxa" w:w="60"/>
              <w:right w:type="dxa" w:w="100"/>
            </w:tcMar>
          </w:tcPr>
          <w:p>
            <w:pPr>
              <w:jc w:val="left"/>
            </w:pPr>
            <w:r>
              <w:rPr>
                <w:rFonts w:ascii="Arial" w:cs="Arial" w:eastAsia="Arial" w:hAnsi="Arial"/>
                <w:b/>
                <w:bCs/>
                <w:color w:val="FFFFFF"/>
                <w:sz w:val="18"/>
                <w:szCs w:val="18"/>
              </w:rPr>
              <w:t xml:space="preserve">Échéance</w:t>
            </w:r>
          </w:p>
        </w:tc>
      </w:tr>
      <w:tr>
        <w:tc>
          <w:tcPr>
            <w:tcW w:type="dxa" w:w="12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1</w:t>
            </w:r>
          </w:p>
        </w:tc>
        <w:tc>
          <w:tcPr>
            <w:tcW w:type="dxa" w:w="42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Basculer Haifa à 100% Backend/Algo</w:t>
            </w:r>
          </w:p>
        </w:tc>
        <w:tc>
          <w:tcPr>
            <w:tcW w:type="dxa" w:w="20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Gaël (PM) + Franck</w:t>
            </w:r>
          </w:p>
        </w:tc>
        <w:tc>
          <w:tcPr>
            <w:tcW w:type="dxa" w:w="2238"/>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Immédiat</w:t>
            </w:r>
          </w:p>
        </w:tc>
      </w:tr>
      <w:tr>
        <w:tc>
          <w:tcPr>
            <w:tcW w:type="dxa" w:w="12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2</w:t>
            </w:r>
          </w:p>
        </w:tc>
        <w:tc>
          <w:tcPr>
            <w:tcW w:type="dxa" w:w="42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Finaliser la matrice de compétences (US-75)</w:t>
            </w:r>
          </w:p>
        </w:tc>
        <w:tc>
          <w:tcPr>
            <w:tcW w:type="dxa" w:w="2000"/>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Gaël (PM)</w:t>
            </w:r>
          </w:p>
        </w:tc>
        <w:tc>
          <w:tcPr>
            <w:tcW w:type="dxa" w:w="2238"/>
            <w:tcBorders>
              <w:top w:val="single" w:color="AAAAAA" w:sz="1"/>
              <w:left w:val="single" w:color="AAAAAA" w:sz="1"/>
              <w:bottom w:val="single" w:color="AAAAAA" w:sz="1"/>
              <w:right w:val="single" w:color="AAAAAA" w:sz="1"/>
            </w:tcBorders>
            <w:shd w:fill="FDECEA"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Avant fin jalon 1</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3</w:t>
            </w:r>
          </w:p>
        </w:tc>
        <w:tc>
          <w:tcPr>
            <w:tcW w:type="dxa" w:w="4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Documenter architecture backend + schéma BDD</w:t>
            </w:r>
          </w:p>
        </w:tc>
        <w:tc>
          <w:tcPr>
            <w:tcW w:type="dxa" w:w="2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Sayuri</w:t>
            </w:r>
          </w:p>
        </w:tc>
        <w:tc>
          <w:tcPr>
            <w:tcW w:type="dxa" w:w="2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Avant jalon 2</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4</w:t>
            </w:r>
          </w:p>
        </w:tc>
        <w:tc>
          <w:tcPr>
            <w:tcW w:type="dxa" w:w="4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Définir les contrats d'API (Swagger/OpenAPI)</w:t>
            </w:r>
          </w:p>
        </w:tc>
        <w:tc>
          <w:tcPr>
            <w:tcW w:type="dxa" w:w="2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Sayuri + Franck</w:t>
            </w:r>
          </w:p>
        </w:tc>
        <w:tc>
          <w:tcPr>
            <w:tcW w:type="dxa" w:w="2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Début jalon 2</w:t>
            </w:r>
          </w:p>
        </w:tc>
      </w:tr>
      <w:tr>
        <w:tc>
          <w:tcPr>
            <w:tcW w:type="dxa" w:w="1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5</w:t>
            </w:r>
          </w:p>
        </w:tc>
        <w:tc>
          <w:tcPr>
            <w:tcW w:type="dxa" w:w="42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Reporter les US de monétisation (US-69 à 73)</w:t>
            </w:r>
          </w:p>
        </w:tc>
        <w:tc>
          <w:tcPr>
            <w:tcW w:type="dxa" w:w="2000"/>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Sayuri (PO) + Gaël</w:t>
            </w:r>
          </w:p>
        </w:tc>
        <w:tc>
          <w:tcPr>
            <w:tcW w:type="dxa" w:w="2238"/>
            <w:tcBorders>
              <w:top w:val="single" w:color="AAAAAA" w:sz="1"/>
              <w:left w:val="single" w:color="AAAAAA" w:sz="1"/>
              <w:bottom w:val="single" w:color="AAAAAA" w:sz="1"/>
              <w:right w:val="single" w:color="AAAAAA" w:sz="1"/>
            </w:tcBorders>
            <w:shd w:fill="FFF3CD"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Sprint planning J5</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6</w:t>
            </w:r>
          </w:p>
        </w:tc>
        <w:tc>
          <w:tcPr>
            <w:tcW w:type="dxa" w:w="4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Préparer le kit d'onboarding nouveaux membres</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Gaël + Timoty</w:t>
            </w:r>
          </w:p>
        </w:tc>
        <w:tc>
          <w:tcPr>
            <w:tcW w:type="dxa" w:w="22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2 semaines avant J3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7</w:t>
            </w:r>
          </w:p>
        </w:tc>
        <w:tc>
          <w:tcPr>
            <w:tcW w:type="dxa" w:w="4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Affecter le(s) nouveau(x) membre(s) J3 : priorité backend puis web</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Gaël + Franck</w:t>
            </w:r>
          </w:p>
        </w:tc>
        <w:tc>
          <w:tcPr>
            <w:tcW w:type="dxa" w:w="22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Début jalon 3</w:t>
            </w:r>
          </w:p>
        </w:tc>
      </w:tr>
      <w:tr>
        <w:tc>
          <w:tcPr>
            <w:tcW w:type="dxa" w:w="1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8</w:t>
            </w:r>
          </w:p>
        </w:tc>
        <w:tc>
          <w:tcPr>
            <w:tcW w:type="dxa" w:w="4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Point de recalibrage vélocité (prévu vs réalisé)</w:t>
            </w:r>
          </w:p>
        </w:tc>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Gaël (PM)</w:t>
            </w:r>
          </w:p>
        </w:tc>
        <w:tc>
          <w:tcPr>
            <w:tcW w:type="dxa" w:w="2238"/>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Fin jalon 2</w:t>
            </w:r>
          </w:p>
        </w:tc>
      </w:tr>
      <w:tr>
        <w:tc>
          <w:tcPr>
            <w:tcW w:type="dxa" w:w="12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9</w:t>
            </w:r>
          </w:p>
        </w:tc>
        <w:tc>
          <w:tcPr>
            <w:tcW w:type="dxa" w:w="42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Concevoir le moteur de filtrage unifié (US-22/33-37)</w:t>
            </w:r>
          </w:p>
        </w:tc>
        <w:tc>
          <w:tcPr>
            <w:tcW w:type="dxa" w:w="2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Sayuri + Haifa</w:t>
            </w:r>
          </w:p>
        </w:tc>
        <w:tc>
          <w:tcPr>
            <w:tcW w:type="dxa" w:w="2238"/>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Jalon 3-4</w:t>
            </w:r>
          </w:p>
        </w:tc>
      </w:tr>
      <w:tr>
        <w:tc>
          <w:tcPr>
            <w:tcW w:type="dxa" w:w="12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center"/>
            </w:pPr>
            <w:r>
              <w:rPr>
                <w:rFonts w:ascii="Arial" w:cs="Arial" w:eastAsia="Arial" w:hAnsi="Arial"/>
                <w:b w:val="false"/>
                <w:bCs w:val="false"/>
                <w:i w:val="false"/>
                <w:iCs w:val="false"/>
                <w:color w:val="000000"/>
                <w:sz w:val="18"/>
                <w:szCs w:val="18"/>
              </w:rPr>
              <w:t xml:space="preserve">10</w:t>
            </w:r>
          </w:p>
        </w:tc>
        <w:tc>
          <w:tcPr>
            <w:tcW w:type="dxa" w:w="42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Ajouter des US infra/déploiement au backlog</w:t>
            </w:r>
          </w:p>
        </w:tc>
        <w:tc>
          <w:tcPr>
            <w:tcW w:type="dxa" w:w="2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val="false"/>
                <w:bCs w:val="false"/>
                <w:i w:val="false"/>
                <w:iCs w:val="false"/>
                <w:color w:val="000000"/>
                <w:sz w:val="18"/>
                <w:szCs w:val="18"/>
              </w:rPr>
              <w:t xml:space="preserve">Timoty + Gaël</w:t>
            </w:r>
          </w:p>
        </w:tc>
        <w:tc>
          <w:tcPr>
            <w:tcW w:type="dxa" w:w="2238"/>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pPr>
              <w:spacing w:after="20" w:before="20"/>
              <w:jc w:val="left"/>
            </w:pPr>
            <w:r>
              <w:rPr>
                <w:rFonts w:ascii="Arial" w:cs="Arial" w:eastAsia="Arial" w:hAnsi="Arial"/>
                <w:b/>
                <w:bCs/>
                <w:i w:val="false"/>
                <w:iCs w:val="false"/>
                <w:color w:val="000000"/>
                <w:sz w:val="18"/>
                <w:szCs w:val="18"/>
              </w:rPr>
              <w:t xml:space="preserve">Jalon 3</w:t>
            </w:r>
          </w:p>
        </w:tc>
      </w:tr>
    </w:tbl>
    <w:p>
      <w:pPr>
        <w:spacing w:after="100" w:before="80"/>
      </w:pPr>
      <w:r>
        <w:rPr>
          <w:rFonts w:ascii="Arial" w:cs="Arial" w:eastAsia="Arial" w:hAnsi="Arial"/>
          <w:b w:val="false"/>
          <w:bCs w:val="false"/>
          <w:i w:val="false"/>
          <w:iCs w:val="false"/>
          <w:color w:val="000000"/>
          <w:sz w:val="20"/>
          <w:szCs w:val="20"/>
        </w:rPr>
        <w:t xml:space="preserve"/>
      </w:r>
    </w:p>
    <w:p>
      <w:pPr>
        <w:spacing w:after="80" w:before="80"/>
      </w:pPr>
      <w:r>
        <w:rPr>
          <w:rFonts w:ascii="Arial" w:cs="Arial" w:eastAsia="Arial" w:hAnsi="Arial"/>
          <w:b w:val="false"/>
          <w:bCs w:val="false"/>
          <w:i/>
          <w:iCs/>
          <w:color w:val="666666"/>
          <w:sz w:val="18"/>
          <w:szCs w:val="18"/>
        </w:rPr>
        <w:t xml:space="preserve">Légende : Rouge = urgent/bloquant, Orange = important/structurant, Bleu = amélioration, Vert = optimisation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4E7E"/>
      <w:sz w:val="36"/>
      <w:szCs w:val="36"/>
    </w:rPr>
  </w:style>
  <w:style w:type="paragraph" w:styleId="Heading2">
    <w:name w:val="Heading 2"/>
    <w:basedOn w:val="Normal"/>
    <w:next w:val="Normal"/>
    <w:qFormat/>
    <w:pPr>
      <w:spacing w:after="2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2026-03-23T15:46:39.971Z</dcterms:created>
  <dcterms:modified xsi:type="dcterms:W3CDTF">2026-03-23T15:46:39.972Z</dcterms:modified>
</cp:coreProperties>
</file>

<file path=docProps/custom.xml><?xml version="1.0" encoding="utf-8"?>
<Properties xmlns="http://schemas.openxmlformats.org/officeDocument/2006/custom-properties" xmlns:vt="http://schemas.openxmlformats.org/officeDocument/2006/docPropsVTypes"/>
</file>