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Reporte de Calidad de Datos: Fases 1 y 2</w:t>
      </w:r>
    </w:p>
    <w:p>
      <w:pPr>
        <w:spacing w:after="0"/>
        <w:jc w:val="center"/>
      </w:pPr>
      <w:r>
        <w:rPr>
          <w:b/>
          <w:i w:val="0"/>
          <w:sz w:val="22"/>
        </w:rPr>
        <w:t>Proyecto Integrador: Pipeline ETL Robusto con Zona de Cuarentena</w:t>
      </w:r>
    </w:p>
    <w:p>
      <w:pPr>
        <w:spacing w:after="0"/>
        <w:jc w:val="center"/>
      </w:pPr>
      <w:r>
        <w:rPr>
          <w:b w:val="0"/>
          <w:i w:val="0"/>
          <w:sz w:val="18"/>
        </w:rPr>
        <w:t>Ingeniería de Datos (ATD-2602) | Unidad 2 | TecNM Campus Colima | Semestre Ago-Dic 2026</w:t>
      </w:r>
    </w:p>
    <w:p>
      <w:pPr>
        <w:spacing w:after="160"/>
        <w:jc w:val="center"/>
      </w:pPr>
      <w:r>
        <w:rPr>
          <w:b w:val="0"/>
          <w:i w:val="0"/>
          <w:sz w:val="18"/>
        </w:rPr>
        <w:t>Rol: Ingeniero/a 1 (Calidad, Nulos y Outliers) | Alcance de este reporte: Fase 1 (Diagnóstico) y Fase 2 (Faltantes e imputación)</w:t>
      </w:r>
    </w:p>
    <w:p>
      <w:pPr>
        <w:pStyle w:val="Heading1"/>
      </w:pPr>
      <w:r>
        <w:t>1. Resumen ejecutivo</w:t>
      </w:r>
    </w:p>
    <w:p>
      <w:pPr>
        <w:spacing w:after="80"/>
      </w:pPr>
      <w:r>
        <w:rPr>
          <w:b w:val="0"/>
          <w:i w:val="0"/>
        </w:rPr>
        <w:t>Se perfilaron las 6 fuentes crudas (ambos dominios: Grupo 1 Retail y Grupo 2 Fintech) y se trataron los datos faltantes de las 4 tablas transaccionales. Los catálogos maestros solo se diagnosticaron (no tienen faltantes ni duplicados). Los outliers, fechas, moneda, huérfanos y validaciones quedan intactos para las Fases 3 a 7.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736"/>
        <w:gridCol w:w="1152"/>
        <w:gridCol w:w="1368"/>
        <w:gridCol w:w="1368"/>
        <w:gridCol w:w="1584"/>
        <w:gridCol w:w="1584"/>
      </w:tblGrid>
      <w:tr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Fuente</w:t>
            </w:r>
          </w:p>
        </w:tc>
        <w:tc>
          <w:tcPr>
            <w:tcW w:type="dxa" w:w="115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Filas crudas</w:t>
            </w:r>
          </w:p>
        </w:tc>
        <w:tc>
          <w:tcPr>
            <w:tcW w:type="dxa" w:w="136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Duplicados exactos</w:t>
            </w:r>
          </w:p>
        </w:tc>
        <w:tc>
          <w:tcPr>
            <w:tcW w:type="dxa" w:w="136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Filas tras dedup.</w:t>
            </w:r>
          </w:p>
        </w:tc>
        <w:tc>
          <w:tcPr>
            <w:tcW w:type="dxa" w:w="158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Celdas faltantes (antes)</w:t>
            </w:r>
          </w:p>
        </w:tc>
        <w:tc>
          <w:tcPr>
            <w:tcW w:type="dxa" w:w="158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Celdas faltantes (después)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ventas_tienda_fisica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7"/>
              </w:rPr>
              <w:t>620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7"/>
              </w:rPr>
              <w:t>600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sz w:val="17"/>
              </w:rPr>
              <w:t>159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ventas_online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7"/>
              </w:rPr>
              <w:t>600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7"/>
              </w:rPr>
              <w:t>600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sz w:val="17"/>
              </w:rPr>
              <w:t>97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transacciones_atm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7"/>
              </w:rPr>
              <w:t>620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7"/>
              </w:rPr>
              <w:t>600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sz w:val="17"/>
              </w:rPr>
              <w:t>71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transferencias_digitales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7"/>
              </w:rPr>
              <w:t>600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7"/>
              </w:rPr>
              <w:t>600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sz w:val="17"/>
              </w:rPr>
              <w:t>16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sz w:val="17"/>
              </w:rPr>
              <w:t>0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sz w:val="17"/>
        </w:rPr>
        <w:t>Nota: "celdas faltantes" cuenta nulos reales y vacíos ocultos (texto vacío "") de todas las columnas de la fuente. El "antes" incluye los duplicados; el "después" ya está sin ellos.</w:t>
      </w:r>
    </w:p>
    <w:p>
      <w:pPr>
        <w:pStyle w:val="Heading1"/>
      </w:pPr>
      <w:r>
        <w:t>2. Fase 1: Diagnóstico de calidad inicial (datos crudos)</w:t>
      </w:r>
    </w:p>
    <w:p>
      <w:pPr>
        <w:spacing w:after="80"/>
      </w:pPr>
      <w:r>
        <w:rPr>
          <w:b w:val="0"/>
          <w:i w:val="0"/>
        </w:rPr>
        <w:t>Perfilado cuantitativo previo a cualquier transformación: completitud (% de faltantes por columna), unicidad (duplicados exactos) y tipos inferidos (dtypes). Se contaron aparte los vacíos ocultos: celdas con texto vacío ("") que pandas no detecta como nulo (aparecen en los correos de ventas_online y transferencias_digitales).</w:t>
      </w:r>
    </w:p>
    <w:p>
      <w:pPr>
        <w:pStyle w:val="Heading3"/>
      </w:pPr>
      <w:r>
        <w:t>catalogo_productos.csv  (50 filas x 6 columnas | duplicados exactos: 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48"/>
        <w:gridCol w:w="2160"/>
        <w:gridCol w:w="1224"/>
        <w:gridCol w:w="1368"/>
        <w:gridCol w:w="1224"/>
        <w:gridCol w:w="1368"/>
      </w:tblGrid>
      <w:tr>
        <w:tc>
          <w:tcPr>
            <w:tcW w:type="dxa" w:w="244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Tipo inferido</w:t>
            </w:r>
          </w:p>
        </w:tc>
        <w:tc>
          <w:tcPr>
            <w:tcW w:type="dxa" w:w="12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Nulos reales</w:t>
            </w:r>
          </w:p>
        </w:tc>
        <w:tc>
          <w:tcPr>
            <w:tcW w:type="dxa" w:w="136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Vacíos ocultos</w:t>
            </w:r>
          </w:p>
        </w:tc>
        <w:tc>
          <w:tcPr>
            <w:tcW w:type="dxa" w:w="12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% faltante</w:t>
            </w:r>
          </w:p>
        </w:tc>
        <w:tc>
          <w:tcPr>
            <w:tcW w:type="dxa" w:w="136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Valores únicos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id_producto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str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50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nombre_producto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str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50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categoria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str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6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precio_base_mxn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float64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50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stock_minimo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int64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29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str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4</w:t>
            </w:r>
          </w:p>
        </w:tc>
      </w:tr>
    </w:tbl>
    <w:p>
      <w:pPr>
        <w:spacing w:after="40"/>
      </w:pPr>
    </w:p>
    <w:p>
      <w:pPr>
        <w:pStyle w:val="Heading3"/>
      </w:pPr>
      <w:r>
        <w:t>ventas_tienda_fisica.csv  (620 filas x 9 columnas | duplicados exactos: 20)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48"/>
        <w:gridCol w:w="2160"/>
        <w:gridCol w:w="1224"/>
        <w:gridCol w:w="1368"/>
        <w:gridCol w:w="1224"/>
        <w:gridCol w:w="1368"/>
      </w:tblGrid>
      <w:tr>
        <w:tc>
          <w:tcPr>
            <w:tcW w:type="dxa" w:w="244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Tipo inferido</w:t>
            </w:r>
          </w:p>
        </w:tc>
        <w:tc>
          <w:tcPr>
            <w:tcW w:type="dxa" w:w="12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Nulos reales</w:t>
            </w:r>
          </w:p>
        </w:tc>
        <w:tc>
          <w:tcPr>
            <w:tcW w:type="dxa" w:w="136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Vacíos ocultos</w:t>
            </w:r>
          </w:p>
        </w:tc>
        <w:tc>
          <w:tcPr>
            <w:tcW w:type="dxa" w:w="12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% faltante</w:t>
            </w:r>
          </w:p>
        </w:tc>
        <w:tc>
          <w:tcPr>
            <w:tcW w:type="dxa" w:w="136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Valores únicos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id_ticket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str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600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fecha_venta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str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135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sucursal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str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4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id_producto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str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72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int64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9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precio_unitario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float64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51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monto_total_mxn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float64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32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5.16%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240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id_cliente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str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127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20.48%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183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metodo_pago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str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6</w:t>
            </w:r>
          </w:p>
        </w:tc>
      </w:tr>
    </w:tbl>
    <w:p>
      <w:pPr>
        <w:spacing w:after="40"/>
      </w:pPr>
    </w:p>
    <w:p>
      <w:pPr>
        <w:pStyle w:val="Heading3"/>
      </w:pPr>
      <w:r>
        <w:t>ventas_online.json  (600 filas x 11 columnas | duplicados exactos: 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48"/>
        <w:gridCol w:w="2160"/>
        <w:gridCol w:w="1224"/>
        <w:gridCol w:w="1368"/>
        <w:gridCol w:w="1224"/>
        <w:gridCol w:w="1368"/>
      </w:tblGrid>
      <w:tr>
        <w:tc>
          <w:tcPr>
            <w:tcW w:type="dxa" w:w="244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Tipo inferido</w:t>
            </w:r>
          </w:p>
        </w:tc>
        <w:tc>
          <w:tcPr>
            <w:tcW w:type="dxa" w:w="12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Nulos reales</w:t>
            </w:r>
          </w:p>
        </w:tc>
        <w:tc>
          <w:tcPr>
            <w:tcW w:type="dxa" w:w="136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Vacíos ocultos</w:t>
            </w:r>
          </w:p>
        </w:tc>
        <w:tc>
          <w:tcPr>
            <w:tcW w:type="dxa" w:w="12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% faltante</w:t>
            </w:r>
          </w:p>
        </w:tc>
        <w:tc>
          <w:tcPr>
            <w:tcW w:type="dxa" w:w="136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Valores únicos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order_id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str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600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order_timestamp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mixto (int/str)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598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product_id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str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80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units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int64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currency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str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2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unit_price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float64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102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total_amount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float64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237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customer_email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str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3.33%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547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shipping_address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str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77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12.83%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522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order_status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str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6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payment_gateway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str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4</w:t>
            </w:r>
          </w:p>
        </w:tc>
      </w:tr>
    </w:tbl>
    <w:p>
      <w:pPr>
        <w:spacing w:after="40"/>
      </w:pPr>
    </w:p>
    <w:p>
      <w:pPr>
        <w:pStyle w:val="Heading3"/>
      </w:pPr>
      <w:r>
        <w:t>catalogo_cuentas.csv  (50 filas x 6 columnas | duplicados exactos: 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48"/>
        <w:gridCol w:w="2160"/>
        <w:gridCol w:w="1224"/>
        <w:gridCol w:w="1368"/>
        <w:gridCol w:w="1224"/>
        <w:gridCol w:w="1368"/>
      </w:tblGrid>
      <w:tr>
        <w:tc>
          <w:tcPr>
            <w:tcW w:type="dxa" w:w="244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Tipo inferido</w:t>
            </w:r>
          </w:p>
        </w:tc>
        <w:tc>
          <w:tcPr>
            <w:tcW w:type="dxa" w:w="12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Nulos reales</w:t>
            </w:r>
          </w:p>
        </w:tc>
        <w:tc>
          <w:tcPr>
            <w:tcW w:type="dxa" w:w="136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Vacíos ocultos</w:t>
            </w:r>
          </w:p>
        </w:tc>
        <w:tc>
          <w:tcPr>
            <w:tcW w:type="dxa" w:w="12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% faltante</w:t>
            </w:r>
          </w:p>
        </w:tc>
        <w:tc>
          <w:tcPr>
            <w:tcW w:type="dxa" w:w="136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Valores únicos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id_cuenta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str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50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titular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str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49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tipo_cuenta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str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5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limite_credito_mxn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float64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5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fecha_apertura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str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50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estado_cuenta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str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</w:tr>
    </w:tbl>
    <w:p>
      <w:pPr>
        <w:spacing w:after="40"/>
      </w:pPr>
    </w:p>
    <w:p>
      <w:pPr>
        <w:pStyle w:val="Heading3"/>
      </w:pPr>
      <w:r>
        <w:t>transacciones_atm.csv  (620 filas x 8 columnas | duplicados exactos: 20)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48"/>
        <w:gridCol w:w="2160"/>
        <w:gridCol w:w="1224"/>
        <w:gridCol w:w="1368"/>
        <w:gridCol w:w="1224"/>
        <w:gridCol w:w="1368"/>
      </w:tblGrid>
      <w:tr>
        <w:tc>
          <w:tcPr>
            <w:tcW w:type="dxa" w:w="244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Tipo inferido</w:t>
            </w:r>
          </w:p>
        </w:tc>
        <w:tc>
          <w:tcPr>
            <w:tcW w:type="dxa" w:w="12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Nulos reales</w:t>
            </w:r>
          </w:p>
        </w:tc>
        <w:tc>
          <w:tcPr>
            <w:tcW w:type="dxa" w:w="136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Vacíos ocultos</w:t>
            </w:r>
          </w:p>
        </w:tc>
        <w:tc>
          <w:tcPr>
            <w:tcW w:type="dxa" w:w="12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% faltante</w:t>
            </w:r>
          </w:p>
        </w:tc>
        <w:tc>
          <w:tcPr>
            <w:tcW w:type="dxa" w:w="136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Valores únicos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id_transaccion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str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600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fecha_hora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str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600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id_cuenta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str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82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tipo_operacion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str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4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monto_mxn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float64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27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4.35%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14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id_cajero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str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44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7.10%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5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resultado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str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4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comision_aplicada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float64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4</w:t>
            </w:r>
          </w:p>
        </w:tc>
      </w:tr>
    </w:tbl>
    <w:p>
      <w:pPr>
        <w:spacing w:after="40"/>
      </w:pPr>
    </w:p>
    <w:p>
      <w:pPr>
        <w:pStyle w:val="Heading3"/>
      </w:pPr>
      <w:r>
        <w:t>transferencias_digitales.json  (600 filas x 10 columnas | duplicados exactos: 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48"/>
        <w:gridCol w:w="2160"/>
        <w:gridCol w:w="1224"/>
        <w:gridCol w:w="1368"/>
        <w:gridCol w:w="1224"/>
        <w:gridCol w:w="1368"/>
      </w:tblGrid>
      <w:tr>
        <w:tc>
          <w:tcPr>
            <w:tcW w:type="dxa" w:w="244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Tipo inferido</w:t>
            </w:r>
          </w:p>
        </w:tc>
        <w:tc>
          <w:tcPr>
            <w:tcW w:type="dxa" w:w="12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Nulos reales</w:t>
            </w:r>
          </w:p>
        </w:tc>
        <w:tc>
          <w:tcPr>
            <w:tcW w:type="dxa" w:w="136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Vacíos ocultos</w:t>
            </w:r>
          </w:p>
        </w:tc>
        <w:tc>
          <w:tcPr>
            <w:tcW w:type="dxa" w:w="12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% faltante</w:t>
            </w:r>
          </w:p>
        </w:tc>
        <w:tc>
          <w:tcPr>
            <w:tcW w:type="dxa" w:w="136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Valores únicos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transfer_id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str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600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mixto (int/str)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598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account_id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str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79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amount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float64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600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currency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str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2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beneficiary_clabe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str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555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notification_email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str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2.67%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419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concept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str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6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str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5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platform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str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6"/>
              </w:rPr>
              <w:t>4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9"/>
        </w:rPr>
        <w:t>Lectura rápida: los duplicados exactos (20 en POS y 20 en ATM) corresponden a los reintentos de captura/cajero que anuncia la guía y comparten el mismo id. transferencias_digitales y ventas_online no traen duplicados. La guía menciona "comisiones nulas", pero comision_aplicada no tiene faltantes en este archivo.</w:t>
      </w:r>
    </w:p>
    <w:p>
      <w:pPr>
        <w:pStyle w:val="Heading1"/>
      </w:pPr>
      <w:r>
        <w:t>3. Fase 2: Manejo de faltantes e imputación</w:t>
      </w:r>
    </w:p>
    <w:p>
      <w:pPr>
        <w:pStyle w:val="Heading2"/>
      </w:pPr>
      <w:r>
        <w:t>3.1 Clasificación de las ausencias (MCAR vs MAR)</w:t>
      </w:r>
    </w:p>
    <w:p>
      <w:pPr>
        <w:spacing w:after="80"/>
      </w:pPr>
      <w:r>
        <w:rPr>
          <w:b w:val="0"/>
          <w:i w:val="0"/>
          <w:sz w:val="19"/>
        </w:rPr>
        <w:t>Método: sobre cada columna con faltantes se construyó la indicadora "dato faltante" y se contrastó contra las demás variables observadas de baja cardinalidad (chi-cuadrada de independencia y prueba binomial por nivel con corrección de Bonferroni). Criterio: algún p &lt; 0.05 indica MAR (la ausencia depende de otra variable observada); sin evidencia se clasifica MCAR. Con estos datos no se puede descartar un mecanismo MNAR; se asume MCAR por falta de evidencia en contra.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00"/>
        <w:gridCol w:w="1512"/>
        <w:gridCol w:w="1224"/>
        <w:gridCol w:w="1080"/>
        <w:gridCol w:w="864"/>
        <w:gridCol w:w="3456"/>
      </w:tblGrid>
      <w:tr>
        <w:tc>
          <w:tcPr>
            <w:tcW w:type="dxa" w:w="1800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Fuente</w:t>
            </w:r>
          </w:p>
        </w:tc>
        <w:tc>
          <w:tcPr>
            <w:tcW w:type="dxa" w:w="151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12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Faltantes</w:t>
            </w:r>
          </w:p>
        </w:tc>
        <w:tc>
          <w:tcPr>
            <w:tcW w:type="dxa" w:w="1080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Mecanismo</w:t>
            </w:r>
          </w:p>
        </w:tc>
        <w:tc>
          <w:tcPr>
            <w:tcW w:type="dxa" w:w="86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 mínimo</w:t>
            </w:r>
          </w:p>
        </w:tc>
        <w:tc>
          <w:tcPr>
            <w:tcW w:type="dxa" w:w="345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Interpretación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6"/>
              </w:rPr>
              <w:t>ventas_tienda_fisica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monto_total_mxn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31 (5.17%)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MCAR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0.4614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Sin relación con sucursal, método de pago, cantidad ni precio. Se recalcula (ver 3.2).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6"/>
              </w:rPr>
              <w:t>ventas_tienda_fisica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id_cliente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122 (20.33%)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MCAR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0.2826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Sin relación con sucursal, método de pago ni cantidad. Probable venta sin registro de cliente.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6"/>
              </w:rPr>
              <w:t>ventas_online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customer_email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20 (3.33%)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MCAR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0.259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Sin relación con estatus, pasarela ni moneda.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6"/>
              </w:rPr>
              <w:t>ventas_online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shipping_address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77 (12.83%)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MCAR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0.28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Sin relación con estatus, pasarela ni moneda.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6"/>
              </w:rPr>
              <w:t>transacciones_atm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monto_mxn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27 (4.5%)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MAR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0.0818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CONSULTA_SALDO nunca falta porque su monto es 0 por definición; solo faltan en retiros, depósitos y pagos. Test formal borderline (p=0.08), pero se trata como MAR estructural.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6"/>
              </w:rPr>
              <w:t>transacciones_atm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id_cajero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42 (7.0%)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MCAR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0.3488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Sin relación con tipo de operación, resultado ni comisión.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6"/>
              </w:rPr>
              <w:t>transferencias_digitales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notification_email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16 (2.67%)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MCAR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0.1369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Sin relación con estatus, plataforma, concepto ni moneda (status p=0.14).</w:t>
            </w:r>
          </w:p>
        </w:tc>
      </w:tr>
    </w:tbl>
    <w:p>
      <w:pPr>
        <w:spacing w:after="40"/>
      </w:pPr>
    </w:p>
    <w:p>
      <w:pPr>
        <w:pStyle w:val="Heading2"/>
      </w:pPr>
      <w:r>
        <w:t>3.2 Estrategia de imputación aplicada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2"/>
        <w:gridCol w:w="1584"/>
        <w:gridCol w:w="1008"/>
        <w:gridCol w:w="4608"/>
        <w:gridCol w:w="1008"/>
      </w:tblGrid>
      <w:tr>
        <w:tc>
          <w:tcPr>
            <w:tcW w:type="dxa" w:w="187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Fuente</w:t>
            </w:r>
          </w:p>
        </w:tc>
        <w:tc>
          <w:tcPr>
            <w:tcW w:type="dxa" w:w="158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100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Imputados</w:t>
            </w:r>
          </w:p>
        </w:tc>
        <w:tc>
          <w:tcPr>
            <w:tcW w:type="dxa" w:w="460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Estrategia</w:t>
            </w:r>
          </w:p>
        </w:tc>
        <w:tc>
          <w:tcPr>
            <w:tcW w:type="dxa" w:w="100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Faltantes restantes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ventas_tienda_fisica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monto_total_mxn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sz w:val="16"/>
              </w:rPr>
              <w:t>31</w:t>
            </w:r>
          </w:p>
        </w:tc>
        <w:tc>
          <w:tcPr>
            <w:tcW w:type="dxa" w:w="4608"/>
          </w:tcPr>
          <w:p>
            <w:r/>
            <w:r>
              <w:rPr>
                <w:sz w:val="16"/>
              </w:rPr>
              <w:t>Recalculo: monto_total_mxn = cantidad x precio_unitario (los 31 tenían ambos operandos).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ventas_tienda_fisica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id_cliente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sz w:val="16"/>
              </w:rPr>
              <w:t>122</w:t>
            </w:r>
          </w:p>
        </w:tc>
        <w:tc>
          <w:tcPr>
            <w:tcW w:type="dxa" w:w="4608"/>
          </w:tcPr>
          <w:p>
            <w:r/>
            <w:r>
              <w:rPr>
                <w:sz w:val="16"/>
              </w:rPr>
              <w:t>Etiqueta controlada 'ANONIMO'.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ventas_online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customer_email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4608"/>
          </w:tcPr>
          <w:p>
            <w:r/>
            <w:r>
              <w:rPr>
                <w:sz w:val="16"/>
              </w:rPr>
              <w:t>Etiqueta controlada 'ANONIMO' (15 nulos + 5 vacíos ocultos).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ventas_online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shipping_address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sz w:val="16"/>
              </w:rPr>
              <w:t>77</w:t>
            </w:r>
          </w:p>
        </w:tc>
        <w:tc>
          <w:tcPr>
            <w:tcW w:type="dxa" w:w="4608"/>
          </w:tcPr>
          <w:p>
            <w:r/>
            <w:r>
              <w:rPr>
                <w:sz w:val="16"/>
              </w:rPr>
              <w:t>Etiqueta controlada 'SIN_DIRECCION'.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transacciones_atm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monto_mxn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sz w:val="16"/>
              </w:rPr>
              <w:t>27</w:t>
            </w:r>
          </w:p>
        </w:tc>
        <w:tc>
          <w:tcPr>
            <w:tcW w:type="dxa" w:w="4608"/>
          </w:tcPr>
          <w:p>
            <w:r/>
            <w:r>
              <w:rPr>
                <w:sz w:val="16"/>
              </w:rPr>
              <w:t>Mediana de monto_mxn por tipo_operacion: DEPOSITO 4,000 | PAGO_SERVICIOS 4,000 | RETIRO 2,000.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transacciones_atm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id_cajero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sz w:val="16"/>
              </w:rPr>
              <w:t>42</w:t>
            </w:r>
          </w:p>
        </w:tc>
        <w:tc>
          <w:tcPr>
            <w:tcW w:type="dxa" w:w="4608"/>
          </w:tcPr>
          <w:p>
            <w:r/>
            <w:r>
              <w:rPr>
                <w:sz w:val="16"/>
              </w:rPr>
              <w:t>Etiqueta controlada 'DESCONOCIDO'.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transferencias_digitales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notification_email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4608"/>
          </w:tcPr>
          <w:p>
            <w:r/>
            <w:r>
              <w:rPr>
                <w:sz w:val="16"/>
              </w:rPr>
              <w:t>Etiqueta controlada 'ANONIMO' (8 nulos + 8 vacíos ocultos).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</w:tbl>
    <w:p>
      <w:pPr>
        <w:spacing w:after="40"/>
      </w:pPr>
    </w:p>
    <w:p>
      <w:pPr>
        <w:pStyle w:val="Heading2"/>
      </w:pPr>
      <w:r>
        <w:t>3.3 Justificación: ¿por qué mediana y no media?</w:t>
      </w:r>
    </w:p>
    <w:p>
      <w:pPr>
        <w:spacing w:after="80"/>
      </w:pPr>
      <w:r>
        <w:rPr>
          <w:b w:val="0"/>
          <w:i w:val="0"/>
          <w:sz w:val="19"/>
        </w:rPr>
        <w:t>Los importes tienen distribuciones fuertemente sesgadas a la derecha por los valores extremos (bots, montos absurdos). La media se contamina con esos extremos y la mediana no. Estadísticos calculados sobre los datos sin duplicados y antes de imputar: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92"/>
        <w:gridCol w:w="1872"/>
        <w:gridCol w:w="1440"/>
        <w:gridCol w:w="1440"/>
        <w:gridCol w:w="1584"/>
        <w:gridCol w:w="1152"/>
      </w:tblGrid>
      <w:tr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Fuente</w:t>
            </w:r>
          </w:p>
        </w:tc>
        <w:tc>
          <w:tcPr>
            <w:tcW w:type="dxa" w:w="187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Columna</w:t>
            </w:r>
          </w:p>
        </w:tc>
        <w:tc>
          <w:tcPr>
            <w:tcW w:type="dxa" w:w="144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Media</w:t>
            </w:r>
          </w:p>
        </w:tc>
        <w:tc>
          <w:tcPr>
            <w:tcW w:type="dxa" w:w="144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Mediana</w:t>
            </w:r>
          </w:p>
        </w:tc>
        <w:tc>
          <w:tcPr>
            <w:tcW w:type="dxa" w:w="158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Máximo</w:t>
            </w:r>
          </w:p>
        </w:tc>
        <w:tc>
          <w:tcPr>
            <w:tcW w:type="dxa" w:w="115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Asimetría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ventas_tienda_fisica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monto_total_mxn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7"/>
              </w:rPr>
              <w:t>16,991.24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7"/>
              </w:rPr>
              <w:t>3,622.72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sz w:val="17"/>
              </w:rPr>
              <w:t>2,109,055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7"/>
              </w:rPr>
              <w:t>13.85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ventas_online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total_amount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7"/>
              </w:rPr>
              <w:t>4,978.3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7"/>
              </w:rPr>
              <w:t>1,228.72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sz w:val="17"/>
              </w:rPr>
              <w:t>826,360.8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7"/>
              </w:rPr>
              <w:t>19.39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transacciones_atm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monto_mxn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7"/>
              </w:rPr>
              <w:t>9,527.4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7"/>
              </w:rPr>
              <w:t>1,500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sz w:val="17"/>
              </w:rPr>
              <w:t>3,500,000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7"/>
              </w:rPr>
              <w:t>23.91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transferencias_digitales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amount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7"/>
              </w:rPr>
              <w:t>98,261.81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7"/>
              </w:rPr>
              <w:t>18,448.76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sz w:val="17"/>
              </w:rPr>
              <w:t>5,240,100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7"/>
              </w:rPr>
              <w:t>7.47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9"/>
        </w:rPr>
        <w:t>Ejemplo clave: en transacciones_atm.monto_mxn la media es $9,527 y la mediana $1,500 (asimetría 23.9) por una operación de $3,500,000. Imputar con la media metería un monto irreal en cada hueco. Por eso solo esta columna se imputa con mediana (por tipo_operacion, porque un depósito y un retiro no se comparan). En ventas_tienda_fisica el faltante no se imputa estadísticamente porque el dato sí existe en otras columnas y se recalcula exacto.</w:t>
      </w:r>
    </w:p>
    <w:p>
      <w:pPr>
        <w:pStyle w:val="Heading2"/>
      </w:pPr>
      <w:r>
        <w:t>3.4 Decisiones adicionales (revisar y avisar si el equipo prefiere otra)</w:t>
      </w:r>
    </w:p>
    <w:p>
      <w:pPr>
        <w:pStyle w:val="ListBullet"/>
        <w:spacing w:after="40"/>
      </w:pPr>
      <w:r>
        <w:rPr>
          <w:b/>
        </w:rPr>
        <w:t>Duplicados:</w:t>
      </w:r>
      <w:r>
        <w:t xml:space="preserve"> 20 duplicados exactos en ventas_tienda_fisica y 20 en transacciones_atm se eliminaron (se conserva la primera aparición) y se guardan en duplicados_removidos.csv. Se hizo antes de imputar para que las medianas no se sesguen por filas repetidas.</w:t>
      </w:r>
    </w:p>
    <w:p>
      <w:pPr>
        <w:pStyle w:val="ListBullet"/>
        <w:spacing w:after="40"/>
      </w:pPr>
      <w:r>
        <w:rPr>
          <w:b/>
        </w:rPr>
        <w:t>Vacíos ocultos:</w:t>
      </w:r>
      <w:r>
        <w:t xml:space="preserve"> el "" de los correos se convirtió a nulo real antes de imputar; si no, habría quedado como dato "presente".</w:t>
      </w:r>
    </w:p>
    <w:p>
      <w:pPr>
        <w:pStyle w:val="ListBullet"/>
        <w:spacing w:after="40"/>
      </w:pPr>
      <w:r>
        <w:rPr>
          <w:b/>
        </w:rPr>
        <w:t>Totales online:</w:t>
      </w:r>
      <w:r>
        <w:t xml:space="preserve"> en ventas_online hay 12 pedidos donde total_amount != units x unit_price (siempre x80, patrón de bot). NO se sobrescribió el total original (es material de la Fase 3). Se agregaron las columnas total_recalculado y flag_total_inconsistente para que el equipo decida.</w:t>
      </w:r>
    </w:p>
    <w:p>
      <w:pPr>
        <w:pStyle w:val="ListBullet"/>
        <w:spacing w:after="40"/>
      </w:pPr>
      <w:r>
        <w:rPr>
          <w:b/>
        </w:rPr>
        <w:t>Trazabilidad:</w:t>
      </w:r>
      <w:r>
        <w:t xml:space="preserve"> cada fila trae campos_imputados (columnas rellenadas, o NINGUNO) para trazabilidad y para la cuarentena.</w:t>
      </w:r>
    </w:p>
    <w:p>
      <w:pPr>
        <w:pStyle w:val="ListBullet"/>
        <w:spacing w:after="40"/>
      </w:pPr>
      <w:r>
        <w:rPr>
          <w:b/>
        </w:rPr>
        <w:t>Aviso para Pydantic:</w:t>
      </w:r>
      <w:r>
        <w:t xml:space="preserve"> 'ANONIMO', 'SIN_DIRECCION' y 'DESCONOCIDO' son etiquetas válidas y no son correos reales: los validadores de Pydantic (Fase 6) deben aceptarlas en customer_email y notification_email, o el correo imputado caerá en cuarentena por error.</w:t>
      </w:r>
    </w:p>
    <w:p>
      <w:pPr>
        <w:pStyle w:val="Heading1"/>
      </w:pPr>
      <w:r>
        <w:t>4. Hallazgos entregados al resto del equipo</w:t>
      </w:r>
    </w:p>
    <w:p>
      <w:pPr>
        <w:spacing w:after="80"/>
      </w:pPr>
      <w:r>
        <w:rPr>
          <w:b w:val="0"/>
          <w:i w:val="0"/>
          <w:sz w:val="19"/>
        </w:rPr>
        <w:t>Detectados durante el diagnóstico y NO corregidos (conteos sobre datos sin duplicados). Fase indica a qué fase del proyecto corresponde.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04"/>
        <w:gridCol w:w="5616"/>
        <w:gridCol w:w="1008"/>
        <w:gridCol w:w="720"/>
      </w:tblGrid>
      <w:tr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Fuente</w:t>
            </w:r>
          </w:p>
        </w:tc>
        <w:tc>
          <w:tcPr>
            <w:tcW w:type="dxa" w:w="561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Hallazgo</w:t>
            </w:r>
          </w:p>
        </w:tc>
        <w:tc>
          <w:tcPr>
            <w:tcW w:type="dxa" w:w="100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Registros</w:t>
            </w:r>
          </w:p>
        </w:tc>
        <w:tc>
          <w:tcPr>
            <w:tcW w:type="dxa" w:w="720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Fase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ventas_tienda_fisica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Fechas NO ISO (DD/MM/AAAA y DD-MM-AAAA; el día va primero, hay días &gt; 12)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sz w:val="16"/>
              </w:rPr>
              <w:t>399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sz w:val="16"/>
              </w:rPr>
              <w:t>4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ventas_tienda_fisica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metodo_pago con 'Efectivo' y 'efectivo' (mayúsculas inconsistentes)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sz w:val="16"/>
              </w:rPr>
              <w:t>86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sz w:val="16"/>
              </w:rPr>
              <w:t>4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ventas_tienda_fisica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Cantidades &lt;= 0 (valores imposibles: eliminar)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ventas_tienda_fisica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Cantidades extremas (99 y 500 unidades) -&gt; outliers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ventas_tienda_fisica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id_producto huérfano (no existe en catalogo_productos)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sz w:val="16"/>
              </w:rPr>
              <w:t>28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sz w:val="16"/>
              </w:rPr>
              <w:t>4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ventas_online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Timestamps mezclados: ISO texto y epoch entero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sz w:val="16"/>
              </w:rPr>
              <w:t>208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sz w:val="16"/>
              </w:rPr>
              <w:t>4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ventas_online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Pedidos en USD (convertir a MXN @ 19.50)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sz w:val="16"/>
              </w:rPr>
              <w:t>193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sz w:val="16"/>
              </w:rPr>
              <w:t>4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ventas_online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total_amount != units * unit_price (patrón bot, total x80)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ventas_online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Correos malformados (no vacíos) -&gt; cuarentena/validación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sz w:val="16"/>
              </w:rPr>
              <w:t>28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sz w:val="16"/>
              </w:rPr>
              <w:t>6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ventas_online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order_status con 'completado'/'COMPLETADO' (mayúsculas inconsistentes)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sz w:val="16"/>
              </w:rPr>
              <w:t>98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sz w:val="16"/>
              </w:rPr>
              <w:t>4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ventas_online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product_id huérfano (no existe en catalogo_productos)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sz w:val="16"/>
              </w:rPr>
              <w:t>4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transacciones_atm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Fechas_hora NO ISO (AAAA/MM/DD y DD/MM/AAAA)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sz w:val="16"/>
              </w:rPr>
              <w:t>404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sz w:val="16"/>
              </w:rPr>
              <w:t>4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transacciones_atm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resultado con 'EXITOSA'/'exitosa' (mayúsculas inconsistentes)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sz w:val="16"/>
              </w:rPr>
              <w:t>81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sz w:val="16"/>
              </w:rPr>
              <w:t>4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transacciones_atm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id_cuenta huérfana (no existe en catalogo_cuentas)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sz w:val="16"/>
              </w:rPr>
              <w:t>32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sz w:val="16"/>
              </w:rPr>
              <w:t>4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transferencias_digitales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Timestamps mezclados: ISO con zona horaria y epoch entero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sz w:val="16"/>
              </w:rPr>
              <w:t>195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sz w:val="16"/>
              </w:rPr>
              <w:t>4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transferencias_digitales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Transferencias en USD (convertir a MXN @ 19.50)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sz w:val="16"/>
              </w:rPr>
              <w:t>134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sz w:val="16"/>
              </w:rPr>
              <w:t>4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transferencias_digitales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CLABE con menos de 18 dígitos -&gt; cuarentena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sz w:val="16"/>
              </w:rPr>
              <w:t>46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sz w:val="16"/>
              </w:rPr>
              <w:t>6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transferencias_digitales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Correos malformados (no vacíos) -&gt; cuarentena/validación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sz w:val="16"/>
              </w:rPr>
              <w:t>6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transferencias_digitales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status con 'liquidada'/'LIQUIDADA' (mayúsculas inconsistentes)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sz w:val="16"/>
              </w:rPr>
              <w:t>121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sz w:val="16"/>
              </w:rPr>
              <w:t>4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transferencias_digitales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account_id huérfano (no existe en catalogo_cuentas)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sz w:val="16"/>
              </w:rPr>
              <w:t>29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sz w:val="16"/>
              </w:rPr>
              <w:t>4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19"/>
        </w:rPr>
        <w:t>Referencia IQR (factor 1.5) para la Fase 3, solo informativo: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744"/>
        <w:gridCol w:w="1296"/>
        <w:gridCol w:w="1296"/>
        <w:gridCol w:w="1728"/>
        <w:gridCol w:w="1584"/>
      </w:tblGrid>
      <w:tr>
        <w:tc>
          <w:tcPr>
            <w:tcW w:type="dxa" w:w="374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Fuente.columna</w:t>
            </w:r>
          </w:p>
        </w:tc>
        <w:tc>
          <w:tcPr>
            <w:tcW w:type="dxa" w:w="129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Q1</w:t>
            </w:r>
          </w:p>
        </w:tc>
        <w:tc>
          <w:tcPr>
            <w:tcW w:type="dxa" w:w="129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Q3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Límite superior</w:t>
            </w:r>
          </w:p>
        </w:tc>
        <w:tc>
          <w:tcPr>
            <w:tcW w:type="dxa" w:w="158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Valores fuera de límites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ventas_tienda_fisica.monto_total_mxn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7"/>
              </w:rPr>
              <w:t>1,965.19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7"/>
              </w:rPr>
              <w:t>7,735.57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sz w:val="17"/>
              </w:rPr>
              <w:t>16,391.15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sz w:val="17"/>
              </w:rPr>
              <w:t>41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ventas_online.total_amount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7"/>
              </w:rPr>
              <w:t>214.55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7"/>
              </w:rPr>
              <w:t>3,192.45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sz w:val="17"/>
              </w:rPr>
              <w:t>7,659.3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sz w:val="17"/>
              </w:rPr>
              <w:t>37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transacciones_atm.monto_mxn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7"/>
              </w:rPr>
              <w:t>500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7"/>
              </w:rPr>
              <w:t>5,000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sz w:val="17"/>
              </w:rPr>
              <w:t>11,750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sz w:val="17"/>
              </w:rPr>
              <w:t>49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transferencias_digitales.amount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7"/>
              </w:rPr>
              <w:t>10,394.38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7"/>
              </w:rPr>
              <w:t>26,397.33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sz w:val="17"/>
              </w:rPr>
              <w:t>50,401.77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sz w:val="17"/>
              </w:rPr>
              <w:t>18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9"/>
        </w:rPr>
        <w:t>Dato útil para huérfanos: en ventas_tienda_fisica todos los id_producto que no están en el catálogo traen precio_unitario = 500.0, y en el resto de filas el precio coincide siempre con precio_base_mxn del catálogo.</w:t>
      </w:r>
    </w:p>
    <w:p>
      <w:pPr>
        <w:pStyle w:val="Heading1"/>
      </w:pPr>
      <w:r>
        <w:t>5. Archivos entregados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032"/>
        <w:gridCol w:w="5760"/>
      </w:tblGrid>
      <w:tr>
        <w:tc>
          <w:tcPr>
            <w:tcW w:type="dxa" w:w="403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576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7"/>
              </w:rPr>
              <w:t>fase1_fase2_pipeline.py</w:t>
            </w:r>
          </w:p>
        </w:tc>
        <w:tc>
          <w:tcPr>
            <w:tcW w:type="dxa" w:w="5760"/>
          </w:tcPr>
          <w:p>
            <w:r/>
            <w:r>
              <w:rPr>
                <w:sz w:val="17"/>
              </w:rPr>
              <w:t>Script reproducible (funciones de perfilado, clasificación e imputación). Correr: python fase1_fase2_pipeline.py datasets salidas_fase2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7"/>
              </w:rPr>
              <w:t>ventas_tienda_fisica_fase2.csv, ventas_online_fase2.csv</w:t>
            </w:r>
          </w:p>
        </w:tc>
        <w:tc>
          <w:tcPr>
            <w:tcW w:type="dxa" w:w="5760"/>
          </w:tcPr>
          <w:p>
            <w:r/>
            <w:r>
              <w:rPr>
                <w:sz w:val="17"/>
              </w:rPr>
              <w:t>Grupo 1 sin faltantes ni duplicados. Entrada para Ingeniero/a 2 y 1 (Fase 3).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7"/>
              </w:rPr>
              <w:t>transacciones_atm_fase2.csv, transferencias_digitales_fase2.csv</w:t>
            </w:r>
          </w:p>
        </w:tc>
        <w:tc>
          <w:tcPr>
            <w:tcW w:type="dxa" w:w="5760"/>
          </w:tcPr>
          <w:p>
            <w:r/>
            <w:r>
              <w:rPr>
                <w:sz w:val="17"/>
              </w:rPr>
              <w:t>Grupo 2 sin faltantes ni duplicados. Entrada para Ingeniero/a 2 y 1 (Fase 3).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7"/>
              </w:rPr>
              <w:t>perfil_fase1.csv</w:t>
            </w:r>
          </w:p>
        </w:tc>
        <w:tc>
          <w:tcPr>
            <w:tcW w:type="dxa" w:w="5760"/>
          </w:tcPr>
          <w:p>
            <w:r/>
            <w:r>
              <w:rPr>
                <w:sz w:val="17"/>
              </w:rPr>
              <w:t>Perfil por columna, antes y después.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7"/>
              </w:rPr>
              <w:t>clasificacion_faltantes.csv / log_imputaciones.csv</w:t>
            </w:r>
          </w:p>
        </w:tc>
        <w:tc>
          <w:tcPr>
            <w:tcW w:type="dxa" w:w="5760"/>
          </w:tcPr>
          <w:p>
            <w:r/>
            <w:r>
              <w:rPr>
                <w:sz w:val="17"/>
              </w:rPr>
              <w:t>Evidencia estadística MCAR/MAR y bitácora de cada imputación.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7"/>
              </w:rPr>
              <w:t>duplicados_removidos.csv</w:t>
            </w:r>
          </w:p>
        </w:tc>
        <w:tc>
          <w:tcPr>
            <w:tcW w:type="dxa" w:w="5760"/>
          </w:tcPr>
          <w:p>
            <w:r/>
            <w:r>
              <w:rPr>
                <w:sz w:val="17"/>
              </w:rPr>
              <w:t>Las 40 filas eliminadas, por si se necesitan auditar.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7"/>
              </w:rPr>
              <w:t>resumen_fase1_fase2.json</w:t>
            </w:r>
          </w:p>
        </w:tc>
        <w:tc>
          <w:tcPr>
            <w:tcW w:type="dxa" w:w="5760"/>
          </w:tcPr>
          <w:p>
            <w:r/>
            <w:r>
              <w:rPr>
                <w:sz w:val="17"/>
              </w:rPr>
              <w:t>Todas las cifras de este reporte en formato máquina.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sz w:val="18"/>
        </w:rPr>
        <w:t>Aviso: las columnas de fecha y timestamp se conservan tal cual (mezcla de formatos y epoch); al leer los CSV con pandas quedan como texto y la Fase 4 debe unificarlas.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