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新細明體" w:hAnsi="新細明體" w:eastAsia="新細明體"/>
          <w:color w:val="000000"/>
        </w:rPr>
        <w:t>第四章 研究結果</w:t>
      </w:r>
    </w:p>
    <w:p>
      <w:pPr>
        <w:spacing w:line="360" w:lineRule="auto"/>
        <w:ind w:firstLine="482"/>
      </w:pPr>
      <w:r>
        <w:rPr>
          <w:rFonts w:ascii="新細明體" w:hAnsi="新細明體" w:eastAsia="新細明體"/>
          <w:b w:val="0"/>
          <w:sz w:val="24"/>
        </w:rPr>
        <w:t>本章依據第三章所提出之研究方法與設計，系統性地呈現本研究之實證分析結果。首先，第4.1節說明資料蒐集與前處理之概況；第4.2節展示生成式AI面向級情感分析之提取結果，包含屬性分類統計與情感分數分布；第4.3節呈現12項服務屬性之績效分析，涵蓋全體酒店綜合績效與個別酒店之比較；第4.4節報告兩種屬性重要度計算方法之結果及其比較；第4.5節整合績效與重要度資料，進行IPA四象限分析；第4.6節建構動態SWOT分析模型，追蹤競爭態勢之時間變化；最後，第4.7節報告穩定性驗證與跨模型驗證之結果，以確立本研究方法之信度與效度。</w:t>
      </w:r>
    </w:p>
    <w:p>
      <w:pPr>
        <w:pStyle w:val="Heading2"/>
      </w:pPr>
      <w:r>
        <w:rPr>
          <w:rFonts w:ascii="新細明體" w:hAnsi="新細明體" w:eastAsia="新細明體"/>
          <w:color w:val="000000"/>
        </w:rPr>
        <w:t>4.1 資料蒐集與前處理</w:t>
      </w:r>
    </w:p>
    <w:p>
      <w:pPr>
        <w:spacing w:line="360" w:lineRule="auto"/>
        <w:ind w:firstLine="482"/>
      </w:pPr>
      <w:r>
        <w:rPr>
          <w:rFonts w:ascii="新細明體" w:hAnsi="新細明體" w:eastAsia="新細明體"/>
          <w:b w:val="0"/>
          <w:sz w:val="24"/>
        </w:rPr>
        <w:t>本研究之原始資料來自Wu等人（2024）所爬取之攜程網（Ctrip）五家北京地區酒店的線上評論。攜程網為中國最大的線上旅遊服務平台之一，其豐富的使用者評論資料已被多項學術研究所採用（Yuan et al., 2022; Li &amp; Ma, 2025）。本研究之資料涵蓋評論星級、發表時間、酒店名稱及評論內文四個欄位，時間跨度自2019年1月至2022年12月，共計11,580筆有效評論。五家酒店依其地理位置可區分為王府井商圈（励骏酒店、北京王府井希尔顿酒店、北京天安门王府井漫心酒店）與國貿商圈（全季酒店、麗枫酒店）兩個群組，此地理分布為後續競爭力比較分析提供了有意義的對照基礎。各酒店之評論數量統計如表14所示。</w:t>
      </w:r>
    </w:p>
    <w:p>
      <w:pPr>
        <w:spacing w:before="120" w:after="120"/>
        <w:jc w:val="center"/>
      </w:pPr>
      <w:r>
        <w:rPr>
          <w:rFonts w:ascii="新細明體" w:hAnsi="新細明體" w:eastAsia="新細明體"/>
          <w:sz w:val="20"/>
        </w:rPr>
        <w:t>表14 五家酒店評論數量統計</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D9E2F3" w:val="clear"/>
          </w:tcPr>
          <w:p>
            <w:pPr>
              <w:jc w:val="center"/>
            </w:pPr>
            <w:r/>
            <w:r>
              <w:rPr>
                <w:rFonts w:ascii="新細明體" w:hAnsi="新細明體" w:eastAsia="新細明體"/>
                <w:b/>
                <w:sz w:val="20"/>
              </w:rPr>
              <w:t>酒店名稱</w:t>
            </w:r>
          </w:p>
        </w:tc>
        <w:tc>
          <w:tcPr>
            <w:tcW w:type="dxa" w:w="2160"/>
            <w:shd w:fill="D9E2F3" w:val="clear"/>
          </w:tcPr>
          <w:p>
            <w:pPr>
              <w:jc w:val="center"/>
            </w:pPr>
            <w:r/>
            <w:r>
              <w:rPr>
                <w:rFonts w:ascii="新細明體" w:hAnsi="新細明體" w:eastAsia="新細明體"/>
                <w:b/>
                <w:sz w:val="20"/>
              </w:rPr>
              <w:t>商圈</w:t>
            </w:r>
          </w:p>
        </w:tc>
        <w:tc>
          <w:tcPr>
            <w:tcW w:type="dxa" w:w="2160"/>
            <w:shd w:fill="D9E2F3" w:val="clear"/>
          </w:tcPr>
          <w:p>
            <w:pPr>
              <w:jc w:val="center"/>
            </w:pPr>
            <w:r/>
            <w:r>
              <w:rPr>
                <w:rFonts w:ascii="新細明體" w:hAnsi="新細明體" w:eastAsia="新細明體"/>
                <w:b/>
                <w:sz w:val="20"/>
              </w:rPr>
              <w:t>評論數量</w:t>
            </w:r>
          </w:p>
        </w:tc>
        <w:tc>
          <w:tcPr>
            <w:tcW w:type="dxa" w:w="2160"/>
            <w:shd w:fill="D9E2F3" w:val="clear"/>
          </w:tcPr>
          <w:p>
            <w:pPr>
              <w:jc w:val="center"/>
            </w:pPr>
            <w:r/>
            <w:r>
              <w:rPr>
                <w:rFonts w:ascii="新細明體" w:hAnsi="新細明體" w:eastAsia="新細明體"/>
                <w:b/>
                <w:sz w:val="20"/>
              </w:rPr>
              <w:t>佔比</w:t>
            </w:r>
          </w:p>
        </w:tc>
      </w:tr>
      <w:tr>
        <w:tc>
          <w:tcPr>
            <w:tcW w:type="dxa" w:w="2160"/>
          </w:tcPr>
          <w:p>
            <w:pPr>
              <w:jc w:val="left"/>
            </w:pPr>
            <w:r/>
            <w:r>
              <w:rPr>
                <w:rFonts w:ascii="新細明體" w:hAnsi="新細明體" w:eastAsia="新細明體"/>
                <w:b w:val="0"/>
                <w:sz w:val="20"/>
              </w:rPr>
              <w:t>励骏酒店</w:t>
            </w:r>
          </w:p>
        </w:tc>
        <w:tc>
          <w:tcPr>
            <w:tcW w:type="dxa" w:w="2160"/>
          </w:tcPr>
          <w:p>
            <w:pPr>
              <w:jc w:val="center"/>
            </w:pPr>
            <w:r/>
            <w:r>
              <w:rPr>
                <w:rFonts w:ascii="新細明體" w:hAnsi="新細明體" w:eastAsia="新細明體"/>
                <w:b w:val="0"/>
                <w:sz w:val="20"/>
              </w:rPr>
              <w:t>王府井</w:t>
            </w:r>
          </w:p>
        </w:tc>
        <w:tc>
          <w:tcPr>
            <w:tcW w:type="dxa" w:w="2160"/>
          </w:tcPr>
          <w:p>
            <w:pPr>
              <w:jc w:val="center"/>
            </w:pPr>
            <w:r/>
            <w:r>
              <w:rPr>
                <w:rFonts w:ascii="新細明體" w:hAnsi="新細明體" w:eastAsia="新細明體"/>
                <w:b w:val="0"/>
                <w:sz w:val="20"/>
              </w:rPr>
              <w:t>3,661</w:t>
            </w:r>
          </w:p>
        </w:tc>
        <w:tc>
          <w:tcPr>
            <w:tcW w:type="dxa" w:w="2160"/>
          </w:tcPr>
          <w:p>
            <w:pPr>
              <w:jc w:val="center"/>
            </w:pPr>
            <w:r/>
            <w:r>
              <w:rPr>
                <w:rFonts w:ascii="新細明體" w:hAnsi="新細明體" w:eastAsia="新細明體"/>
                <w:b w:val="0"/>
                <w:sz w:val="20"/>
              </w:rPr>
              <w:t>31.6%</w:t>
            </w:r>
          </w:p>
        </w:tc>
      </w:tr>
      <w:tr>
        <w:tc>
          <w:tcPr>
            <w:tcW w:type="dxa" w:w="2160"/>
          </w:tcPr>
          <w:p>
            <w:pPr>
              <w:jc w:val="left"/>
            </w:pPr>
            <w:r/>
            <w:r>
              <w:rPr>
                <w:rFonts w:ascii="新細明體" w:hAnsi="新細明體" w:eastAsia="新細明體"/>
                <w:b w:val="0"/>
                <w:sz w:val="20"/>
              </w:rPr>
              <w:t>北京天安门王府井漫心酒店</w:t>
            </w:r>
          </w:p>
        </w:tc>
        <w:tc>
          <w:tcPr>
            <w:tcW w:type="dxa" w:w="2160"/>
          </w:tcPr>
          <w:p>
            <w:pPr>
              <w:jc w:val="center"/>
            </w:pPr>
            <w:r/>
            <w:r>
              <w:rPr>
                <w:rFonts w:ascii="新細明體" w:hAnsi="新細明體" w:eastAsia="新細明體"/>
                <w:b w:val="0"/>
                <w:sz w:val="20"/>
              </w:rPr>
              <w:t>王府井</w:t>
            </w:r>
          </w:p>
        </w:tc>
        <w:tc>
          <w:tcPr>
            <w:tcW w:type="dxa" w:w="2160"/>
          </w:tcPr>
          <w:p>
            <w:pPr>
              <w:jc w:val="center"/>
            </w:pPr>
            <w:r/>
            <w:r>
              <w:rPr>
                <w:rFonts w:ascii="新細明體" w:hAnsi="新細明體" w:eastAsia="新細明體"/>
                <w:b w:val="0"/>
                <w:sz w:val="20"/>
              </w:rPr>
              <w:t>2,755</w:t>
            </w:r>
          </w:p>
        </w:tc>
        <w:tc>
          <w:tcPr>
            <w:tcW w:type="dxa" w:w="2160"/>
          </w:tcPr>
          <w:p>
            <w:pPr>
              <w:jc w:val="center"/>
            </w:pPr>
            <w:r/>
            <w:r>
              <w:rPr>
                <w:rFonts w:ascii="新細明體" w:hAnsi="新細明體" w:eastAsia="新細明體"/>
                <w:b w:val="0"/>
                <w:sz w:val="20"/>
              </w:rPr>
              <w:t>23.8%</w:t>
            </w:r>
          </w:p>
        </w:tc>
      </w:tr>
      <w:tr>
        <w:tc>
          <w:tcPr>
            <w:tcW w:type="dxa" w:w="2160"/>
          </w:tcPr>
          <w:p>
            <w:pPr>
              <w:jc w:val="left"/>
            </w:pPr>
            <w:r/>
            <w:r>
              <w:rPr>
                <w:rFonts w:ascii="新細明體" w:hAnsi="新細明體" w:eastAsia="新細明體"/>
                <w:b w:val="0"/>
                <w:sz w:val="20"/>
              </w:rPr>
              <w:t>北京王府井希尔顿酒店</w:t>
            </w:r>
          </w:p>
        </w:tc>
        <w:tc>
          <w:tcPr>
            <w:tcW w:type="dxa" w:w="2160"/>
          </w:tcPr>
          <w:p>
            <w:pPr>
              <w:jc w:val="center"/>
            </w:pPr>
            <w:r/>
            <w:r>
              <w:rPr>
                <w:rFonts w:ascii="新細明體" w:hAnsi="新細明體" w:eastAsia="新細明體"/>
                <w:b w:val="0"/>
                <w:sz w:val="20"/>
              </w:rPr>
              <w:t>王府井</w:t>
            </w:r>
          </w:p>
        </w:tc>
        <w:tc>
          <w:tcPr>
            <w:tcW w:type="dxa" w:w="2160"/>
          </w:tcPr>
          <w:p>
            <w:pPr>
              <w:jc w:val="center"/>
            </w:pPr>
            <w:r/>
            <w:r>
              <w:rPr>
                <w:rFonts w:ascii="新細明體" w:hAnsi="新細明體" w:eastAsia="新細明體"/>
                <w:b w:val="0"/>
                <w:sz w:val="20"/>
              </w:rPr>
              <w:t>2,589</w:t>
            </w:r>
          </w:p>
        </w:tc>
        <w:tc>
          <w:tcPr>
            <w:tcW w:type="dxa" w:w="2160"/>
          </w:tcPr>
          <w:p>
            <w:pPr>
              <w:jc w:val="center"/>
            </w:pPr>
            <w:r/>
            <w:r>
              <w:rPr>
                <w:rFonts w:ascii="新細明體" w:hAnsi="新細明體" w:eastAsia="新細明體"/>
                <w:b w:val="0"/>
                <w:sz w:val="20"/>
              </w:rPr>
              <w:t>22.4%</w:t>
            </w:r>
          </w:p>
        </w:tc>
      </w:tr>
      <w:tr>
        <w:tc>
          <w:tcPr>
            <w:tcW w:type="dxa" w:w="2160"/>
          </w:tcPr>
          <w:p>
            <w:pPr>
              <w:jc w:val="left"/>
            </w:pPr>
            <w:r/>
            <w:r>
              <w:rPr>
                <w:rFonts w:ascii="新細明體" w:hAnsi="新細明體" w:eastAsia="新細明體"/>
                <w:b w:val="0"/>
                <w:sz w:val="20"/>
              </w:rPr>
              <w:t>麗枫酒店(北京国贸店)</w:t>
            </w:r>
          </w:p>
        </w:tc>
        <w:tc>
          <w:tcPr>
            <w:tcW w:type="dxa" w:w="2160"/>
          </w:tcPr>
          <w:p>
            <w:pPr>
              <w:jc w:val="center"/>
            </w:pPr>
            <w:r/>
            <w:r>
              <w:rPr>
                <w:rFonts w:ascii="新細明體" w:hAnsi="新細明體" w:eastAsia="新細明體"/>
                <w:b w:val="0"/>
                <w:sz w:val="20"/>
              </w:rPr>
              <w:t>國貿</w:t>
            </w:r>
          </w:p>
        </w:tc>
        <w:tc>
          <w:tcPr>
            <w:tcW w:type="dxa" w:w="2160"/>
          </w:tcPr>
          <w:p>
            <w:pPr>
              <w:jc w:val="center"/>
            </w:pPr>
            <w:r/>
            <w:r>
              <w:rPr>
                <w:rFonts w:ascii="新細明體" w:hAnsi="新細明體" w:eastAsia="新細明體"/>
                <w:b w:val="0"/>
                <w:sz w:val="20"/>
              </w:rPr>
              <w:t>1,686</w:t>
            </w:r>
          </w:p>
        </w:tc>
        <w:tc>
          <w:tcPr>
            <w:tcW w:type="dxa" w:w="2160"/>
          </w:tcPr>
          <w:p>
            <w:pPr>
              <w:jc w:val="center"/>
            </w:pPr>
            <w:r/>
            <w:r>
              <w:rPr>
                <w:rFonts w:ascii="新細明體" w:hAnsi="新細明體" w:eastAsia="新細明體"/>
                <w:b w:val="0"/>
                <w:sz w:val="20"/>
              </w:rPr>
              <w:t>14.6%</w:t>
            </w:r>
          </w:p>
        </w:tc>
      </w:tr>
      <w:tr>
        <w:tc>
          <w:tcPr>
            <w:tcW w:type="dxa" w:w="2160"/>
          </w:tcPr>
          <w:p>
            <w:pPr>
              <w:jc w:val="left"/>
            </w:pPr>
            <w:r/>
            <w:r>
              <w:rPr>
                <w:rFonts w:ascii="新細明體" w:hAnsi="新細明體" w:eastAsia="新細明體"/>
                <w:b w:val="0"/>
                <w:sz w:val="20"/>
              </w:rPr>
              <w:t>全季酒店(北京国贸东店)</w:t>
            </w:r>
          </w:p>
        </w:tc>
        <w:tc>
          <w:tcPr>
            <w:tcW w:type="dxa" w:w="2160"/>
          </w:tcPr>
          <w:p>
            <w:pPr>
              <w:jc w:val="center"/>
            </w:pPr>
            <w:r/>
            <w:r>
              <w:rPr>
                <w:rFonts w:ascii="新細明體" w:hAnsi="新細明體" w:eastAsia="新細明體"/>
                <w:b w:val="0"/>
                <w:sz w:val="20"/>
              </w:rPr>
              <w:t>國貿</w:t>
            </w:r>
          </w:p>
        </w:tc>
        <w:tc>
          <w:tcPr>
            <w:tcW w:type="dxa" w:w="2160"/>
          </w:tcPr>
          <w:p>
            <w:pPr>
              <w:jc w:val="center"/>
            </w:pPr>
            <w:r/>
            <w:r>
              <w:rPr>
                <w:rFonts w:ascii="新細明體" w:hAnsi="新細明體" w:eastAsia="新細明體"/>
                <w:b w:val="0"/>
                <w:sz w:val="20"/>
              </w:rPr>
              <w:t>889</w:t>
            </w:r>
          </w:p>
        </w:tc>
        <w:tc>
          <w:tcPr>
            <w:tcW w:type="dxa" w:w="2160"/>
          </w:tcPr>
          <w:p>
            <w:pPr>
              <w:jc w:val="center"/>
            </w:pPr>
            <w:r/>
            <w:r>
              <w:rPr>
                <w:rFonts w:ascii="新細明體" w:hAnsi="新細明體" w:eastAsia="新細明體"/>
                <w:b w:val="0"/>
                <w:sz w:val="20"/>
              </w:rPr>
              <w:t>7.7%</w:t>
            </w:r>
          </w:p>
        </w:tc>
      </w:tr>
      <w:tr>
        <w:tc>
          <w:tcPr>
            <w:tcW w:type="dxa" w:w="2160"/>
          </w:tcPr>
          <w:p>
            <w:pPr>
              <w:jc w:val="left"/>
            </w:pPr>
            <w:r/>
            <w:r>
              <w:rPr>
                <w:rFonts w:ascii="新細明體" w:hAnsi="新細明體" w:eastAsia="新細明體"/>
                <w:b/>
                <w:sz w:val="20"/>
              </w:rPr>
              <w:t>合計</w:t>
            </w:r>
          </w:p>
        </w:tc>
        <w:tc>
          <w:tcPr>
            <w:tcW w:type="dxa" w:w="2160"/>
          </w:tcPr>
          <w:p>
            <w:pPr>
              <w:jc w:val="center"/>
            </w:pPr>
            <w:r/>
            <w:r>
              <w:rPr>
                <w:rFonts w:ascii="新細明體" w:hAnsi="新細明體" w:eastAsia="新細明體"/>
                <w:b w:val="0"/>
                <w:sz w:val="20"/>
              </w:rPr>
              <w:t>—</w:t>
            </w:r>
          </w:p>
        </w:tc>
        <w:tc>
          <w:tcPr>
            <w:tcW w:type="dxa" w:w="2160"/>
          </w:tcPr>
          <w:p>
            <w:pPr>
              <w:jc w:val="center"/>
            </w:pPr>
            <w:r/>
            <w:r>
              <w:rPr>
                <w:rFonts w:ascii="新細明體" w:hAnsi="新細明體" w:eastAsia="新細明體"/>
                <w:b/>
                <w:sz w:val="20"/>
              </w:rPr>
              <w:t>11,580</w:t>
            </w:r>
          </w:p>
        </w:tc>
        <w:tc>
          <w:tcPr>
            <w:tcW w:type="dxa" w:w="2160"/>
          </w:tcPr>
          <w:p>
            <w:pPr>
              <w:jc w:val="center"/>
            </w:pPr>
            <w:r/>
            <w:r>
              <w:rPr>
                <w:rFonts w:ascii="新細明體" w:hAnsi="新細明體" w:eastAsia="新細明體"/>
                <w:b/>
                <w:sz w:val="20"/>
              </w:rPr>
              <w:t>100%</w:t>
            </w:r>
          </w:p>
        </w:tc>
      </w:tr>
    </w:tbl>
    <w:p>
      <w:pPr>
        <w:spacing w:before="120" w:after="120"/>
        <w:jc w:val="center"/>
      </w:pPr>
      <w:r>
        <w:rPr>
          <w:rFonts w:ascii="新細明體" w:hAnsi="新細明體" w:eastAsia="新細明體"/>
          <w:sz w:val="20"/>
        </w:rPr>
        <w:t>（資料來源：Wu et al., 2024；本研究整理）</w:t>
      </w:r>
    </w:p>
    <w:p>
      <w:pPr>
        <w:spacing w:line="360" w:lineRule="auto"/>
        <w:ind w:firstLine="482"/>
      </w:pPr>
      <w:r>
        <w:rPr>
          <w:rFonts w:ascii="新細明體" w:hAnsi="新細明體" w:eastAsia="新細明體"/>
          <w:b w:val="0"/>
          <w:sz w:val="24"/>
        </w:rPr>
        <w:t>在評論星級分布方面，5星評論佔絕大多數（9,184筆，79.3%），其次為4星（1,291筆）、3星（436筆）、2星（273筆）與1星（396筆），整體呈現明顯的正偏態分布，此現象與攜程網用戶普遍傾向給予較高評價的平台特性一致。為確保後續分析的時間一致性與可追溯性，本研究依評論發表日期對全部資料進行排序處理，並賦予唯一的Review ID，以便後續各階段分析結果之對應與追蹤。</w:t>
      </w:r>
    </w:p>
    <w:p>
      <w:pPr>
        <w:pStyle w:val="Heading2"/>
      </w:pPr>
      <w:r>
        <w:rPr>
          <w:rFonts w:ascii="新細明體" w:hAnsi="新細明體" w:eastAsia="新細明體"/>
          <w:color w:val="000000"/>
        </w:rPr>
        <w:t>4.2 生成式AI面向級情感分析結果</w:t>
      </w:r>
    </w:p>
    <w:p>
      <w:pPr>
        <w:pStyle w:val="Heading3"/>
      </w:pPr>
      <w:r>
        <w:rPr>
          <w:rFonts w:ascii="新細明體" w:hAnsi="新細明體" w:eastAsia="新細明體"/>
          <w:color w:val="000000"/>
        </w:rPr>
        <w:t>4.2.1 屬性提取與分類結果</w:t>
      </w:r>
    </w:p>
    <w:p>
      <w:pPr>
        <w:spacing w:line="360" w:lineRule="auto"/>
        <w:ind w:firstLine="482"/>
      </w:pPr>
      <w:r>
        <w:rPr>
          <w:rFonts w:ascii="新細明體" w:hAnsi="新細明體" w:eastAsia="新細明體"/>
          <w:b w:val="0"/>
          <w:sz w:val="24"/>
        </w:rPr>
        <w:t>本研究使用GPT-4o-mini模型，透過第三章所設計之結構化提示詞框架，對11,580筆評論逐筆進行面向級情感分析。模型針對每則評論識別其中涉及的服務屬性，並為每個屬性給予1至5分的情感評分與1至5分的重要性評分。經兩階段屬性分類處理後，共提取35,456個有效的屬性-情感配對，涵蓋12項預定義之標準服務屬性。其中，11,577筆評論（99.97%）至少被提取一個服務屬性，顯示本研究之提示詞設計能有效引導模型從絕大多數評論中識別出與服務相關的面向資訊。</w:t>
      </w:r>
    </w:p>
    <w:p>
      <w:pPr>
        <w:spacing w:line="360" w:lineRule="auto"/>
        <w:ind w:firstLine="482"/>
      </w:pPr>
      <w:r>
        <w:rPr>
          <w:rFonts w:ascii="新細明體" w:hAnsi="新細明體" w:eastAsia="新細明體"/>
          <w:b w:val="0"/>
          <w:sz w:val="24"/>
        </w:rPr>
        <w:t>就每則評論的屬性提取數量而言，平均每則評論提取3.06個屬性（中位數3.0個，最少1個，最多15個），此數據表明模型能夠從單一評論中同時識別多個服務面向，符合消費者在評論中通常同時論及多項服務體驗的實際情況。各服務屬性之提及次數統計如表15所示。</w:t>
      </w:r>
    </w:p>
    <w:p>
      <w:pPr>
        <w:spacing w:before="120" w:after="120"/>
        <w:jc w:val="center"/>
      </w:pPr>
      <w:r>
        <w:rPr>
          <w:rFonts w:ascii="新細明體" w:hAnsi="新細明體" w:eastAsia="新細明體"/>
          <w:sz w:val="20"/>
        </w:rPr>
        <w:t>表15 各服務屬性提及次數與績效統計</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shd w:fill="D9E2F3" w:val="clear"/>
          </w:tcPr>
          <w:p>
            <w:pPr>
              <w:jc w:val="center"/>
            </w:pPr>
            <w:r/>
            <w:r>
              <w:rPr>
                <w:rFonts w:ascii="新細明體" w:hAnsi="新細明體" w:eastAsia="新細明體"/>
                <w:b/>
                <w:sz w:val="20"/>
              </w:rPr>
              <w:t>排名</w:t>
            </w:r>
          </w:p>
        </w:tc>
        <w:tc>
          <w:tcPr>
            <w:tcW w:type="dxa" w:w="1440"/>
            <w:shd w:fill="D9E2F3" w:val="clear"/>
          </w:tcPr>
          <w:p>
            <w:pPr>
              <w:jc w:val="center"/>
            </w:pPr>
            <w:r/>
            <w:r>
              <w:rPr>
                <w:rFonts w:ascii="新細明體" w:hAnsi="新細明體" w:eastAsia="新細明體"/>
                <w:b/>
                <w:sz w:val="20"/>
              </w:rPr>
              <w:t>服務屬性</w:t>
            </w:r>
          </w:p>
        </w:tc>
        <w:tc>
          <w:tcPr>
            <w:tcW w:type="dxa" w:w="1440"/>
            <w:shd w:fill="D9E2F3" w:val="clear"/>
          </w:tcPr>
          <w:p>
            <w:pPr>
              <w:jc w:val="center"/>
            </w:pPr>
            <w:r/>
            <w:r>
              <w:rPr>
                <w:rFonts w:ascii="新細明體" w:hAnsi="新細明體" w:eastAsia="新細明體"/>
                <w:b/>
                <w:sz w:val="20"/>
              </w:rPr>
              <w:t>提及次數</w:t>
            </w:r>
          </w:p>
        </w:tc>
        <w:tc>
          <w:tcPr>
            <w:tcW w:type="dxa" w:w="1440"/>
            <w:shd w:fill="D9E2F3" w:val="clear"/>
          </w:tcPr>
          <w:p>
            <w:pPr>
              <w:jc w:val="center"/>
            </w:pPr>
            <w:r/>
            <w:r>
              <w:rPr>
                <w:rFonts w:ascii="新細明體" w:hAnsi="新細明體" w:eastAsia="新細明體"/>
                <w:b/>
                <w:sz w:val="20"/>
              </w:rPr>
              <w:t>佔比</w:t>
            </w:r>
          </w:p>
        </w:tc>
        <w:tc>
          <w:tcPr>
            <w:tcW w:type="dxa" w:w="1440"/>
            <w:shd w:fill="D9E2F3" w:val="clear"/>
          </w:tcPr>
          <w:p>
            <w:pPr>
              <w:jc w:val="center"/>
            </w:pPr>
            <w:r/>
            <w:r>
              <w:rPr>
                <w:rFonts w:ascii="新細明體" w:hAnsi="新細明體" w:eastAsia="新細明體"/>
                <w:b/>
                <w:sz w:val="20"/>
              </w:rPr>
              <w:t>平均績效</w:t>
            </w:r>
          </w:p>
        </w:tc>
        <w:tc>
          <w:tcPr>
            <w:tcW w:type="dxa" w:w="1440"/>
            <w:shd w:fill="D9E2F3" w:val="clear"/>
          </w:tcPr>
          <w:p>
            <w:pPr>
              <w:jc w:val="center"/>
            </w:pPr>
            <w:r/>
            <w:r>
              <w:rPr>
                <w:rFonts w:ascii="新細明體" w:hAnsi="新細明體" w:eastAsia="新細明體"/>
                <w:b/>
                <w:sz w:val="20"/>
              </w:rPr>
              <w:t>標準差</w:t>
            </w:r>
          </w:p>
        </w:tc>
      </w:tr>
      <w:tr>
        <w:tc>
          <w:tcPr>
            <w:tcW w:type="dxa" w:w="1440"/>
          </w:tcPr>
          <w:p>
            <w:pPr>
              <w:jc w:val="center"/>
            </w:pPr>
            <w:r/>
            <w:r>
              <w:rPr>
                <w:rFonts w:ascii="新細明體" w:hAnsi="新細明體" w:eastAsia="新細明體"/>
                <w:b w:val="0"/>
                <w:sz w:val="20"/>
              </w:rPr>
              <w:t>1</w:t>
            </w:r>
          </w:p>
        </w:tc>
        <w:tc>
          <w:tcPr>
            <w:tcW w:type="dxa" w:w="1440"/>
          </w:tcPr>
          <w:p>
            <w:pPr>
              <w:jc w:val="left"/>
            </w:pPr>
            <w:r/>
            <w:r>
              <w:rPr>
                <w:rFonts w:ascii="新細明體" w:hAnsi="新細明體" w:eastAsia="新細明體"/>
                <w:b w:val="0"/>
                <w:sz w:val="20"/>
              </w:rPr>
              <w:t>服務</w:t>
            </w:r>
          </w:p>
        </w:tc>
        <w:tc>
          <w:tcPr>
            <w:tcW w:type="dxa" w:w="1440"/>
          </w:tcPr>
          <w:p>
            <w:pPr>
              <w:jc w:val="center"/>
            </w:pPr>
            <w:r/>
            <w:r>
              <w:rPr>
                <w:rFonts w:ascii="新細明體" w:hAnsi="新細明體" w:eastAsia="新細明體"/>
                <w:b w:val="0"/>
                <w:sz w:val="20"/>
              </w:rPr>
              <w:t>12,275</w:t>
            </w:r>
          </w:p>
        </w:tc>
        <w:tc>
          <w:tcPr>
            <w:tcW w:type="dxa" w:w="1440"/>
          </w:tcPr>
          <w:p>
            <w:pPr>
              <w:jc w:val="center"/>
            </w:pPr>
            <w:r/>
            <w:r>
              <w:rPr>
                <w:rFonts w:ascii="新細明體" w:hAnsi="新細明體" w:eastAsia="新細明體"/>
                <w:b w:val="0"/>
                <w:sz w:val="20"/>
              </w:rPr>
              <w:t>34.6%</w:t>
            </w:r>
          </w:p>
        </w:tc>
        <w:tc>
          <w:tcPr>
            <w:tcW w:type="dxa" w:w="1440"/>
          </w:tcPr>
          <w:p>
            <w:pPr>
              <w:jc w:val="center"/>
            </w:pPr>
            <w:r/>
            <w:r>
              <w:rPr>
                <w:rFonts w:ascii="新細明體" w:hAnsi="新細明體" w:eastAsia="新細明體"/>
                <w:b w:val="0"/>
                <w:sz w:val="20"/>
              </w:rPr>
              <w:t>4.35</w:t>
            </w:r>
          </w:p>
        </w:tc>
        <w:tc>
          <w:tcPr>
            <w:tcW w:type="dxa" w:w="1440"/>
          </w:tcPr>
          <w:p>
            <w:pPr>
              <w:jc w:val="center"/>
            </w:pPr>
            <w:r/>
            <w:r>
              <w:rPr>
                <w:rFonts w:ascii="新細明體" w:hAnsi="新細明體" w:eastAsia="新細明體"/>
                <w:b w:val="0"/>
                <w:sz w:val="20"/>
              </w:rPr>
              <w:t>1.11</w:t>
            </w:r>
          </w:p>
        </w:tc>
      </w:tr>
      <w:tr>
        <w:tc>
          <w:tcPr>
            <w:tcW w:type="dxa" w:w="1440"/>
          </w:tcPr>
          <w:p>
            <w:pPr>
              <w:jc w:val="center"/>
            </w:pPr>
            <w:r/>
            <w:r>
              <w:rPr>
                <w:rFonts w:ascii="新細明體" w:hAnsi="新細明體" w:eastAsia="新細明體"/>
                <w:b w:val="0"/>
                <w:sz w:val="20"/>
              </w:rPr>
              <w:t>2</w:t>
            </w:r>
          </w:p>
        </w:tc>
        <w:tc>
          <w:tcPr>
            <w:tcW w:type="dxa" w:w="1440"/>
          </w:tcPr>
          <w:p>
            <w:pPr>
              <w:jc w:val="left"/>
            </w:pPr>
            <w:r/>
            <w:r>
              <w:rPr>
                <w:rFonts w:ascii="新細明體" w:hAnsi="新細明體" w:eastAsia="新細明體"/>
                <w:b w:val="0"/>
                <w:sz w:val="20"/>
              </w:rPr>
              <w:t>房間</w:t>
            </w:r>
          </w:p>
        </w:tc>
        <w:tc>
          <w:tcPr>
            <w:tcW w:type="dxa" w:w="1440"/>
          </w:tcPr>
          <w:p>
            <w:pPr>
              <w:jc w:val="center"/>
            </w:pPr>
            <w:r/>
            <w:r>
              <w:rPr>
                <w:rFonts w:ascii="新細明體" w:hAnsi="新細明體" w:eastAsia="新細明體"/>
                <w:b w:val="0"/>
                <w:sz w:val="20"/>
              </w:rPr>
              <w:t>5,564</w:t>
            </w:r>
          </w:p>
        </w:tc>
        <w:tc>
          <w:tcPr>
            <w:tcW w:type="dxa" w:w="1440"/>
          </w:tcPr>
          <w:p>
            <w:pPr>
              <w:jc w:val="center"/>
            </w:pPr>
            <w:r/>
            <w:r>
              <w:rPr>
                <w:rFonts w:ascii="新細明體" w:hAnsi="新細明體" w:eastAsia="新細明體"/>
                <w:b w:val="0"/>
                <w:sz w:val="20"/>
              </w:rPr>
              <w:t>15.7%</w:t>
            </w:r>
          </w:p>
        </w:tc>
        <w:tc>
          <w:tcPr>
            <w:tcW w:type="dxa" w:w="1440"/>
          </w:tcPr>
          <w:p>
            <w:pPr>
              <w:jc w:val="center"/>
            </w:pPr>
            <w:r/>
            <w:r>
              <w:rPr>
                <w:rFonts w:ascii="新細明體" w:hAnsi="新細明體" w:eastAsia="新細明體"/>
                <w:b w:val="0"/>
                <w:sz w:val="20"/>
              </w:rPr>
              <w:t>3.88</w:t>
            </w:r>
          </w:p>
        </w:tc>
        <w:tc>
          <w:tcPr>
            <w:tcW w:type="dxa" w:w="1440"/>
          </w:tcPr>
          <w:p>
            <w:pPr>
              <w:jc w:val="center"/>
            </w:pPr>
            <w:r/>
            <w:r>
              <w:rPr>
                <w:rFonts w:ascii="新細明體" w:hAnsi="新細明體" w:eastAsia="新細明體"/>
                <w:b w:val="0"/>
                <w:sz w:val="20"/>
              </w:rPr>
              <w:t>1.30</w:t>
            </w:r>
          </w:p>
        </w:tc>
      </w:tr>
      <w:tr>
        <w:tc>
          <w:tcPr>
            <w:tcW w:type="dxa" w:w="1440"/>
          </w:tcPr>
          <w:p>
            <w:pPr>
              <w:jc w:val="center"/>
            </w:pPr>
            <w:r/>
            <w:r>
              <w:rPr>
                <w:rFonts w:ascii="新細明體" w:hAnsi="新細明體" w:eastAsia="新細明體"/>
                <w:b w:val="0"/>
                <w:sz w:val="20"/>
              </w:rPr>
              <w:t>3</w:t>
            </w:r>
          </w:p>
        </w:tc>
        <w:tc>
          <w:tcPr>
            <w:tcW w:type="dxa" w:w="1440"/>
          </w:tcPr>
          <w:p>
            <w:pPr>
              <w:jc w:val="left"/>
            </w:pPr>
            <w:r/>
            <w:r>
              <w:rPr>
                <w:rFonts w:ascii="新細明體" w:hAnsi="新細明體" w:eastAsia="新細明體"/>
                <w:b w:val="0"/>
                <w:sz w:val="20"/>
              </w:rPr>
              <w:t>地理位置</w:t>
            </w:r>
          </w:p>
        </w:tc>
        <w:tc>
          <w:tcPr>
            <w:tcW w:type="dxa" w:w="1440"/>
          </w:tcPr>
          <w:p>
            <w:pPr>
              <w:jc w:val="center"/>
            </w:pPr>
            <w:r/>
            <w:r>
              <w:rPr>
                <w:rFonts w:ascii="新細明體" w:hAnsi="新細明體" w:eastAsia="新細明體"/>
                <w:b w:val="0"/>
                <w:sz w:val="20"/>
              </w:rPr>
              <w:t>3,386</w:t>
            </w:r>
          </w:p>
        </w:tc>
        <w:tc>
          <w:tcPr>
            <w:tcW w:type="dxa" w:w="1440"/>
          </w:tcPr>
          <w:p>
            <w:pPr>
              <w:jc w:val="center"/>
            </w:pPr>
            <w:r/>
            <w:r>
              <w:rPr>
                <w:rFonts w:ascii="新細明體" w:hAnsi="新細明體" w:eastAsia="新細明體"/>
                <w:b w:val="0"/>
                <w:sz w:val="20"/>
              </w:rPr>
              <w:t>9.5%</w:t>
            </w:r>
          </w:p>
        </w:tc>
        <w:tc>
          <w:tcPr>
            <w:tcW w:type="dxa" w:w="1440"/>
          </w:tcPr>
          <w:p>
            <w:pPr>
              <w:jc w:val="center"/>
            </w:pPr>
            <w:r/>
            <w:r>
              <w:rPr>
                <w:rFonts w:ascii="新細明體" w:hAnsi="新細明體" w:eastAsia="新細明體"/>
                <w:b w:val="0"/>
                <w:sz w:val="20"/>
              </w:rPr>
              <w:t>4.74</w:t>
            </w:r>
          </w:p>
        </w:tc>
        <w:tc>
          <w:tcPr>
            <w:tcW w:type="dxa" w:w="1440"/>
          </w:tcPr>
          <w:p>
            <w:pPr>
              <w:jc w:val="center"/>
            </w:pPr>
            <w:r/>
            <w:r>
              <w:rPr>
                <w:rFonts w:ascii="新細明體" w:hAnsi="新細明體" w:eastAsia="新細明體"/>
                <w:b w:val="0"/>
                <w:sz w:val="20"/>
              </w:rPr>
              <w:t>0.53</w:t>
            </w:r>
          </w:p>
        </w:tc>
      </w:tr>
      <w:tr>
        <w:tc>
          <w:tcPr>
            <w:tcW w:type="dxa" w:w="1440"/>
          </w:tcPr>
          <w:p>
            <w:pPr>
              <w:jc w:val="center"/>
            </w:pPr>
            <w:r/>
            <w:r>
              <w:rPr>
                <w:rFonts w:ascii="新細明體" w:hAnsi="新細明體" w:eastAsia="新細明體"/>
                <w:b w:val="0"/>
                <w:sz w:val="20"/>
              </w:rPr>
              <w:t>4</w:t>
            </w:r>
          </w:p>
        </w:tc>
        <w:tc>
          <w:tcPr>
            <w:tcW w:type="dxa" w:w="1440"/>
          </w:tcPr>
          <w:p>
            <w:pPr>
              <w:jc w:val="left"/>
            </w:pPr>
            <w:r/>
            <w:r>
              <w:rPr>
                <w:rFonts w:ascii="新細明體" w:hAnsi="新細明體" w:eastAsia="新細明體"/>
                <w:b w:val="0"/>
                <w:sz w:val="20"/>
              </w:rPr>
              <w:t>餐廳</w:t>
            </w:r>
          </w:p>
        </w:tc>
        <w:tc>
          <w:tcPr>
            <w:tcW w:type="dxa" w:w="1440"/>
          </w:tcPr>
          <w:p>
            <w:pPr>
              <w:jc w:val="center"/>
            </w:pPr>
            <w:r/>
            <w:r>
              <w:rPr>
                <w:rFonts w:ascii="新細明體" w:hAnsi="新細明體" w:eastAsia="新細明體"/>
                <w:b w:val="0"/>
                <w:sz w:val="20"/>
              </w:rPr>
              <w:t>2,784</w:t>
            </w:r>
          </w:p>
        </w:tc>
        <w:tc>
          <w:tcPr>
            <w:tcW w:type="dxa" w:w="1440"/>
          </w:tcPr>
          <w:p>
            <w:pPr>
              <w:jc w:val="center"/>
            </w:pPr>
            <w:r/>
            <w:r>
              <w:rPr>
                <w:rFonts w:ascii="新細明體" w:hAnsi="新細明體" w:eastAsia="新細明體"/>
                <w:b w:val="0"/>
                <w:sz w:val="20"/>
              </w:rPr>
              <w:t>7.9%</w:t>
            </w:r>
          </w:p>
        </w:tc>
        <w:tc>
          <w:tcPr>
            <w:tcW w:type="dxa" w:w="1440"/>
          </w:tcPr>
          <w:p>
            <w:pPr>
              <w:jc w:val="center"/>
            </w:pPr>
            <w:r/>
            <w:r>
              <w:rPr>
                <w:rFonts w:ascii="新細明體" w:hAnsi="新細明體" w:eastAsia="新細明體"/>
                <w:b w:val="0"/>
                <w:sz w:val="20"/>
              </w:rPr>
              <w:t>3.84</w:t>
            </w:r>
          </w:p>
        </w:tc>
        <w:tc>
          <w:tcPr>
            <w:tcW w:type="dxa" w:w="1440"/>
          </w:tcPr>
          <w:p>
            <w:pPr>
              <w:jc w:val="center"/>
            </w:pPr>
            <w:r/>
            <w:r>
              <w:rPr>
                <w:rFonts w:ascii="新細明體" w:hAnsi="新細明體" w:eastAsia="新細明體"/>
                <w:b w:val="0"/>
                <w:sz w:val="20"/>
              </w:rPr>
              <w:t>1.24</w:t>
            </w:r>
          </w:p>
        </w:tc>
      </w:tr>
      <w:tr>
        <w:tc>
          <w:tcPr>
            <w:tcW w:type="dxa" w:w="1440"/>
          </w:tcPr>
          <w:p>
            <w:pPr>
              <w:jc w:val="center"/>
            </w:pPr>
            <w:r/>
            <w:r>
              <w:rPr>
                <w:rFonts w:ascii="新細明體" w:hAnsi="新細明體" w:eastAsia="新細明體"/>
                <w:b w:val="0"/>
                <w:sz w:val="20"/>
              </w:rPr>
              <w:t>5</w:t>
            </w:r>
          </w:p>
        </w:tc>
        <w:tc>
          <w:tcPr>
            <w:tcW w:type="dxa" w:w="1440"/>
          </w:tcPr>
          <w:p>
            <w:pPr>
              <w:jc w:val="left"/>
            </w:pPr>
            <w:r/>
            <w:r>
              <w:rPr>
                <w:rFonts w:ascii="新細明體" w:hAnsi="新細明體" w:eastAsia="新細明體"/>
                <w:b w:val="0"/>
                <w:sz w:val="20"/>
              </w:rPr>
              <w:t>清潔度</w:t>
            </w:r>
          </w:p>
        </w:tc>
        <w:tc>
          <w:tcPr>
            <w:tcW w:type="dxa" w:w="1440"/>
          </w:tcPr>
          <w:p>
            <w:pPr>
              <w:jc w:val="center"/>
            </w:pPr>
            <w:r/>
            <w:r>
              <w:rPr>
                <w:rFonts w:ascii="新細明體" w:hAnsi="新細明體" w:eastAsia="新細明體"/>
                <w:b w:val="0"/>
                <w:sz w:val="20"/>
              </w:rPr>
              <w:t>2,700</w:t>
            </w:r>
          </w:p>
        </w:tc>
        <w:tc>
          <w:tcPr>
            <w:tcW w:type="dxa" w:w="1440"/>
          </w:tcPr>
          <w:p>
            <w:pPr>
              <w:jc w:val="center"/>
            </w:pPr>
            <w:r/>
            <w:r>
              <w:rPr>
                <w:rFonts w:ascii="新細明體" w:hAnsi="新細明體" w:eastAsia="新細明體"/>
                <w:b w:val="0"/>
                <w:sz w:val="20"/>
              </w:rPr>
              <w:t>7.6%</w:t>
            </w:r>
          </w:p>
        </w:tc>
        <w:tc>
          <w:tcPr>
            <w:tcW w:type="dxa" w:w="1440"/>
          </w:tcPr>
          <w:p>
            <w:pPr>
              <w:jc w:val="center"/>
            </w:pPr>
            <w:r/>
            <w:r>
              <w:rPr>
                <w:rFonts w:ascii="新細明體" w:hAnsi="新細明體" w:eastAsia="新細明體"/>
                <w:b w:val="0"/>
                <w:sz w:val="20"/>
              </w:rPr>
              <w:t>4.35</w:t>
            </w:r>
          </w:p>
        </w:tc>
        <w:tc>
          <w:tcPr>
            <w:tcW w:type="dxa" w:w="1440"/>
          </w:tcPr>
          <w:p>
            <w:pPr>
              <w:jc w:val="center"/>
            </w:pPr>
            <w:r/>
            <w:r>
              <w:rPr>
                <w:rFonts w:ascii="新細明體" w:hAnsi="新細明體" w:eastAsia="新細明體"/>
                <w:b w:val="0"/>
                <w:sz w:val="20"/>
              </w:rPr>
              <w:t>1.19</w:t>
            </w:r>
          </w:p>
        </w:tc>
      </w:tr>
      <w:tr>
        <w:tc>
          <w:tcPr>
            <w:tcW w:type="dxa" w:w="1440"/>
          </w:tcPr>
          <w:p>
            <w:pPr>
              <w:jc w:val="center"/>
            </w:pPr>
            <w:r/>
            <w:r>
              <w:rPr>
                <w:rFonts w:ascii="新細明體" w:hAnsi="新細明體" w:eastAsia="新細明體"/>
                <w:b w:val="0"/>
                <w:sz w:val="20"/>
              </w:rPr>
              <w:t>6</w:t>
            </w:r>
          </w:p>
        </w:tc>
        <w:tc>
          <w:tcPr>
            <w:tcW w:type="dxa" w:w="1440"/>
          </w:tcPr>
          <w:p>
            <w:pPr>
              <w:jc w:val="left"/>
            </w:pPr>
            <w:r/>
            <w:r>
              <w:rPr>
                <w:rFonts w:ascii="新細明體" w:hAnsi="新細明體" w:eastAsia="新細明體"/>
                <w:b w:val="0"/>
                <w:sz w:val="20"/>
              </w:rPr>
              <w:t>公共設施</w:t>
            </w:r>
          </w:p>
        </w:tc>
        <w:tc>
          <w:tcPr>
            <w:tcW w:type="dxa" w:w="1440"/>
          </w:tcPr>
          <w:p>
            <w:pPr>
              <w:jc w:val="center"/>
            </w:pPr>
            <w:r/>
            <w:r>
              <w:rPr>
                <w:rFonts w:ascii="新細明體" w:hAnsi="新細明體" w:eastAsia="新細明體"/>
                <w:b w:val="0"/>
                <w:sz w:val="20"/>
              </w:rPr>
              <w:t>1,872</w:t>
            </w:r>
          </w:p>
        </w:tc>
        <w:tc>
          <w:tcPr>
            <w:tcW w:type="dxa" w:w="1440"/>
          </w:tcPr>
          <w:p>
            <w:pPr>
              <w:jc w:val="center"/>
            </w:pPr>
            <w:r/>
            <w:r>
              <w:rPr>
                <w:rFonts w:ascii="新細明體" w:hAnsi="新細明體" w:eastAsia="新細明體"/>
                <w:b w:val="0"/>
                <w:sz w:val="20"/>
              </w:rPr>
              <w:t>5.3%</w:t>
            </w:r>
          </w:p>
        </w:tc>
        <w:tc>
          <w:tcPr>
            <w:tcW w:type="dxa" w:w="1440"/>
          </w:tcPr>
          <w:p>
            <w:pPr>
              <w:jc w:val="center"/>
            </w:pPr>
            <w:r/>
            <w:r>
              <w:rPr>
                <w:rFonts w:ascii="新細明體" w:hAnsi="新細明體" w:eastAsia="新細明體"/>
                <w:b w:val="0"/>
                <w:sz w:val="20"/>
              </w:rPr>
              <w:t>4.14</w:t>
            </w:r>
          </w:p>
        </w:tc>
        <w:tc>
          <w:tcPr>
            <w:tcW w:type="dxa" w:w="1440"/>
          </w:tcPr>
          <w:p>
            <w:pPr>
              <w:jc w:val="center"/>
            </w:pPr>
            <w:r/>
            <w:r>
              <w:rPr>
                <w:rFonts w:ascii="新細明體" w:hAnsi="新細明體" w:eastAsia="新細明體"/>
                <w:b w:val="0"/>
                <w:sz w:val="20"/>
              </w:rPr>
              <w:t>1.10</w:t>
            </w:r>
          </w:p>
        </w:tc>
      </w:tr>
      <w:tr>
        <w:tc>
          <w:tcPr>
            <w:tcW w:type="dxa" w:w="1440"/>
          </w:tcPr>
          <w:p>
            <w:pPr>
              <w:jc w:val="center"/>
            </w:pPr>
            <w:r/>
            <w:r>
              <w:rPr>
                <w:rFonts w:ascii="新細明體" w:hAnsi="新細明體" w:eastAsia="新細明體"/>
                <w:b w:val="0"/>
                <w:sz w:val="20"/>
              </w:rPr>
              <w:t>7</w:t>
            </w:r>
          </w:p>
        </w:tc>
        <w:tc>
          <w:tcPr>
            <w:tcW w:type="dxa" w:w="1440"/>
          </w:tcPr>
          <w:p>
            <w:pPr>
              <w:jc w:val="left"/>
            </w:pPr>
            <w:r/>
            <w:r>
              <w:rPr>
                <w:rFonts w:ascii="新細明體" w:hAnsi="新細明體" w:eastAsia="新細明體"/>
                <w:b w:val="0"/>
                <w:sz w:val="20"/>
              </w:rPr>
              <w:t>交通</w:t>
            </w:r>
          </w:p>
        </w:tc>
        <w:tc>
          <w:tcPr>
            <w:tcW w:type="dxa" w:w="1440"/>
          </w:tcPr>
          <w:p>
            <w:pPr>
              <w:jc w:val="center"/>
            </w:pPr>
            <w:r/>
            <w:r>
              <w:rPr>
                <w:rFonts w:ascii="新細明體" w:hAnsi="新細明體" w:eastAsia="新細明體"/>
                <w:b w:val="0"/>
                <w:sz w:val="20"/>
              </w:rPr>
              <w:t>1,823</w:t>
            </w:r>
          </w:p>
        </w:tc>
        <w:tc>
          <w:tcPr>
            <w:tcW w:type="dxa" w:w="1440"/>
          </w:tcPr>
          <w:p>
            <w:pPr>
              <w:jc w:val="center"/>
            </w:pPr>
            <w:r/>
            <w:r>
              <w:rPr>
                <w:rFonts w:ascii="新細明體" w:hAnsi="新細明體" w:eastAsia="新細明體"/>
                <w:b w:val="0"/>
                <w:sz w:val="20"/>
              </w:rPr>
              <w:t>5.1%</w:t>
            </w:r>
          </w:p>
        </w:tc>
        <w:tc>
          <w:tcPr>
            <w:tcW w:type="dxa" w:w="1440"/>
          </w:tcPr>
          <w:p>
            <w:pPr>
              <w:jc w:val="center"/>
            </w:pPr>
            <w:r/>
            <w:r>
              <w:rPr>
                <w:rFonts w:ascii="新細明體" w:hAnsi="新細明體" w:eastAsia="新細明體"/>
                <w:b w:val="0"/>
                <w:sz w:val="20"/>
              </w:rPr>
              <w:t>4.69</w:t>
            </w:r>
          </w:p>
        </w:tc>
        <w:tc>
          <w:tcPr>
            <w:tcW w:type="dxa" w:w="1440"/>
          </w:tcPr>
          <w:p>
            <w:pPr>
              <w:jc w:val="center"/>
            </w:pPr>
            <w:r/>
            <w:r>
              <w:rPr>
                <w:rFonts w:ascii="新細明體" w:hAnsi="新細明體" w:eastAsia="新細明體"/>
                <w:b w:val="0"/>
                <w:sz w:val="20"/>
              </w:rPr>
              <w:t>0.66</w:t>
            </w:r>
          </w:p>
        </w:tc>
      </w:tr>
      <w:tr>
        <w:tc>
          <w:tcPr>
            <w:tcW w:type="dxa" w:w="1440"/>
          </w:tcPr>
          <w:p>
            <w:pPr>
              <w:jc w:val="center"/>
            </w:pPr>
            <w:r/>
            <w:r>
              <w:rPr>
                <w:rFonts w:ascii="新細明體" w:hAnsi="新細明體" w:eastAsia="新細明體"/>
                <w:b w:val="0"/>
                <w:sz w:val="20"/>
              </w:rPr>
              <w:t>8</w:t>
            </w:r>
          </w:p>
        </w:tc>
        <w:tc>
          <w:tcPr>
            <w:tcW w:type="dxa" w:w="1440"/>
          </w:tcPr>
          <w:p>
            <w:pPr>
              <w:jc w:val="left"/>
            </w:pPr>
            <w:r/>
            <w:r>
              <w:rPr>
                <w:rFonts w:ascii="新細明體" w:hAnsi="新細明體" w:eastAsia="新細明體"/>
                <w:b w:val="0"/>
                <w:sz w:val="20"/>
              </w:rPr>
              <w:t>周邊環境</w:t>
            </w:r>
          </w:p>
        </w:tc>
        <w:tc>
          <w:tcPr>
            <w:tcW w:type="dxa" w:w="1440"/>
          </w:tcPr>
          <w:p>
            <w:pPr>
              <w:jc w:val="center"/>
            </w:pPr>
            <w:r/>
            <w:r>
              <w:rPr>
                <w:rFonts w:ascii="新細明體" w:hAnsi="新細明體" w:eastAsia="新細明體"/>
                <w:b w:val="0"/>
                <w:sz w:val="20"/>
              </w:rPr>
              <w:t>1,812</w:t>
            </w:r>
          </w:p>
        </w:tc>
        <w:tc>
          <w:tcPr>
            <w:tcW w:type="dxa" w:w="1440"/>
          </w:tcPr>
          <w:p>
            <w:pPr>
              <w:jc w:val="center"/>
            </w:pPr>
            <w:r/>
            <w:r>
              <w:rPr>
                <w:rFonts w:ascii="新細明體" w:hAnsi="新細明體" w:eastAsia="新細明體"/>
                <w:b w:val="0"/>
                <w:sz w:val="20"/>
              </w:rPr>
              <w:t>5.1%</w:t>
            </w:r>
          </w:p>
        </w:tc>
        <w:tc>
          <w:tcPr>
            <w:tcW w:type="dxa" w:w="1440"/>
          </w:tcPr>
          <w:p>
            <w:pPr>
              <w:jc w:val="center"/>
            </w:pPr>
            <w:r/>
            <w:r>
              <w:rPr>
                <w:rFonts w:ascii="新細明體" w:hAnsi="新細明體" w:eastAsia="新細明體"/>
                <w:b w:val="0"/>
                <w:sz w:val="20"/>
              </w:rPr>
              <w:t>4.54</w:t>
            </w:r>
          </w:p>
        </w:tc>
        <w:tc>
          <w:tcPr>
            <w:tcW w:type="dxa" w:w="1440"/>
          </w:tcPr>
          <w:p>
            <w:pPr>
              <w:jc w:val="center"/>
            </w:pPr>
            <w:r/>
            <w:r>
              <w:rPr>
                <w:rFonts w:ascii="新細明體" w:hAnsi="新細明體" w:eastAsia="新細明體"/>
                <w:b w:val="0"/>
                <w:sz w:val="20"/>
              </w:rPr>
              <w:t>0.68</w:t>
            </w:r>
          </w:p>
        </w:tc>
      </w:tr>
      <w:tr>
        <w:tc>
          <w:tcPr>
            <w:tcW w:type="dxa" w:w="1440"/>
          </w:tcPr>
          <w:p>
            <w:pPr>
              <w:jc w:val="center"/>
            </w:pPr>
            <w:r/>
            <w:r>
              <w:rPr>
                <w:rFonts w:ascii="新細明體" w:hAnsi="新細明體" w:eastAsia="新細明體"/>
                <w:b w:val="0"/>
                <w:sz w:val="20"/>
              </w:rPr>
              <w:t>9</w:t>
            </w:r>
          </w:p>
        </w:tc>
        <w:tc>
          <w:tcPr>
            <w:tcW w:type="dxa" w:w="1440"/>
          </w:tcPr>
          <w:p>
            <w:pPr>
              <w:jc w:val="left"/>
            </w:pPr>
            <w:r/>
            <w:r>
              <w:rPr>
                <w:rFonts w:ascii="新細明體" w:hAnsi="新細明體" w:eastAsia="新細明體"/>
                <w:b w:val="0"/>
                <w:sz w:val="20"/>
              </w:rPr>
              <w:t>性價比</w:t>
            </w:r>
          </w:p>
        </w:tc>
        <w:tc>
          <w:tcPr>
            <w:tcW w:type="dxa" w:w="1440"/>
          </w:tcPr>
          <w:p>
            <w:pPr>
              <w:jc w:val="center"/>
            </w:pPr>
            <w:r/>
            <w:r>
              <w:rPr>
                <w:rFonts w:ascii="新細明體" w:hAnsi="新細明體" w:eastAsia="新細明體"/>
                <w:b w:val="0"/>
                <w:sz w:val="20"/>
              </w:rPr>
              <w:t>1,731</w:t>
            </w:r>
          </w:p>
        </w:tc>
        <w:tc>
          <w:tcPr>
            <w:tcW w:type="dxa" w:w="1440"/>
          </w:tcPr>
          <w:p>
            <w:pPr>
              <w:jc w:val="center"/>
            </w:pPr>
            <w:r/>
            <w:r>
              <w:rPr>
                <w:rFonts w:ascii="新細明體" w:hAnsi="新細明體" w:eastAsia="新細明體"/>
                <w:b w:val="0"/>
                <w:sz w:val="20"/>
              </w:rPr>
              <w:t>4.9%</w:t>
            </w:r>
          </w:p>
        </w:tc>
        <w:tc>
          <w:tcPr>
            <w:tcW w:type="dxa" w:w="1440"/>
          </w:tcPr>
          <w:p>
            <w:pPr>
              <w:jc w:val="center"/>
            </w:pPr>
            <w:r/>
            <w:r>
              <w:rPr>
                <w:rFonts w:ascii="新細明體" w:hAnsi="新細明體" w:eastAsia="新細明體"/>
                <w:b w:val="0"/>
                <w:sz w:val="20"/>
              </w:rPr>
              <w:t>4.08</w:t>
            </w:r>
          </w:p>
        </w:tc>
        <w:tc>
          <w:tcPr>
            <w:tcW w:type="dxa" w:w="1440"/>
          </w:tcPr>
          <w:p>
            <w:pPr>
              <w:jc w:val="center"/>
            </w:pPr>
            <w:r/>
            <w:r>
              <w:rPr>
                <w:rFonts w:ascii="新細明體" w:hAnsi="新細明體" w:eastAsia="新細明體"/>
                <w:b w:val="0"/>
                <w:sz w:val="20"/>
              </w:rPr>
              <w:t>1.20</w:t>
            </w:r>
          </w:p>
        </w:tc>
      </w:tr>
      <w:tr>
        <w:tc>
          <w:tcPr>
            <w:tcW w:type="dxa" w:w="1440"/>
          </w:tcPr>
          <w:p>
            <w:pPr>
              <w:jc w:val="center"/>
            </w:pPr>
            <w:r/>
            <w:r>
              <w:rPr>
                <w:rFonts w:ascii="新細明體" w:hAnsi="新細明體" w:eastAsia="新細明體"/>
                <w:b w:val="0"/>
                <w:sz w:val="20"/>
              </w:rPr>
              <w:t>10</w:t>
            </w:r>
          </w:p>
        </w:tc>
        <w:tc>
          <w:tcPr>
            <w:tcW w:type="dxa" w:w="1440"/>
          </w:tcPr>
          <w:p>
            <w:pPr>
              <w:jc w:val="left"/>
            </w:pPr>
            <w:r/>
            <w:r>
              <w:rPr>
                <w:rFonts w:ascii="新細明體" w:hAnsi="新細明體" w:eastAsia="新細明體"/>
                <w:b w:val="0"/>
                <w:sz w:val="20"/>
              </w:rPr>
              <w:t>睡眠品質</w:t>
            </w:r>
          </w:p>
        </w:tc>
        <w:tc>
          <w:tcPr>
            <w:tcW w:type="dxa" w:w="1440"/>
          </w:tcPr>
          <w:p>
            <w:pPr>
              <w:jc w:val="center"/>
            </w:pPr>
            <w:r/>
            <w:r>
              <w:rPr>
                <w:rFonts w:ascii="新細明體" w:hAnsi="新細明體" w:eastAsia="新細明體"/>
                <w:b w:val="0"/>
                <w:sz w:val="20"/>
              </w:rPr>
              <w:t>572</w:t>
            </w:r>
          </w:p>
        </w:tc>
        <w:tc>
          <w:tcPr>
            <w:tcW w:type="dxa" w:w="1440"/>
          </w:tcPr>
          <w:p>
            <w:pPr>
              <w:jc w:val="center"/>
            </w:pPr>
            <w:r/>
            <w:r>
              <w:rPr>
                <w:rFonts w:ascii="新細明體" w:hAnsi="新細明體" w:eastAsia="新細明體"/>
                <w:b w:val="0"/>
                <w:sz w:val="20"/>
              </w:rPr>
              <w:t>1.6%</w:t>
            </w:r>
          </w:p>
        </w:tc>
        <w:tc>
          <w:tcPr>
            <w:tcW w:type="dxa" w:w="1440"/>
          </w:tcPr>
          <w:p>
            <w:pPr>
              <w:jc w:val="center"/>
            </w:pPr>
            <w:r/>
            <w:r>
              <w:rPr>
                <w:rFonts w:ascii="新細明體" w:hAnsi="新細明體" w:eastAsia="新細明體"/>
                <w:b w:val="0"/>
                <w:sz w:val="20"/>
              </w:rPr>
              <w:t>3.84</w:t>
            </w:r>
          </w:p>
        </w:tc>
        <w:tc>
          <w:tcPr>
            <w:tcW w:type="dxa" w:w="1440"/>
          </w:tcPr>
          <w:p>
            <w:pPr>
              <w:jc w:val="center"/>
            </w:pPr>
            <w:r/>
            <w:r>
              <w:rPr>
                <w:rFonts w:ascii="新細明體" w:hAnsi="新細明體" w:eastAsia="新細明體"/>
                <w:b w:val="0"/>
                <w:sz w:val="20"/>
              </w:rPr>
              <w:t>1.41</w:t>
            </w:r>
          </w:p>
        </w:tc>
      </w:tr>
      <w:tr>
        <w:tc>
          <w:tcPr>
            <w:tcW w:type="dxa" w:w="1440"/>
          </w:tcPr>
          <w:p>
            <w:pPr>
              <w:jc w:val="center"/>
            </w:pPr>
            <w:r/>
            <w:r>
              <w:rPr>
                <w:rFonts w:ascii="新細明體" w:hAnsi="新細明體" w:eastAsia="新細明體"/>
                <w:b w:val="0"/>
                <w:sz w:val="20"/>
              </w:rPr>
              <w:t>11</w:t>
            </w:r>
          </w:p>
        </w:tc>
        <w:tc>
          <w:tcPr>
            <w:tcW w:type="dxa" w:w="1440"/>
          </w:tcPr>
          <w:p>
            <w:pPr>
              <w:jc w:val="left"/>
            </w:pPr>
            <w:r/>
            <w:r>
              <w:rPr>
                <w:rFonts w:ascii="新細明體" w:hAnsi="新細明體" w:eastAsia="新細明體"/>
                <w:b w:val="0"/>
                <w:sz w:val="20"/>
              </w:rPr>
              <w:t>衛浴</w:t>
            </w:r>
          </w:p>
        </w:tc>
        <w:tc>
          <w:tcPr>
            <w:tcW w:type="dxa" w:w="1440"/>
          </w:tcPr>
          <w:p>
            <w:pPr>
              <w:jc w:val="center"/>
            </w:pPr>
            <w:r/>
            <w:r>
              <w:rPr>
                <w:rFonts w:ascii="新細明體" w:hAnsi="新細明體" w:eastAsia="新細明體"/>
                <w:b w:val="0"/>
                <w:sz w:val="20"/>
              </w:rPr>
              <w:t>552</w:t>
            </w:r>
          </w:p>
        </w:tc>
        <w:tc>
          <w:tcPr>
            <w:tcW w:type="dxa" w:w="1440"/>
          </w:tcPr>
          <w:p>
            <w:pPr>
              <w:jc w:val="center"/>
            </w:pPr>
            <w:r/>
            <w:r>
              <w:rPr>
                <w:rFonts w:ascii="新細明體" w:hAnsi="新細明體" w:eastAsia="新細明體"/>
                <w:b w:val="0"/>
                <w:sz w:val="20"/>
              </w:rPr>
              <w:t>1.6%</w:t>
            </w:r>
          </w:p>
        </w:tc>
        <w:tc>
          <w:tcPr>
            <w:tcW w:type="dxa" w:w="1440"/>
          </w:tcPr>
          <w:p>
            <w:pPr>
              <w:jc w:val="center"/>
            </w:pPr>
            <w:r/>
            <w:r>
              <w:rPr>
                <w:rFonts w:ascii="新細明體" w:hAnsi="新細明體" w:eastAsia="新細明體"/>
                <w:b w:val="0"/>
                <w:sz w:val="20"/>
              </w:rPr>
              <w:t>3.47</w:t>
            </w:r>
          </w:p>
        </w:tc>
        <w:tc>
          <w:tcPr>
            <w:tcW w:type="dxa" w:w="1440"/>
          </w:tcPr>
          <w:p>
            <w:pPr>
              <w:jc w:val="center"/>
            </w:pPr>
            <w:r/>
            <w:r>
              <w:rPr>
                <w:rFonts w:ascii="新細明體" w:hAnsi="新細明體" w:eastAsia="新細明體"/>
                <w:b w:val="0"/>
                <w:sz w:val="20"/>
              </w:rPr>
              <w:t>1.57</w:t>
            </w:r>
          </w:p>
        </w:tc>
      </w:tr>
      <w:tr>
        <w:tc>
          <w:tcPr>
            <w:tcW w:type="dxa" w:w="1440"/>
          </w:tcPr>
          <w:p>
            <w:pPr>
              <w:jc w:val="center"/>
            </w:pPr>
            <w:r/>
            <w:r>
              <w:rPr>
                <w:rFonts w:ascii="新細明體" w:hAnsi="新細明體" w:eastAsia="新細明體"/>
                <w:b w:val="0"/>
                <w:sz w:val="20"/>
              </w:rPr>
              <w:t>12</w:t>
            </w:r>
          </w:p>
        </w:tc>
        <w:tc>
          <w:tcPr>
            <w:tcW w:type="dxa" w:w="1440"/>
          </w:tcPr>
          <w:p>
            <w:pPr>
              <w:jc w:val="left"/>
            </w:pPr>
            <w:r/>
            <w:r>
              <w:rPr>
                <w:rFonts w:ascii="新細明體" w:hAnsi="新細明體" w:eastAsia="新細明體"/>
                <w:b w:val="0"/>
                <w:sz w:val="20"/>
              </w:rPr>
              <w:t>停車</w:t>
            </w:r>
          </w:p>
        </w:tc>
        <w:tc>
          <w:tcPr>
            <w:tcW w:type="dxa" w:w="1440"/>
          </w:tcPr>
          <w:p>
            <w:pPr>
              <w:jc w:val="center"/>
            </w:pPr>
            <w:r/>
            <w:r>
              <w:rPr>
                <w:rFonts w:ascii="新細明體" w:hAnsi="新細明體" w:eastAsia="新細明體"/>
                <w:b w:val="0"/>
                <w:sz w:val="20"/>
              </w:rPr>
              <w:t>385</w:t>
            </w:r>
          </w:p>
        </w:tc>
        <w:tc>
          <w:tcPr>
            <w:tcW w:type="dxa" w:w="1440"/>
          </w:tcPr>
          <w:p>
            <w:pPr>
              <w:jc w:val="center"/>
            </w:pPr>
            <w:r/>
            <w:r>
              <w:rPr>
                <w:rFonts w:ascii="新細明體" w:hAnsi="新細明體" w:eastAsia="新細明體"/>
                <w:b w:val="0"/>
                <w:sz w:val="20"/>
              </w:rPr>
              <w:t>1.1%</w:t>
            </w:r>
          </w:p>
        </w:tc>
        <w:tc>
          <w:tcPr>
            <w:tcW w:type="dxa" w:w="1440"/>
          </w:tcPr>
          <w:p>
            <w:pPr>
              <w:jc w:val="center"/>
            </w:pPr>
            <w:r/>
            <w:r>
              <w:rPr>
                <w:rFonts w:ascii="新細明體" w:hAnsi="新細明體" w:eastAsia="新細明體"/>
                <w:b w:val="0"/>
                <w:sz w:val="20"/>
              </w:rPr>
              <w:t>3.19</w:t>
            </w:r>
          </w:p>
        </w:tc>
        <w:tc>
          <w:tcPr>
            <w:tcW w:type="dxa" w:w="1440"/>
          </w:tcPr>
          <w:p>
            <w:pPr>
              <w:jc w:val="center"/>
            </w:pPr>
            <w:r/>
            <w:r>
              <w:rPr>
                <w:rFonts w:ascii="新細明體" w:hAnsi="新細明體" w:eastAsia="新細明體"/>
                <w:b w:val="0"/>
                <w:sz w:val="20"/>
              </w:rPr>
              <w:t>1.36</w:t>
            </w:r>
          </w:p>
        </w:tc>
      </w:tr>
      <w:tr>
        <w:tc>
          <w:tcPr>
            <w:tcW w:type="dxa" w:w="1440"/>
          </w:tcPr>
          <w:p>
            <w:pPr>
              <w:jc w:val="center"/>
            </w:pPr>
            <w:r/>
            <w:r>
              <w:rPr>
                <w:rFonts w:ascii="新細明體" w:hAnsi="新細明體" w:eastAsia="新細明體"/>
                <w:b w:val="0"/>
                <w:sz w:val="20"/>
              </w:rPr>
            </w:r>
          </w:p>
        </w:tc>
        <w:tc>
          <w:tcPr>
            <w:tcW w:type="dxa" w:w="1440"/>
          </w:tcPr>
          <w:p>
            <w:pPr>
              <w:jc w:val="left"/>
            </w:pPr>
            <w:r/>
            <w:r>
              <w:rPr>
                <w:rFonts w:ascii="新細明體" w:hAnsi="新細明體" w:eastAsia="新細明體"/>
                <w:b/>
                <w:sz w:val="20"/>
              </w:rPr>
              <w:t>合計</w:t>
            </w:r>
          </w:p>
        </w:tc>
        <w:tc>
          <w:tcPr>
            <w:tcW w:type="dxa" w:w="1440"/>
          </w:tcPr>
          <w:p>
            <w:pPr>
              <w:jc w:val="center"/>
            </w:pPr>
            <w:r/>
            <w:r>
              <w:rPr>
                <w:rFonts w:ascii="新細明體" w:hAnsi="新細明體" w:eastAsia="新細明體"/>
                <w:b/>
                <w:sz w:val="20"/>
              </w:rPr>
              <w:t>35,456</w:t>
            </w:r>
          </w:p>
        </w:tc>
        <w:tc>
          <w:tcPr>
            <w:tcW w:type="dxa" w:w="1440"/>
          </w:tcPr>
          <w:p>
            <w:pPr>
              <w:jc w:val="center"/>
            </w:pPr>
            <w:r/>
            <w:r>
              <w:rPr>
                <w:rFonts w:ascii="新細明體" w:hAnsi="新細明體" w:eastAsia="新細明體"/>
                <w:b/>
                <w:sz w:val="20"/>
              </w:rPr>
              <w:t>100%</w:t>
            </w:r>
          </w:p>
        </w:tc>
        <w:tc>
          <w:tcPr>
            <w:tcW w:type="dxa" w:w="1440"/>
          </w:tcPr>
          <w:p>
            <w:pPr>
              <w:jc w:val="center"/>
            </w:pPr>
            <w:r/>
            <w:r>
              <w:rPr>
                <w:rFonts w:ascii="新細明體" w:hAnsi="新細明體" w:eastAsia="新細明體"/>
                <w:b w:val="0"/>
                <w:sz w:val="20"/>
              </w:rPr>
              <w:t>—</w:t>
            </w:r>
          </w:p>
        </w:tc>
        <w:tc>
          <w:tcPr>
            <w:tcW w:type="dxa" w:w="1440"/>
          </w:tcPr>
          <w:p>
            <w:pPr>
              <w:jc w:val="center"/>
            </w:pPr>
            <w:r/>
            <w:r>
              <w:rPr>
                <w:rFonts w:ascii="新細明體" w:hAnsi="新細明體" w:eastAsia="新細明體"/>
                <w:b w:val="0"/>
                <w:sz w:val="20"/>
              </w:rPr>
              <w:t>—</w:t>
            </w:r>
          </w:p>
        </w:tc>
      </w:tr>
    </w:tbl>
    <w:p>
      <w:pPr>
        <w:spacing w:before="120" w:after="120"/>
        <w:jc w:val="center"/>
      </w:pPr>
      <w:r>
        <w:rPr>
          <w:rFonts w:ascii="新細明體" w:hAnsi="新細明體" w:eastAsia="新細明體"/>
          <w:sz w:val="20"/>
        </w:rPr>
        <w:t>（資料來源：本研究整理）</w:t>
      </w:r>
    </w:p>
    <w:p>
      <w:pPr>
        <w:spacing w:line="360" w:lineRule="auto"/>
        <w:ind w:firstLine="482"/>
      </w:pPr>
      <w:r>
        <w:rPr>
          <w:rFonts w:ascii="新細明體" w:hAnsi="新細明體" w:eastAsia="新細明體"/>
          <w:b w:val="0"/>
          <w:sz w:val="24"/>
        </w:rPr>
        <w:t>由表15可知，「服務」為最常被提及的屬性（12,275次，佔34.6%），其次為「房間」（5,564次，15.7%）與「地理位置」（3,386次，9.5%），反映消費者在酒店評論中最關注的三大核心體驗面向。「服務」屬性的高提及率符合酒店業以服務為核心競爭力的產業特性，消費者傾向於在評論中詳細描述與服務人員互動的經歷，包含前台接待、客房服務、問題處理等具體事項。「停車」（385次，1.1%）與「衛浴」（552次，1.6%）為提及次數最少的兩項屬性，此現象可歸因於並非所有旅客都有停車需求，而衛浴通常僅在出現問題時才會被特別提及。</w:t>
      </w:r>
    </w:p>
    <w:p>
      <w:pPr>
        <w:pStyle w:val="Heading3"/>
      </w:pPr>
      <w:r>
        <w:rPr>
          <w:rFonts w:ascii="新細明體" w:hAnsi="新細明體" w:eastAsia="新細明體"/>
          <w:color w:val="000000"/>
        </w:rPr>
        <w:t>4.2.2 情感分數分布</w:t>
      </w:r>
    </w:p>
    <w:p>
      <w:pPr>
        <w:spacing w:line="360" w:lineRule="auto"/>
        <w:ind w:firstLine="482"/>
      </w:pPr>
      <w:r>
        <w:rPr>
          <w:rFonts w:ascii="新細明體" w:hAnsi="新細明體" w:eastAsia="新細明體"/>
          <w:b w:val="0"/>
          <w:sz w:val="24"/>
        </w:rPr>
        <w:t>在1至5分的情感評分制度下，整體分數分布呈現明顯的正偏態。5分佔59.4%（21,062次），4分佔22.7%（8,039次），3分佔4.6%（1,615次），2分佔9.3%（3,299次），1分佔4.1%（1,441次）。若以正面（4-5分）、中性（3分）、負面（1-2分）三類區分，正面情感佔82.1%（29,101次），中性佔4.6%（1,615次），負面佔13.4%（4,740次）。此分數分布與原始評論星級之正偏態分布趨勢一致，顯示GPT-4o-mini的情感評分能合理反映評論的整體情感傾向。</w:t>
      </w:r>
    </w:p>
    <w:p>
      <w:pPr>
        <w:spacing w:line="360" w:lineRule="auto"/>
        <w:ind w:firstLine="482"/>
      </w:pPr>
      <w:r>
        <w:rPr>
          <w:rFonts w:ascii="新細明體" w:hAnsi="新細明體" w:eastAsia="新細明體"/>
          <w:b w:val="0"/>
          <w:sz w:val="24"/>
        </w:rPr>
        <w:t>值得注意的是，正面情感的高佔比並不意味著所有屬性的表現均令人滿意。儘管整體正面率達82.1%，但不同屬性之間存在顯著差異——「地理位置」的正面率超過90%，而「停車」與「衛浴」的負面率則明顯偏高。此種屬性間的差異正是IPA分析得以發揮策略指引功能的基礎，將於後續章節詳細探討。</w:t>
      </w:r>
    </w:p>
    <w:p>
      <w:pPr>
        <w:pStyle w:val="Heading2"/>
      </w:pPr>
      <w:r>
        <w:rPr>
          <w:rFonts w:ascii="新細明體" w:hAnsi="新細明體" w:eastAsia="新細明體"/>
          <w:color w:val="000000"/>
        </w:rPr>
        <w:t>4.3 屬性績效分析</w:t>
      </w:r>
    </w:p>
    <w:p>
      <w:pPr>
        <w:pStyle w:val="Heading3"/>
      </w:pPr>
      <w:r>
        <w:rPr>
          <w:rFonts w:ascii="新細明體" w:hAnsi="新細明體" w:eastAsia="新細明體"/>
          <w:color w:val="000000"/>
        </w:rPr>
        <w:t>4.3.1 全體酒店屬性績效</w:t>
      </w:r>
    </w:p>
    <w:p>
      <w:pPr>
        <w:spacing w:line="360" w:lineRule="auto"/>
        <w:ind w:firstLine="482"/>
      </w:pPr>
      <w:r>
        <w:rPr>
          <w:rFonts w:ascii="新細明體" w:hAnsi="新細明體" w:eastAsia="新細明體"/>
          <w:b w:val="0"/>
          <w:sz w:val="24"/>
        </w:rPr>
        <w:t>將所有酒店的屬性情感分數依式（1）取平均，可得各屬性之整體績效指標。本研究之績效計算採用加權方式，即每個屬性的績效為該屬性在所有評論中獲得之情感分數的算術平均值，數值範圍為1至5分，數值越高表示消費者對該屬性的評價越正向。各屬性之整體績效排序如表16所示。</w:t>
      </w:r>
    </w:p>
    <w:p>
      <w:pPr>
        <w:spacing w:before="120" w:after="120"/>
        <w:jc w:val="center"/>
      </w:pPr>
      <w:r>
        <w:rPr>
          <w:rFonts w:ascii="新細明體" w:hAnsi="新細明體" w:eastAsia="新細明體"/>
          <w:sz w:val="20"/>
        </w:rPr>
        <w:t>表16 全體酒店屬性績效排序</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D9E2F3" w:val="clear"/>
          </w:tcPr>
          <w:p>
            <w:pPr>
              <w:jc w:val="center"/>
            </w:pPr>
            <w:r/>
            <w:r>
              <w:rPr>
                <w:rFonts w:ascii="新細明體" w:hAnsi="新細明體" w:eastAsia="新細明體"/>
                <w:b/>
                <w:sz w:val="20"/>
              </w:rPr>
              <w:t>排名</w:t>
            </w:r>
          </w:p>
        </w:tc>
        <w:tc>
          <w:tcPr>
            <w:tcW w:type="dxa" w:w="2160"/>
            <w:shd w:fill="D9E2F3" w:val="clear"/>
          </w:tcPr>
          <w:p>
            <w:pPr>
              <w:jc w:val="center"/>
            </w:pPr>
            <w:r/>
            <w:r>
              <w:rPr>
                <w:rFonts w:ascii="新細明體" w:hAnsi="新細明體" w:eastAsia="新細明體"/>
                <w:b/>
                <w:sz w:val="20"/>
              </w:rPr>
              <w:t>服務屬性</w:t>
            </w:r>
          </w:p>
        </w:tc>
        <w:tc>
          <w:tcPr>
            <w:tcW w:type="dxa" w:w="2160"/>
            <w:shd w:fill="D9E2F3" w:val="clear"/>
          </w:tcPr>
          <w:p>
            <w:pPr>
              <w:jc w:val="center"/>
            </w:pPr>
            <w:r/>
            <w:r>
              <w:rPr>
                <w:rFonts w:ascii="新細明體" w:hAnsi="新細明體" w:eastAsia="新細明體"/>
                <w:b/>
                <w:sz w:val="20"/>
              </w:rPr>
              <w:t>平均績效</w:t>
            </w:r>
          </w:p>
        </w:tc>
        <w:tc>
          <w:tcPr>
            <w:tcW w:type="dxa" w:w="2160"/>
            <w:shd w:fill="D9E2F3" w:val="clear"/>
          </w:tcPr>
          <w:p>
            <w:pPr>
              <w:jc w:val="center"/>
            </w:pPr>
            <w:r/>
            <w:r>
              <w:rPr>
                <w:rFonts w:ascii="新細明體" w:hAnsi="新細明體" w:eastAsia="新細明體"/>
                <w:b/>
                <w:sz w:val="20"/>
              </w:rPr>
              <w:t>提及次數</w:t>
            </w:r>
          </w:p>
        </w:tc>
      </w:tr>
      <w:tr>
        <w:tc>
          <w:tcPr>
            <w:tcW w:type="dxa" w:w="2160"/>
          </w:tcPr>
          <w:p>
            <w:pPr>
              <w:jc w:val="center"/>
            </w:pPr>
            <w:r/>
            <w:r>
              <w:rPr>
                <w:rFonts w:ascii="新細明體" w:hAnsi="新細明體" w:eastAsia="新細明體"/>
                <w:b w:val="0"/>
                <w:sz w:val="20"/>
              </w:rPr>
              <w:t>1</w:t>
            </w:r>
          </w:p>
        </w:tc>
        <w:tc>
          <w:tcPr>
            <w:tcW w:type="dxa" w:w="2160"/>
          </w:tcPr>
          <w:p>
            <w:pPr>
              <w:jc w:val="left"/>
            </w:pPr>
            <w:r/>
            <w:r>
              <w:rPr>
                <w:rFonts w:ascii="新細明體" w:hAnsi="新細明體" w:eastAsia="新細明體"/>
                <w:b w:val="0"/>
                <w:sz w:val="20"/>
              </w:rPr>
              <w:t>地理位置</w:t>
            </w:r>
          </w:p>
        </w:tc>
        <w:tc>
          <w:tcPr>
            <w:tcW w:type="dxa" w:w="2160"/>
          </w:tcPr>
          <w:p>
            <w:pPr>
              <w:jc w:val="center"/>
            </w:pPr>
            <w:r/>
            <w:r>
              <w:rPr>
                <w:rFonts w:ascii="新細明體" w:hAnsi="新細明體" w:eastAsia="新細明體"/>
                <w:b w:val="0"/>
                <w:sz w:val="20"/>
              </w:rPr>
              <w:t>4.74</w:t>
            </w:r>
          </w:p>
        </w:tc>
        <w:tc>
          <w:tcPr>
            <w:tcW w:type="dxa" w:w="2160"/>
          </w:tcPr>
          <w:p>
            <w:pPr>
              <w:jc w:val="center"/>
            </w:pPr>
            <w:r/>
            <w:r>
              <w:rPr>
                <w:rFonts w:ascii="新細明體" w:hAnsi="新細明體" w:eastAsia="新細明體"/>
                <w:b w:val="0"/>
                <w:sz w:val="20"/>
              </w:rPr>
              <w:t>3,386</w:t>
            </w:r>
          </w:p>
        </w:tc>
      </w:tr>
      <w:tr>
        <w:tc>
          <w:tcPr>
            <w:tcW w:type="dxa" w:w="2160"/>
          </w:tcPr>
          <w:p>
            <w:pPr>
              <w:jc w:val="center"/>
            </w:pPr>
            <w:r/>
            <w:r>
              <w:rPr>
                <w:rFonts w:ascii="新細明體" w:hAnsi="新細明體" w:eastAsia="新細明體"/>
                <w:b w:val="0"/>
                <w:sz w:val="20"/>
              </w:rPr>
              <w:t>2</w:t>
            </w:r>
          </w:p>
        </w:tc>
        <w:tc>
          <w:tcPr>
            <w:tcW w:type="dxa" w:w="2160"/>
          </w:tcPr>
          <w:p>
            <w:pPr>
              <w:jc w:val="left"/>
            </w:pPr>
            <w:r/>
            <w:r>
              <w:rPr>
                <w:rFonts w:ascii="新細明體" w:hAnsi="新細明體" w:eastAsia="新細明體"/>
                <w:b w:val="0"/>
                <w:sz w:val="20"/>
              </w:rPr>
              <w:t>交通</w:t>
            </w:r>
          </w:p>
        </w:tc>
        <w:tc>
          <w:tcPr>
            <w:tcW w:type="dxa" w:w="2160"/>
          </w:tcPr>
          <w:p>
            <w:pPr>
              <w:jc w:val="center"/>
            </w:pPr>
            <w:r/>
            <w:r>
              <w:rPr>
                <w:rFonts w:ascii="新細明體" w:hAnsi="新細明體" w:eastAsia="新細明體"/>
                <w:b w:val="0"/>
                <w:sz w:val="20"/>
              </w:rPr>
              <w:t>4.69</w:t>
            </w:r>
          </w:p>
        </w:tc>
        <w:tc>
          <w:tcPr>
            <w:tcW w:type="dxa" w:w="2160"/>
          </w:tcPr>
          <w:p>
            <w:pPr>
              <w:jc w:val="center"/>
            </w:pPr>
            <w:r/>
            <w:r>
              <w:rPr>
                <w:rFonts w:ascii="新細明體" w:hAnsi="新細明體" w:eastAsia="新細明體"/>
                <w:b w:val="0"/>
                <w:sz w:val="20"/>
              </w:rPr>
              <w:t>1,823</w:t>
            </w:r>
          </w:p>
        </w:tc>
      </w:tr>
      <w:tr>
        <w:tc>
          <w:tcPr>
            <w:tcW w:type="dxa" w:w="2160"/>
          </w:tcPr>
          <w:p>
            <w:pPr>
              <w:jc w:val="center"/>
            </w:pPr>
            <w:r/>
            <w:r>
              <w:rPr>
                <w:rFonts w:ascii="新細明體" w:hAnsi="新細明體" w:eastAsia="新細明體"/>
                <w:b w:val="0"/>
                <w:sz w:val="20"/>
              </w:rPr>
              <w:t>3</w:t>
            </w:r>
          </w:p>
        </w:tc>
        <w:tc>
          <w:tcPr>
            <w:tcW w:type="dxa" w:w="2160"/>
          </w:tcPr>
          <w:p>
            <w:pPr>
              <w:jc w:val="left"/>
            </w:pPr>
            <w:r/>
            <w:r>
              <w:rPr>
                <w:rFonts w:ascii="新細明體" w:hAnsi="新細明體" w:eastAsia="新細明體"/>
                <w:b w:val="0"/>
                <w:sz w:val="20"/>
              </w:rPr>
              <w:t>周邊環境</w:t>
            </w:r>
          </w:p>
        </w:tc>
        <w:tc>
          <w:tcPr>
            <w:tcW w:type="dxa" w:w="2160"/>
          </w:tcPr>
          <w:p>
            <w:pPr>
              <w:jc w:val="center"/>
            </w:pPr>
            <w:r/>
            <w:r>
              <w:rPr>
                <w:rFonts w:ascii="新細明體" w:hAnsi="新細明體" w:eastAsia="新細明體"/>
                <w:b w:val="0"/>
                <w:sz w:val="20"/>
              </w:rPr>
              <w:t>4.54</w:t>
            </w:r>
          </w:p>
        </w:tc>
        <w:tc>
          <w:tcPr>
            <w:tcW w:type="dxa" w:w="2160"/>
          </w:tcPr>
          <w:p>
            <w:pPr>
              <w:jc w:val="center"/>
            </w:pPr>
            <w:r/>
            <w:r>
              <w:rPr>
                <w:rFonts w:ascii="新細明體" w:hAnsi="新細明體" w:eastAsia="新細明體"/>
                <w:b w:val="0"/>
                <w:sz w:val="20"/>
              </w:rPr>
              <w:t>1,812</w:t>
            </w:r>
          </w:p>
        </w:tc>
      </w:tr>
      <w:tr>
        <w:tc>
          <w:tcPr>
            <w:tcW w:type="dxa" w:w="2160"/>
          </w:tcPr>
          <w:p>
            <w:pPr>
              <w:jc w:val="center"/>
            </w:pPr>
            <w:r/>
            <w:r>
              <w:rPr>
                <w:rFonts w:ascii="新細明體" w:hAnsi="新細明體" w:eastAsia="新細明體"/>
                <w:b w:val="0"/>
                <w:sz w:val="20"/>
              </w:rPr>
              <w:t>4</w:t>
            </w:r>
          </w:p>
        </w:tc>
        <w:tc>
          <w:tcPr>
            <w:tcW w:type="dxa" w:w="2160"/>
          </w:tcPr>
          <w:p>
            <w:pPr>
              <w:jc w:val="left"/>
            </w:pPr>
            <w:r/>
            <w:r>
              <w:rPr>
                <w:rFonts w:ascii="新細明體" w:hAnsi="新細明體" w:eastAsia="新細明體"/>
                <w:b w:val="0"/>
                <w:sz w:val="20"/>
              </w:rPr>
              <w:t>服務</w:t>
            </w:r>
          </w:p>
        </w:tc>
        <w:tc>
          <w:tcPr>
            <w:tcW w:type="dxa" w:w="2160"/>
          </w:tcPr>
          <w:p>
            <w:pPr>
              <w:jc w:val="center"/>
            </w:pPr>
            <w:r/>
            <w:r>
              <w:rPr>
                <w:rFonts w:ascii="新細明體" w:hAnsi="新細明體" w:eastAsia="新細明體"/>
                <w:b w:val="0"/>
                <w:sz w:val="20"/>
              </w:rPr>
              <w:t>4.35</w:t>
            </w:r>
          </w:p>
        </w:tc>
        <w:tc>
          <w:tcPr>
            <w:tcW w:type="dxa" w:w="2160"/>
          </w:tcPr>
          <w:p>
            <w:pPr>
              <w:jc w:val="center"/>
            </w:pPr>
            <w:r/>
            <w:r>
              <w:rPr>
                <w:rFonts w:ascii="新細明體" w:hAnsi="新細明體" w:eastAsia="新細明體"/>
                <w:b w:val="0"/>
                <w:sz w:val="20"/>
              </w:rPr>
              <w:t>12,275</w:t>
            </w:r>
          </w:p>
        </w:tc>
      </w:tr>
      <w:tr>
        <w:tc>
          <w:tcPr>
            <w:tcW w:type="dxa" w:w="2160"/>
          </w:tcPr>
          <w:p>
            <w:pPr>
              <w:jc w:val="center"/>
            </w:pPr>
            <w:r/>
            <w:r>
              <w:rPr>
                <w:rFonts w:ascii="新細明體" w:hAnsi="新細明體" w:eastAsia="新細明體"/>
                <w:b w:val="0"/>
                <w:sz w:val="20"/>
              </w:rPr>
              <w:t>5</w:t>
            </w:r>
          </w:p>
        </w:tc>
        <w:tc>
          <w:tcPr>
            <w:tcW w:type="dxa" w:w="2160"/>
          </w:tcPr>
          <w:p>
            <w:pPr>
              <w:jc w:val="left"/>
            </w:pPr>
            <w:r/>
            <w:r>
              <w:rPr>
                <w:rFonts w:ascii="新細明體" w:hAnsi="新細明體" w:eastAsia="新細明體"/>
                <w:b w:val="0"/>
                <w:sz w:val="20"/>
              </w:rPr>
              <w:t>清潔度</w:t>
            </w:r>
          </w:p>
        </w:tc>
        <w:tc>
          <w:tcPr>
            <w:tcW w:type="dxa" w:w="2160"/>
          </w:tcPr>
          <w:p>
            <w:pPr>
              <w:jc w:val="center"/>
            </w:pPr>
            <w:r/>
            <w:r>
              <w:rPr>
                <w:rFonts w:ascii="新細明體" w:hAnsi="新細明體" w:eastAsia="新細明體"/>
                <w:b w:val="0"/>
                <w:sz w:val="20"/>
              </w:rPr>
              <w:t>4.35</w:t>
            </w:r>
          </w:p>
        </w:tc>
        <w:tc>
          <w:tcPr>
            <w:tcW w:type="dxa" w:w="2160"/>
          </w:tcPr>
          <w:p>
            <w:pPr>
              <w:jc w:val="center"/>
            </w:pPr>
            <w:r/>
            <w:r>
              <w:rPr>
                <w:rFonts w:ascii="新細明體" w:hAnsi="新細明體" w:eastAsia="新細明體"/>
                <w:b w:val="0"/>
                <w:sz w:val="20"/>
              </w:rPr>
              <w:t>2,700</w:t>
            </w:r>
          </w:p>
        </w:tc>
      </w:tr>
      <w:tr>
        <w:tc>
          <w:tcPr>
            <w:tcW w:type="dxa" w:w="2160"/>
          </w:tcPr>
          <w:p>
            <w:pPr>
              <w:jc w:val="center"/>
            </w:pPr>
            <w:r/>
            <w:r>
              <w:rPr>
                <w:rFonts w:ascii="新細明體" w:hAnsi="新細明體" w:eastAsia="新細明體"/>
                <w:b w:val="0"/>
                <w:sz w:val="20"/>
              </w:rPr>
              <w:t>6</w:t>
            </w:r>
          </w:p>
        </w:tc>
        <w:tc>
          <w:tcPr>
            <w:tcW w:type="dxa" w:w="2160"/>
          </w:tcPr>
          <w:p>
            <w:pPr>
              <w:jc w:val="left"/>
            </w:pPr>
            <w:r/>
            <w:r>
              <w:rPr>
                <w:rFonts w:ascii="新細明體" w:hAnsi="新細明體" w:eastAsia="新細明體"/>
                <w:b w:val="0"/>
                <w:sz w:val="20"/>
              </w:rPr>
              <w:t>公共設施</w:t>
            </w:r>
          </w:p>
        </w:tc>
        <w:tc>
          <w:tcPr>
            <w:tcW w:type="dxa" w:w="2160"/>
          </w:tcPr>
          <w:p>
            <w:pPr>
              <w:jc w:val="center"/>
            </w:pPr>
            <w:r/>
            <w:r>
              <w:rPr>
                <w:rFonts w:ascii="新細明體" w:hAnsi="新細明體" w:eastAsia="新細明體"/>
                <w:b w:val="0"/>
                <w:sz w:val="20"/>
              </w:rPr>
              <w:t>4.14</w:t>
            </w:r>
          </w:p>
        </w:tc>
        <w:tc>
          <w:tcPr>
            <w:tcW w:type="dxa" w:w="2160"/>
          </w:tcPr>
          <w:p>
            <w:pPr>
              <w:jc w:val="center"/>
            </w:pPr>
            <w:r/>
            <w:r>
              <w:rPr>
                <w:rFonts w:ascii="新細明體" w:hAnsi="新細明體" w:eastAsia="新細明體"/>
                <w:b w:val="0"/>
                <w:sz w:val="20"/>
              </w:rPr>
              <w:t>1,872</w:t>
            </w:r>
          </w:p>
        </w:tc>
      </w:tr>
      <w:tr>
        <w:tc>
          <w:tcPr>
            <w:tcW w:type="dxa" w:w="2160"/>
          </w:tcPr>
          <w:p>
            <w:pPr>
              <w:jc w:val="center"/>
            </w:pPr>
            <w:r/>
            <w:r>
              <w:rPr>
                <w:rFonts w:ascii="新細明體" w:hAnsi="新細明體" w:eastAsia="新細明體"/>
                <w:b w:val="0"/>
                <w:sz w:val="20"/>
              </w:rPr>
              <w:t>7</w:t>
            </w:r>
          </w:p>
        </w:tc>
        <w:tc>
          <w:tcPr>
            <w:tcW w:type="dxa" w:w="2160"/>
          </w:tcPr>
          <w:p>
            <w:pPr>
              <w:jc w:val="left"/>
            </w:pPr>
            <w:r/>
            <w:r>
              <w:rPr>
                <w:rFonts w:ascii="新細明體" w:hAnsi="新細明體" w:eastAsia="新細明體"/>
                <w:b w:val="0"/>
                <w:sz w:val="20"/>
              </w:rPr>
              <w:t>性價比</w:t>
            </w:r>
          </w:p>
        </w:tc>
        <w:tc>
          <w:tcPr>
            <w:tcW w:type="dxa" w:w="2160"/>
          </w:tcPr>
          <w:p>
            <w:pPr>
              <w:jc w:val="center"/>
            </w:pPr>
            <w:r/>
            <w:r>
              <w:rPr>
                <w:rFonts w:ascii="新細明體" w:hAnsi="新細明體" w:eastAsia="新細明體"/>
                <w:b w:val="0"/>
                <w:sz w:val="20"/>
              </w:rPr>
              <w:t>4.08</w:t>
            </w:r>
          </w:p>
        </w:tc>
        <w:tc>
          <w:tcPr>
            <w:tcW w:type="dxa" w:w="2160"/>
          </w:tcPr>
          <w:p>
            <w:pPr>
              <w:jc w:val="center"/>
            </w:pPr>
            <w:r/>
            <w:r>
              <w:rPr>
                <w:rFonts w:ascii="新細明體" w:hAnsi="新細明體" w:eastAsia="新細明體"/>
                <w:b w:val="0"/>
                <w:sz w:val="20"/>
              </w:rPr>
              <w:t>1,731</w:t>
            </w:r>
          </w:p>
        </w:tc>
      </w:tr>
      <w:tr>
        <w:tc>
          <w:tcPr>
            <w:tcW w:type="dxa" w:w="2160"/>
          </w:tcPr>
          <w:p>
            <w:pPr>
              <w:jc w:val="center"/>
            </w:pPr>
            <w:r/>
            <w:r>
              <w:rPr>
                <w:rFonts w:ascii="新細明體" w:hAnsi="新細明體" w:eastAsia="新細明體"/>
                <w:b w:val="0"/>
                <w:sz w:val="20"/>
              </w:rPr>
              <w:t>8</w:t>
            </w:r>
          </w:p>
        </w:tc>
        <w:tc>
          <w:tcPr>
            <w:tcW w:type="dxa" w:w="2160"/>
          </w:tcPr>
          <w:p>
            <w:pPr>
              <w:jc w:val="left"/>
            </w:pPr>
            <w:r/>
            <w:r>
              <w:rPr>
                <w:rFonts w:ascii="新細明體" w:hAnsi="新細明體" w:eastAsia="新細明體"/>
                <w:b w:val="0"/>
                <w:sz w:val="20"/>
              </w:rPr>
              <w:t>房間</w:t>
            </w:r>
          </w:p>
        </w:tc>
        <w:tc>
          <w:tcPr>
            <w:tcW w:type="dxa" w:w="2160"/>
          </w:tcPr>
          <w:p>
            <w:pPr>
              <w:jc w:val="center"/>
            </w:pPr>
            <w:r/>
            <w:r>
              <w:rPr>
                <w:rFonts w:ascii="新細明體" w:hAnsi="新細明體" w:eastAsia="新細明體"/>
                <w:b w:val="0"/>
                <w:sz w:val="20"/>
              </w:rPr>
              <w:t>3.88</w:t>
            </w:r>
          </w:p>
        </w:tc>
        <w:tc>
          <w:tcPr>
            <w:tcW w:type="dxa" w:w="2160"/>
          </w:tcPr>
          <w:p>
            <w:pPr>
              <w:jc w:val="center"/>
            </w:pPr>
            <w:r/>
            <w:r>
              <w:rPr>
                <w:rFonts w:ascii="新細明體" w:hAnsi="新細明體" w:eastAsia="新細明體"/>
                <w:b w:val="0"/>
                <w:sz w:val="20"/>
              </w:rPr>
              <w:t>5,564</w:t>
            </w:r>
          </w:p>
        </w:tc>
      </w:tr>
      <w:tr>
        <w:tc>
          <w:tcPr>
            <w:tcW w:type="dxa" w:w="2160"/>
          </w:tcPr>
          <w:p>
            <w:pPr>
              <w:jc w:val="center"/>
            </w:pPr>
            <w:r/>
            <w:r>
              <w:rPr>
                <w:rFonts w:ascii="新細明體" w:hAnsi="新細明體" w:eastAsia="新細明體"/>
                <w:b w:val="0"/>
                <w:sz w:val="20"/>
              </w:rPr>
              <w:t>9</w:t>
            </w:r>
          </w:p>
        </w:tc>
        <w:tc>
          <w:tcPr>
            <w:tcW w:type="dxa" w:w="2160"/>
          </w:tcPr>
          <w:p>
            <w:pPr>
              <w:jc w:val="left"/>
            </w:pPr>
            <w:r/>
            <w:r>
              <w:rPr>
                <w:rFonts w:ascii="新細明體" w:hAnsi="新細明體" w:eastAsia="新細明體"/>
                <w:b w:val="0"/>
                <w:sz w:val="20"/>
              </w:rPr>
              <w:t>睡眠品質</w:t>
            </w:r>
          </w:p>
        </w:tc>
        <w:tc>
          <w:tcPr>
            <w:tcW w:type="dxa" w:w="2160"/>
          </w:tcPr>
          <w:p>
            <w:pPr>
              <w:jc w:val="center"/>
            </w:pPr>
            <w:r/>
            <w:r>
              <w:rPr>
                <w:rFonts w:ascii="新細明體" w:hAnsi="新細明體" w:eastAsia="新細明體"/>
                <w:b w:val="0"/>
                <w:sz w:val="20"/>
              </w:rPr>
              <w:t>3.84</w:t>
            </w:r>
          </w:p>
        </w:tc>
        <w:tc>
          <w:tcPr>
            <w:tcW w:type="dxa" w:w="2160"/>
          </w:tcPr>
          <w:p>
            <w:pPr>
              <w:jc w:val="center"/>
            </w:pPr>
            <w:r/>
            <w:r>
              <w:rPr>
                <w:rFonts w:ascii="新細明體" w:hAnsi="新細明體" w:eastAsia="新細明體"/>
                <w:b w:val="0"/>
                <w:sz w:val="20"/>
              </w:rPr>
              <w:t>572</w:t>
            </w:r>
          </w:p>
        </w:tc>
      </w:tr>
      <w:tr>
        <w:tc>
          <w:tcPr>
            <w:tcW w:type="dxa" w:w="2160"/>
          </w:tcPr>
          <w:p>
            <w:pPr>
              <w:jc w:val="center"/>
            </w:pPr>
            <w:r/>
            <w:r>
              <w:rPr>
                <w:rFonts w:ascii="新細明體" w:hAnsi="新細明體" w:eastAsia="新細明體"/>
                <w:b w:val="0"/>
                <w:sz w:val="20"/>
              </w:rPr>
              <w:t>10</w:t>
            </w:r>
          </w:p>
        </w:tc>
        <w:tc>
          <w:tcPr>
            <w:tcW w:type="dxa" w:w="2160"/>
          </w:tcPr>
          <w:p>
            <w:pPr>
              <w:jc w:val="left"/>
            </w:pPr>
            <w:r/>
            <w:r>
              <w:rPr>
                <w:rFonts w:ascii="新細明體" w:hAnsi="新細明體" w:eastAsia="新細明體"/>
                <w:b w:val="0"/>
                <w:sz w:val="20"/>
              </w:rPr>
              <w:t>餐廳</w:t>
            </w:r>
          </w:p>
        </w:tc>
        <w:tc>
          <w:tcPr>
            <w:tcW w:type="dxa" w:w="2160"/>
          </w:tcPr>
          <w:p>
            <w:pPr>
              <w:jc w:val="center"/>
            </w:pPr>
            <w:r/>
            <w:r>
              <w:rPr>
                <w:rFonts w:ascii="新細明體" w:hAnsi="新細明體" w:eastAsia="新細明體"/>
                <w:b w:val="0"/>
                <w:sz w:val="20"/>
              </w:rPr>
              <w:t>3.84</w:t>
            </w:r>
          </w:p>
        </w:tc>
        <w:tc>
          <w:tcPr>
            <w:tcW w:type="dxa" w:w="2160"/>
          </w:tcPr>
          <w:p>
            <w:pPr>
              <w:jc w:val="center"/>
            </w:pPr>
            <w:r/>
            <w:r>
              <w:rPr>
                <w:rFonts w:ascii="新細明體" w:hAnsi="新細明體" w:eastAsia="新細明體"/>
                <w:b w:val="0"/>
                <w:sz w:val="20"/>
              </w:rPr>
              <w:t>2,784</w:t>
            </w:r>
          </w:p>
        </w:tc>
      </w:tr>
      <w:tr>
        <w:tc>
          <w:tcPr>
            <w:tcW w:type="dxa" w:w="2160"/>
          </w:tcPr>
          <w:p>
            <w:pPr>
              <w:jc w:val="center"/>
            </w:pPr>
            <w:r/>
            <w:r>
              <w:rPr>
                <w:rFonts w:ascii="新細明體" w:hAnsi="新細明體" w:eastAsia="新細明體"/>
                <w:b w:val="0"/>
                <w:sz w:val="20"/>
              </w:rPr>
              <w:t>11</w:t>
            </w:r>
          </w:p>
        </w:tc>
        <w:tc>
          <w:tcPr>
            <w:tcW w:type="dxa" w:w="2160"/>
          </w:tcPr>
          <w:p>
            <w:pPr>
              <w:jc w:val="left"/>
            </w:pPr>
            <w:r/>
            <w:r>
              <w:rPr>
                <w:rFonts w:ascii="新細明體" w:hAnsi="新細明體" w:eastAsia="新細明體"/>
                <w:b w:val="0"/>
                <w:sz w:val="20"/>
              </w:rPr>
              <w:t>衛浴</w:t>
            </w:r>
          </w:p>
        </w:tc>
        <w:tc>
          <w:tcPr>
            <w:tcW w:type="dxa" w:w="2160"/>
          </w:tcPr>
          <w:p>
            <w:pPr>
              <w:jc w:val="center"/>
            </w:pPr>
            <w:r/>
            <w:r>
              <w:rPr>
                <w:rFonts w:ascii="新細明體" w:hAnsi="新細明體" w:eastAsia="新細明體"/>
                <w:b w:val="0"/>
                <w:sz w:val="20"/>
              </w:rPr>
              <w:t>3.47</w:t>
            </w:r>
          </w:p>
        </w:tc>
        <w:tc>
          <w:tcPr>
            <w:tcW w:type="dxa" w:w="2160"/>
          </w:tcPr>
          <w:p>
            <w:pPr>
              <w:jc w:val="center"/>
            </w:pPr>
            <w:r/>
            <w:r>
              <w:rPr>
                <w:rFonts w:ascii="新細明體" w:hAnsi="新細明體" w:eastAsia="新細明體"/>
                <w:b w:val="0"/>
                <w:sz w:val="20"/>
              </w:rPr>
              <w:t>552</w:t>
            </w:r>
          </w:p>
        </w:tc>
      </w:tr>
      <w:tr>
        <w:tc>
          <w:tcPr>
            <w:tcW w:type="dxa" w:w="2160"/>
          </w:tcPr>
          <w:p>
            <w:pPr>
              <w:jc w:val="center"/>
            </w:pPr>
            <w:r/>
            <w:r>
              <w:rPr>
                <w:rFonts w:ascii="新細明體" w:hAnsi="新細明體" w:eastAsia="新細明體"/>
                <w:b w:val="0"/>
                <w:sz w:val="20"/>
              </w:rPr>
              <w:t>12</w:t>
            </w:r>
          </w:p>
        </w:tc>
        <w:tc>
          <w:tcPr>
            <w:tcW w:type="dxa" w:w="2160"/>
          </w:tcPr>
          <w:p>
            <w:pPr>
              <w:jc w:val="left"/>
            </w:pPr>
            <w:r/>
            <w:r>
              <w:rPr>
                <w:rFonts w:ascii="新細明體" w:hAnsi="新細明體" w:eastAsia="新細明體"/>
                <w:b w:val="0"/>
                <w:sz w:val="20"/>
              </w:rPr>
              <w:t>停車</w:t>
            </w:r>
          </w:p>
        </w:tc>
        <w:tc>
          <w:tcPr>
            <w:tcW w:type="dxa" w:w="2160"/>
          </w:tcPr>
          <w:p>
            <w:pPr>
              <w:jc w:val="center"/>
            </w:pPr>
            <w:r/>
            <w:r>
              <w:rPr>
                <w:rFonts w:ascii="新細明體" w:hAnsi="新細明體" w:eastAsia="新細明體"/>
                <w:b w:val="0"/>
                <w:sz w:val="20"/>
              </w:rPr>
              <w:t>3.19</w:t>
            </w:r>
          </w:p>
        </w:tc>
        <w:tc>
          <w:tcPr>
            <w:tcW w:type="dxa" w:w="2160"/>
          </w:tcPr>
          <w:p>
            <w:pPr>
              <w:jc w:val="center"/>
            </w:pPr>
            <w:r/>
            <w:r>
              <w:rPr>
                <w:rFonts w:ascii="新細明體" w:hAnsi="新細明體" w:eastAsia="新細明體"/>
                <w:b w:val="0"/>
                <w:sz w:val="20"/>
              </w:rPr>
              <w:t>385</w:t>
            </w:r>
          </w:p>
        </w:tc>
      </w:tr>
    </w:tbl>
    <w:p>
      <w:pPr>
        <w:spacing w:before="120" w:after="120"/>
        <w:jc w:val="center"/>
      </w:pPr>
      <w:r>
        <w:rPr>
          <w:rFonts w:ascii="新細明體" w:hAnsi="新細明體" w:eastAsia="新細明體"/>
          <w:sz w:val="20"/>
        </w:rPr>
        <w:t>（資料來源：本研究整理）</w:t>
      </w:r>
    </w:p>
    <w:p>
      <w:pPr>
        <w:spacing w:line="360" w:lineRule="auto"/>
        <w:ind w:firstLine="482"/>
      </w:pPr>
      <w:r>
        <w:rPr>
          <w:rFonts w:ascii="新細明體" w:hAnsi="新細明體" w:eastAsia="新細明體"/>
          <w:b w:val="0"/>
          <w:sz w:val="24"/>
        </w:rPr>
        <w:t>由表16可知，績效最高的三項屬性依序為「地理位置」（4.74）、「交通」（4.69）與「周邊環境」（4.54），三者均與酒店的地理區位相關，反映本研究所涵蓋之五家北京酒店在選址方面普遍獲得消費者的高度認可。「服務」（4.35）與「清潔度」（4.35）的績效亦高於整體平均值，顯示酒店在核心服務層面具備基本的品質保障。</w:t>
      </w:r>
    </w:p>
    <w:p>
      <w:pPr>
        <w:spacing w:line="360" w:lineRule="auto"/>
        <w:ind w:firstLine="482"/>
      </w:pPr>
      <w:r>
        <w:rPr>
          <w:rFonts w:ascii="新細明體" w:hAnsi="新細明體" w:eastAsia="新細明體"/>
          <w:b w:val="0"/>
          <w:sz w:val="24"/>
        </w:rPr>
        <w:t>績效最低的三項屬性為「停車」（3.19）、「衛浴」（3.47）與「餐廳」（3.84）。「停車」績效僅為3.19分，為所有屬性中唯一低於3.5分者，反映北京市區酒店普遍面臨的停車空間不足問題。「衛浴」績效亦僅為3.47分，顯示消費者對浴室設施的品質存在較多不滿。績效最高的「地理位置」（4.74）與最低的「停車」（3.19）之間差距達1.55分，說明不同服務屬性間的績效差異相當顯著，此差異為後續IPA分析與SWOT因素判定提供了充分的資料基礎。</w:t>
      </w:r>
    </w:p>
    <w:p>
      <w:pPr>
        <w:pStyle w:val="Heading3"/>
      </w:pPr>
      <w:r>
        <w:rPr>
          <w:rFonts w:ascii="新細明體" w:hAnsi="新細明體" w:eastAsia="新細明體"/>
          <w:color w:val="000000"/>
        </w:rPr>
        <w:t>4.3.2 各酒店屬性績效比較</w:t>
      </w:r>
    </w:p>
    <w:p>
      <w:pPr>
        <w:spacing w:line="360" w:lineRule="auto"/>
        <w:ind w:firstLine="482"/>
      </w:pPr>
      <w:r>
        <w:rPr>
          <w:rFonts w:ascii="新細明體" w:hAnsi="新細明體" w:eastAsia="新細明體"/>
          <w:b w:val="0"/>
          <w:sz w:val="24"/>
        </w:rPr>
        <w:t>為進一步比較各酒店在不同服務屬性上的差異化表現，表17呈現五家酒店在12項屬性上的績效表現。此比較分析有助於識別各酒店之相對優勢與劣勢，為後續SWOT因素判定奠定基礎。</w:t>
      </w:r>
    </w:p>
    <w:p>
      <w:pPr>
        <w:spacing w:before="120" w:after="120"/>
        <w:jc w:val="center"/>
      </w:pPr>
      <w:r>
        <w:rPr>
          <w:rFonts w:ascii="新細明體" w:hAnsi="新細明體" w:eastAsia="新細明體"/>
          <w:sz w:val="20"/>
        </w:rPr>
        <w:t>表17 各酒店服務屬性績效比較表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shd w:fill="D9E2F3" w:val="clear"/>
          </w:tcPr>
          <w:p>
            <w:pPr>
              <w:jc w:val="center"/>
            </w:pPr>
            <w:r/>
            <w:r>
              <w:rPr>
                <w:rFonts w:ascii="新細明體" w:hAnsi="新細明體" w:eastAsia="新細明體"/>
                <w:b/>
                <w:sz w:val="20"/>
              </w:rPr>
              <w:t>服務屬性</w:t>
            </w:r>
          </w:p>
        </w:tc>
        <w:tc>
          <w:tcPr>
            <w:tcW w:type="dxa" w:w="1440"/>
            <w:shd w:fill="D9E2F3" w:val="clear"/>
          </w:tcPr>
          <w:p>
            <w:pPr>
              <w:jc w:val="center"/>
            </w:pPr>
            <w:r/>
            <w:r>
              <w:rPr>
                <w:rFonts w:ascii="新細明體" w:hAnsi="新細明體" w:eastAsia="新細明體"/>
                <w:b/>
                <w:sz w:val="20"/>
              </w:rPr>
              <w:t>励骏</w:t>
            </w:r>
          </w:p>
        </w:tc>
        <w:tc>
          <w:tcPr>
            <w:tcW w:type="dxa" w:w="1440"/>
            <w:shd w:fill="D9E2F3" w:val="clear"/>
          </w:tcPr>
          <w:p>
            <w:pPr>
              <w:jc w:val="center"/>
            </w:pPr>
            <w:r/>
            <w:r>
              <w:rPr>
                <w:rFonts w:ascii="新細明體" w:hAnsi="新細明體" w:eastAsia="新細明體"/>
                <w:b/>
                <w:sz w:val="20"/>
              </w:rPr>
              <w:t>希尔顿</w:t>
            </w:r>
          </w:p>
        </w:tc>
        <w:tc>
          <w:tcPr>
            <w:tcW w:type="dxa" w:w="1440"/>
            <w:shd w:fill="D9E2F3" w:val="clear"/>
          </w:tcPr>
          <w:p>
            <w:pPr>
              <w:jc w:val="center"/>
            </w:pPr>
            <w:r/>
            <w:r>
              <w:rPr>
                <w:rFonts w:ascii="新細明體" w:hAnsi="新細明體" w:eastAsia="新細明體"/>
                <w:b/>
                <w:sz w:val="20"/>
              </w:rPr>
              <w:t>漫心</w:t>
            </w:r>
          </w:p>
        </w:tc>
        <w:tc>
          <w:tcPr>
            <w:tcW w:type="dxa" w:w="1440"/>
            <w:shd w:fill="D9E2F3" w:val="clear"/>
          </w:tcPr>
          <w:p>
            <w:pPr>
              <w:jc w:val="center"/>
            </w:pPr>
            <w:r/>
            <w:r>
              <w:rPr>
                <w:rFonts w:ascii="新細明體" w:hAnsi="新細明體" w:eastAsia="新細明體"/>
                <w:b/>
                <w:sz w:val="20"/>
              </w:rPr>
              <w:t>全季</w:t>
            </w:r>
          </w:p>
        </w:tc>
        <w:tc>
          <w:tcPr>
            <w:tcW w:type="dxa" w:w="1440"/>
            <w:shd w:fill="D9E2F3" w:val="clear"/>
          </w:tcPr>
          <w:p>
            <w:pPr>
              <w:jc w:val="center"/>
            </w:pPr>
            <w:r/>
            <w:r>
              <w:rPr>
                <w:rFonts w:ascii="新細明體" w:hAnsi="新細明體" w:eastAsia="新細明體"/>
                <w:b/>
                <w:sz w:val="20"/>
              </w:rPr>
              <w:t>麗枫</w:t>
            </w:r>
          </w:p>
        </w:tc>
      </w:tr>
      <w:tr>
        <w:tc>
          <w:tcPr>
            <w:tcW w:type="dxa" w:w="1440"/>
          </w:tcPr>
          <w:p>
            <w:pPr>
              <w:jc w:val="left"/>
            </w:pPr>
            <w:r/>
            <w:r>
              <w:rPr>
                <w:rFonts w:ascii="新細明體" w:hAnsi="新細明體" w:eastAsia="新細明體"/>
                <w:b w:val="0"/>
                <w:sz w:val="20"/>
              </w:rPr>
              <w:t>地理位置</w:t>
            </w:r>
          </w:p>
        </w:tc>
        <w:tc>
          <w:tcPr>
            <w:tcW w:type="dxa" w:w="1440"/>
          </w:tcPr>
          <w:p>
            <w:pPr>
              <w:jc w:val="center"/>
            </w:pPr>
            <w:r/>
            <w:r>
              <w:rPr>
                <w:rFonts w:ascii="新細明體" w:hAnsi="新細明體" w:eastAsia="新細明體"/>
                <w:b w:val="0"/>
                <w:sz w:val="20"/>
              </w:rPr>
              <w:t>4.79</w:t>
            </w:r>
          </w:p>
        </w:tc>
        <w:tc>
          <w:tcPr>
            <w:tcW w:type="dxa" w:w="1440"/>
          </w:tcPr>
          <w:p>
            <w:pPr>
              <w:jc w:val="center"/>
            </w:pPr>
            <w:r/>
            <w:r>
              <w:rPr>
                <w:rFonts w:ascii="新細明體" w:hAnsi="新細明體" w:eastAsia="新細明體"/>
                <w:b w:val="0"/>
                <w:sz w:val="20"/>
              </w:rPr>
              <w:t>4.78</w:t>
            </w:r>
          </w:p>
        </w:tc>
        <w:tc>
          <w:tcPr>
            <w:tcW w:type="dxa" w:w="1440"/>
          </w:tcPr>
          <w:p>
            <w:pPr>
              <w:jc w:val="center"/>
            </w:pPr>
            <w:r/>
            <w:r>
              <w:rPr>
                <w:rFonts w:ascii="新細明體" w:hAnsi="新細明體" w:eastAsia="新細明體"/>
                <w:b w:val="0"/>
                <w:sz w:val="20"/>
              </w:rPr>
              <w:t>4.80</w:t>
            </w:r>
          </w:p>
        </w:tc>
        <w:tc>
          <w:tcPr>
            <w:tcW w:type="dxa" w:w="1440"/>
          </w:tcPr>
          <w:p>
            <w:pPr>
              <w:jc w:val="center"/>
            </w:pPr>
            <w:r/>
            <w:r>
              <w:rPr>
                <w:rFonts w:ascii="新細明體" w:hAnsi="新細明體" w:eastAsia="新細明體"/>
                <w:b w:val="0"/>
                <w:sz w:val="20"/>
              </w:rPr>
              <w:t>4.36</w:t>
            </w:r>
          </w:p>
        </w:tc>
        <w:tc>
          <w:tcPr>
            <w:tcW w:type="dxa" w:w="1440"/>
          </w:tcPr>
          <w:p>
            <w:pPr>
              <w:jc w:val="center"/>
            </w:pPr>
            <w:r/>
            <w:r>
              <w:rPr>
                <w:rFonts w:ascii="新細明體" w:hAnsi="新細明體" w:eastAsia="新細明體"/>
                <w:b w:val="0"/>
                <w:sz w:val="20"/>
              </w:rPr>
              <w:t>4.33</w:t>
            </w:r>
          </w:p>
        </w:tc>
      </w:tr>
      <w:tr>
        <w:tc>
          <w:tcPr>
            <w:tcW w:type="dxa" w:w="1440"/>
          </w:tcPr>
          <w:p>
            <w:pPr>
              <w:jc w:val="left"/>
            </w:pPr>
            <w:r/>
            <w:r>
              <w:rPr>
                <w:rFonts w:ascii="新細明體" w:hAnsi="新細明體" w:eastAsia="新細明體"/>
                <w:b w:val="0"/>
                <w:sz w:val="20"/>
              </w:rPr>
              <w:t>交通</w:t>
            </w:r>
          </w:p>
        </w:tc>
        <w:tc>
          <w:tcPr>
            <w:tcW w:type="dxa" w:w="1440"/>
          </w:tcPr>
          <w:p>
            <w:pPr>
              <w:jc w:val="center"/>
            </w:pPr>
            <w:r/>
            <w:r>
              <w:rPr>
                <w:rFonts w:ascii="新細明體" w:hAnsi="新細明體" w:eastAsia="新細明體"/>
                <w:b w:val="0"/>
                <w:sz w:val="20"/>
              </w:rPr>
              <w:t>4.73</w:t>
            </w:r>
          </w:p>
        </w:tc>
        <w:tc>
          <w:tcPr>
            <w:tcW w:type="dxa" w:w="1440"/>
          </w:tcPr>
          <w:p>
            <w:pPr>
              <w:jc w:val="center"/>
            </w:pPr>
            <w:r/>
            <w:r>
              <w:rPr>
                <w:rFonts w:ascii="新細明體" w:hAnsi="新細明體" w:eastAsia="新細明體"/>
                <w:b w:val="0"/>
                <w:sz w:val="20"/>
              </w:rPr>
              <w:t>4.74</w:t>
            </w:r>
          </w:p>
        </w:tc>
        <w:tc>
          <w:tcPr>
            <w:tcW w:type="dxa" w:w="1440"/>
          </w:tcPr>
          <w:p>
            <w:pPr>
              <w:jc w:val="center"/>
            </w:pPr>
            <w:r/>
            <w:r>
              <w:rPr>
                <w:rFonts w:ascii="新細明體" w:hAnsi="新細明體" w:eastAsia="新細明體"/>
                <w:b w:val="0"/>
                <w:sz w:val="20"/>
              </w:rPr>
              <w:t>4.75</w:t>
            </w:r>
          </w:p>
        </w:tc>
        <w:tc>
          <w:tcPr>
            <w:tcW w:type="dxa" w:w="1440"/>
          </w:tcPr>
          <w:p>
            <w:pPr>
              <w:jc w:val="center"/>
            </w:pPr>
            <w:r/>
            <w:r>
              <w:rPr>
                <w:rFonts w:ascii="新細明體" w:hAnsi="新細明體" w:eastAsia="新細明體"/>
                <w:b w:val="0"/>
                <w:sz w:val="20"/>
              </w:rPr>
              <w:t>4.59</w:t>
            </w:r>
          </w:p>
        </w:tc>
        <w:tc>
          <w:tcPr>
            <w:tcW w:type="dxa" w:w="1440"/>
          </w:tcPr>
          <w:p>
            <w:pPr>
              <w:jc w:val="center"/>
            </w:pPr>
            <w:r/>
            <w:r>
              <w:rPr>
                <w:rFonts w:ascii="新細明體" w:hAnsi="新細明體" w:eastAsia="新細明體"/>
                <w:b w:val="0"/>
                <w:sz w:val="20"/>
              </w:rPr>
              <w:t>4.31</w:t>
            </w:r>
          </w:p>
        </w:tc>
      </w:tr>
      <w:tr>
        <w:tc>
          <w:tcPr>
            <w:tcW w:type="dxa" w:w="1440"/>
          </w:tcPr>
          <w:p>
            <w:pPr>
              <w:jc w:val="left"/>
            </w:pPr>
            <w:r/>
            <w:r>
              <w:rPr>
                <w:rFonts w:ascii="新細明體" w:hAnsi="新細明體" w:eastAsia="新細明體"/>
                <w:b w:val="0"/>
                <w:sz w:val="20"/>
              </w:rPr>
              <w:t>周邊環境</w:t>
            </w:r>
          </w:p>
        </w:tc>
        <w:tc>
          <w:tcPr>
            <w:tcW w:type="dxa" w:w="1440"/>
          </w:tcPr>
          <w:p>
            <w:pPr>
              <w:jc w:val="center"/>
            </w:pPr>
            <w:r/>
            <w:r>
              <w:rPr>
                <w:rFonts w:ascii="新細明體" w:hAnsi="新細明體" w:eastAsia="新細明體"/>
                <w:b w:val="0"/>
                <w:sz w:val="20"/>
              </w:rPr>
              <w:t>4.61</w:t>
            </w:r>
          </w:p>
        </w:tc>
        <w:tc>
          <w:tcPr>
            <w:tcW w:type="dxa" w:w="1440"/>
          </w:tcPr>
          <w:p>
            <w:pPr>
              <w:jc w:val="center"/>
            </w:pPr>
            <w:r/>
            <w:r>
              <w:rPr>
                <w:rFonts w:ascii="新細明體" w:hAnsi="新細明體" w:eastAsia="新細明體"/>
                <w:b w:val="0"/>
                <w:sz w:val="20"/>
              </w:rPr>
              <w:t>4.49</w:t>
            </w:r>
          </w:p>
        </w:tc>
        <w:tc>
          <w:tcPr>
            <w:tcW w:type="dxa" w:w="1440"/>
          </w:tcPr>
          <w:p>
            <w:pPr>
              <w:jc w:val="center"/>
            </w:pPr>
            <w:r/>
            <w:r>
              <w:rPr>
                <w:rFonts w:ascii="新細明體" w:hAnsi="新細明體" w:eastAsia="新細明體"/>
                <w:b w:val="0"/>
                <w:sz w:val="20"/>
              </w:rPr>
              <w:t>4.57</w:t>
            </w:r>
          </w:p>
        </w:tc>
        <w:tc>
          <w:tcPr>
            <w:tcW w:type="dxa" w:w="1440"/>
          </w:tcPr>
          <w:p>
            <w:pPr>
              <w:jc w:val="center"/>
            </w:pPr>
            <w:r/>
            <w:r>
              <w:rPr>
                <w:rFonts w:ascii="新細明體" w:hAnsi="新細明體" w:eastAsia="新細明體"/>
                <w:b w:val="0"/>
                <w:sz w:val="20"/>
              </w:rPr>
              <w:t>4.48</w:t>
            </w:r>
          </w:p>
        </w:tc>
        <w:tc>
          <w:tcPr>
            <w:tcW w:type="dxa" w:w="1440"/>
          </w:tcPr>
          <w:p>
            <w:pPr>
              <w:jc w:val="center"/>
            </w:pPr>
            <w:r/>
            <w:r>
              <w:rPr>
                <w:rFonts w:ascii="新細明體" w:hAnsi="新細明體" w:eastAsia="新細明體"/>
                <w:b w:val="0"/>
                <w:sz w:val="20"/>
              </w:rPr>
              <w:t>4.44</w:t>
            </w:r>
          </w:p>
        </w:tc>
      </w:tr>
      <w:tr>
        <w:tc>
          <w:tcPr>
            <w:tcW w:type="dxa" w:w="1440"/>
          </w:tcPr>
          <w:p>
            <w:pPr>
              <w:jc w:val="left"/>
            </w:pPr>
            <w:r/>
            <w:r>
              <w:rPr>
                <w:rFonts w:ascii="新細明體" w:hAnsi="新細明體" w:eastAsia="新細明體"/>
                <w:b w:val="0"/>
                <w:sz w:val="20"/>
              </w:rPr>
              <w:t>服務</w:t>
            </w:r>
          </w:p>
        </w:tc>
        <w:tc>
          <w:tcPr>
            <w:tcW w:type="dxa" w:w="1440"/>
          </w:tcPr>
          <w:p>
            <w:pPr>
              <w:jc w:val="center"/>
            </w:pPr>
            <w:r/>
            <w:r>
              <w:rPr>
                <w:rFonts w:ascii="新細明體" w:hAnsi="新細明體" w:eastAsia="新細明體"/>
                <w:b w:val="0"/>
                <w:sz w:val="20"/>
              </w:rPr>
              <w:t>4.08</w:t>
            </w:r>
          </w:p>
        </w:tc>
        <w:tc>
          <w:tcPr>
            <w:tcW w:type="dxa" w:w="1440"/>
          </w:tcPr>
          <w:p>
            <w:pPr>
              <w:jc w:val="center"/>
            </w:pPr>
            <w:r/>
            <w:r>
              <w:rPr>
                <w:rFonts w:ascii="新細明體" w:hAnsi="新細明體" w:eastAsia="新細明體"/>
                <w:b w:val="0"/>
                <w:sz w:val="20"/>
              </w:rPr>
              <w:t>4.24</w:t>
            </w:r>
          </w:p>
        </w:tc>
        <w:tc>
          <w:tcPr>
            <w:tcW w:type="dxa" w:w="1440"/>
          </w:tcPr>
          <w:p>
            <w:pPr>
              <w:jc w:val="center"/>
            </w:pPr>
            <w:r/>
            <w:r>
              <w:rPr>
                <w:rFonts w:ascii="新細明體" w:hAnsi="新細明體" w:eastAsia="新細明體"/>
                <w:b w:val="0"/>
                <w:sz w:val="20"/>
              </w:rPr>
              <w:t>4.64</w:t>
            </w:r>
          </w:p>
        </w:tc>
        <w:tc>
          <w:tcPr>
            <w:tcW w:type="dxa" w:w="1440"/>
          </w:tcPr>
          <w:p>
            <w:pPr>
              <w:jc w:val="center"/>
            </w:pPr>
            <w:r/>
            <w:r>
              <w:rPr>
                <w:rFonts w:ascii="新細明體" w:hAnsi="新細明體" w:eastAsia="新細明體"/>
                <w:b w:val="0"/>
                <w:sz w:val="20"/>
              </w:rPr>
              <w:t>4.59</w:t>
            </w:r>
          </w:p>
        </w:tc>
        <w:tc>
          <w:tcPr>
            <w:tcW w:type="dxa" w:w="1440"/>
          </w:tcPr>
          <w:p>
            <w:pPr>
              <w:jc w:val="center"/>
            </w:pPr>
            <w:r/>
            <w:r>
              <w:rPr>
                <w:rFonts w:ascii="新細明體" w:hAnsi="新細明體" w:eastAsia="新細明體"/>
                <w:b w:val="0"/>
                <w:sz w:val="20"/>
              </w:rPr>
              <w:t>4.39</w:t>
            </w:r>
          </w:p>
        </w:tc>
      </w:tr>
      <w:tr>
        <w:tc>
          <w:tcPr>
            <w:tcW w:type="dxa" w:w="1440"/>
          </w:tcPr>
          <w:p>
            <w:pPr>
              <w:jc w:val="left"/>
            </w:pPr>
            <w:r/>
            <w:r>
              <w:rPr>
                <w:rFonts w:ascii="新細明體" w:hAnsi="新細明體" w:eastAsia="新細明體"/>
                <w:b w:val="0"/>
                <w:sz w:val="20"/>
              </w:rPr>
              <w:t>清潔度</w:t>
            </w:r>
          </w:p>
        </w:tc>
        <w:tc>
          <w:tcPr>
            <w:tcW w:type="dxa" w:w="1440"/>
          </w:tcPr>
          <w:p>
            <w:pPr>
              <w:jc w:val="center"/>
            </w:pPr>
            <w:r/>
            <w:r>
              <w:rPr>
                <w:rFonts w:ascii="新細明體" w:hAnsi="新細明體" w:eastAsia="新細明體"/>
                <w:b w:val="0"/>
                <w:sz w:val="20"/>
              </w:rPr>
              <w:t>3.88</w:t>
            </w:r>
          </w:p>
        </w:tc>
        <w:tc>
          <w:tcPr>
            <w:tcW w:type="dxa" w:w="1440"/>
          </w:tcPr>
          <w:p>
            <w:pPr>
              <w:jc w:val="center"/>
            </w:pPr>
            <w:r/>
            <w:r>
              <w:rPr>
                <w:rFonts w:ascii="新細明體" w:hAnsi="新細明體" w:eastAsia="新細明體"/>
                <w:b w:val="0"/>
                <w:sz w:val="20"/>
              </w:rPr>
              <w:t>4.15</w:t>
            </w:r>
          </w:p>
        </w:tc>
        <w:tc>
          <w:tcPr>
            <w:tcW w:type="dxa" w:w="1440"/>
          </w:tcPr>
          <w:p>
            <w:pPr>
              <w:jc w:val="center"/>
            </w:pPr>
            <w:r/>
            <w:r>
              <w:rPr>
                <w:rFonts w:ascii="新細明體" w:hAnsi="新細明體" w:eastAsia="新細明體"/>
                <w:b w:val="0"/>
                <w:sz w:val="20"/>
              </w:rPr>
              <w:t>4.58</w:t>
            </w:r>
          </w:p>
        </w:tc>
        <w:tc>
          <w:tcPr>
            <w:tcW w:type="dxa" w:w="1440"/>
          </w:tcPr>
          <w:p>
            <w:pPr>
              <w:jc w:val="center"/>
            </w:pPr>
            <w:r/>
            <w:r>
              <w:rPr>
                <w:rFonts w:ascii="新細明體" w:hAnsi="新細明體" w:eastAsia="新細明體"/>
                <w:b w:val="0"/>
                <w:sz w:val="20"/>
              </w:rPr>
              <w:t>4.66</w:t>
            </w:r>
          </w:p>
        </w:tc>
        <w:tc>
          <w:tcPr>
            <w:tcW w:type="dxa" w:w="1440"/>
          </w:tcPr>
          <w:p>
            <w:pPr>
              <w:jc w:val="center"/>
            </w:pPr>
            <w:r/>
            <w:r>
              <w:rPr>
                <w:rFonts w:ascii="新細明體" w:hAnsi="新細明體" w:eastAsia="新細明體"/>
                <w:b w:val="0"/>
                <w:sz w:val="20"/>
              </w:rPr>
              <w:t>4.37</w:t>
            </w:r>
          </w:p>
        </w:tc>
      </w:tr>
      <w:tr>
        <w:tc>
          <w:tcPr>
            <w:tcW w:type="dxa" w:w="1440"/>
          </w:tcPr>
          <w:p>
            <w:pPr>
              <w:jc w:val="left"/>
            </w:pPr>
            <w:r/>
            <w:r>
              <w:rPr>
                <w:rFonts w:ascii="新細明體" w:hAnsi="新細明體" w:eastAsia="新細明體"/>
                <w:b w:val="0"/>
                <w:sz w:val="20"/>
              </w:rPr>
              <w:t>公共設施</w:t>
            </w:r>
          </w:p>
        </w:tc>
        <w:tc>
          <w:tcPr>
            <w:tcW w:type="dxa" w:w="1440"/>
          </w:tcPr>
          <w:p>
            <w:pPr>
              <w:jc w:val="center"/>
            </w:pPr>
            <w:r/>
            <w:r>
              <w:rPr>
                <w:rFonts w:ascii="新細明體" w:hAnsi="新細明體" w:eastAsia="新細明體"/>
                <w:b w:val="0"/>
                <w:sz w:val="20"/>
              </w:rPr>
              <w:t>4.17</w:t>
            </w:r>
          </w:p>
        </w:tc>
        <w:tc>
          <w:tcPr>
            <w:tcW w:type="dxa" w:w="1440"/>
          </w:tcPr>
          <w:p>
            <w:pPr>
              <w:jc w:val="center"/>
            </w:pPr>
            <w:r/>
            <w:r>
              <w:rPr>
                <w:rFonts w:ascii="新細明體" w:hAnsi="新細明體" w:eastAsia="新細明體"/>
                <w:b w:val="0"/>
                <w:sz w:val="20"/>
              </w:rPr>
              <w:t>3.60</w:t>
            </w:r>
          </w:p>
        </w:tc>
        <w:tc>
          <w:tcPr>
            <w:tcW w:type="dxa" w:w="1440"/>
          </w:tcPr>
          <w:p>
            <w:pPr>
              <w:jc w:val="center"/>
            </w:pPr>
            <w:r/>
            <w:r>
              <w:rPr>
                <w:rFonts w:ascii="新細明體" w:hAnsi="新細明體" w:eastAsia="新細明體"/>
                <w:b w:val="0"/>
                <w:sz w:val="20"/>
              </w:rPr>
              <w:t>4.35</w:t>
            </w:r>
          </w:p>
        </w:tc>
        <w:tc>
          <w:tcPr>
            <w:tcW w:type="dxa" w:w="1440"/>
          </w:tcPr>
          <w:p>
            <w:pPr>
              <w:jc w:val="center"/>
            </w:pPr>
            <w:r/>
            <w:r>
              <w:rPr>
                <w:rFonts w:ascii="新細明體" w:hAnsi="新細明體" w:eastAsia="新細明體"/>
                <w:b w:val="0"/>
                <w:sz w:val="20"/>
              </w:rPr>
              <w:t>4.31</w:t>
            </w:r>
          </w:p>
        </w:tc>
        <w:tc>
          <w:tcPr>
            <w:tcW w:type="dxa" w:w="1440"/>
          </w:tcPr>
          <w:p>
            <w:pPr>
              <w:jc w:val="center"/>
            </w:pPr>
            <w:r/>
            <w:r>
              <w:rPr>
                <w:rFonts w:ascii="新細明體" w:hAnsi="新細明體" w:eastAsia="新細明體"/>
                <w:b w:val="0"/>
                <w:sz w:val="20"/>
              </w:rPr>
              <w:t>4.41</w:t>
            </w:r>
          </w:p>
        </w:tc>
      </w:tr>
      <w:tr>
        <w:tc>
          <w:tcPr>
            <w:tcW w:type="dxa" w:w="1440"/>
          </w:tcPr>
          <w:p>
            <w:pPr>
              <w:jc w:val="left"/>
            </w:pPr>
            <w:r/>
            <w:r>
              <w:rPr>
                <w:rFonts w:ascii="新細明體" w:hAnsi="新細明體" w:eastAsia="新細明體"/>
                <w:b w:val="0"/>
                <w:sz w:val="20"/>
              </w:rPr>
              <w:t>性價比</w:t>
            </w:r>
          </w:p>
        </w:tc>
        <w:tc>
          <w:tcPr>
            <w:tcW w:type="dxa" w:w="1440"/>
          </w:tcPr>
          <w:p>
            <w:pPr>
              <w:jc w:val="center"/>
            </w:pPr>
            <w:r/>
            <w:r>
              <w:rPr>
                <w:rFonts w:ascii="新細明體" w:hAnsi="新細明體" w:eastAsia="新細明體"/>
                <w:b w:val="0"/>
                <w:sz w:val="20"/>
              </w:rPr>
              <w:t>4.14</w:t>
            </w:r>
          </w:p>
        </w:tc>
        <w:tc>
          <w:tcPr>
            <w:tcW w:type="dxa" w:w="1440"/>
          </w:tcPr>
          <w:p>
            <w:pPr>
              <w:jc w:val="center"/>
            </w:pPr>
            <w:r/>
            <w:r>
              <w:rPr>
                <w:rFonts w:ascii="新細明體" w:hAnsi="新細明體" w:eastAsia="新細明體"/>
                <w:b w:val="0"/>
                <w:sz w:val="20"/>
              </w:rPr>
              <w:t>3.58</w:t>
            </w:r>
          </w:p>
        </w:tc>
        <w:tc>
          <w:tcPr>
            <w:tcW w:type="dxa" w:w="1440"/>
          </w:tcPr>
          <w:p>
            <w:pPr>
              <w:jc w:val="center"/>
            </w:pPr>
            <w:r/>
            <w:r>
              <w:rPr>
                <w:rFonts w:ascii="新細明體" w:hAnsi="新細明體" w:eastAsia="新細明體"/>
                <w:b w:val="0"/>
                <w:sz w:val="20"/>
              </w:rPr>
              <w:t>4.24</w:t>
            </w:r>
          </w:p>
        </w:tc>
        <w:tc>
          <w:tcPr>
            <w:tcW w:type="dxa" w:w="1440"/>
          </w:tcPr>
          <w:p>
            <w:pPr>
              <w:jc w:val="center"/>
            </w:pPr>
            <w:r/>
            <w:r>
              <w:rPr>
                <w:rFonts w:ascii="新細明體" w:hAnsi="新細明體" w:eastAsia="新細明體"/>
                <w:b w:val="0"/>
                <w:sz w:val="20"/>
              </w:rPr>
              <w:t>4.24</w:t>
            </w:r>
          </w:p>
        </w:tc>
        <w:tc>
          <w:tcPr>
            <w:tcW w:type="dxa" w:w="1440"/>
          </w:tcPr>
          <w:p>
            <w:pPr>
              <w:jc w:val="center"/>
            </w:pPr>
            <w:r/>
            <w:r>
              <w:rPr>
                <w:rFonts w:ascii="新細明體" w:hAnsi="新細明體" w:eastAsia="新細明體"/>
                <w:b w:val="0"/>
                <w:sz w:val="20"/>
              </w:rPr>
              <w:t>4.29</w:t>
            </w:r>
          </w:p>
        </w:tc>
      </w:tr>
      <w:tr>
        <w:tc>
          <w:tcPr>
            <w:tcW w:type="dxa" w:w="1440"/>
          </w:tcPr>
          <w:p>
            <w:pPr>
              <w:jc w:val="left"/>
            </w:pPr>
            <w:r/>
            <w:r>
              <w:rPr>
                <w:rFonts w:ascii="新細明體" w:hAnsi="新細明體" w:eastAsia="新細明體"/>
                <w:b w:val="0"/>
                <w:sz w:val="20"/>
              </w:rPr>
              <w:t>房間</w:t>
            </w:r>
          </w:p>
        </w:tc>
        <w:tc>
          <w:tcPr>
            <w:tcW w:type="dxa" w:w="1440"/>
          </w:tcPr>
          <w:p>
            <w:pPr>
              <w:jc w:val="center"/>
            </w:pPr>
            <w:r/>
            <w:r>
              <w:rPr>
                <w:rFonts w:ascii="新細明體" w:hAnsi="新細明體" w:eastAsia="新細明體"/>
                <w:b w:val="0"/>
                <w:sz w:val="20"/>
              </w:rPr>
              <w:t>3.92</w:t>
            </w:r>
          </w:p>
        </w:tc>
        <w:tc>
          <w:tcPr>
            <w:tcW w:type="dxa" w:w="1440"/>
          </w:tcPr>
          <w:p>
            <w:pPr>
              <w:jc w:val="center"/>
            </w:pPr>
            <w:r/>
            <w:r>
              <w:rPr>
                <w:rFonts w:ascii="新細明體" w:hAnsi="新細明體" w:eastAsia="新細明體"/>
                <w:b w:val="0"/>
                <w:sz w:val="20"/>
              </w:rPr>
              <w:t>3.74</w:t>
            </w:r>
          </w:p>
        </w:tc>
        <w:tc>
          <w:tcPr>
            <w:tcW w:type="dxa" w:w="1440"/>
          </w:tcPr>
          <w:p>
            <w:pPr>
              <w:jc w:val="center"/>
            </w:pPr>
            <w:r/>
            <w:r>
              <w:rPr>
                <w:rFonts w:ascii="新細明體" w:hAnsi="新細明體" w:eastAsia="新細明體"/>
                <w:b w:val="0"/>
                <w:sz w:val="20"/>
              </w:rPr>
              <w:t>3.71</w:t>
            </w:r>
          </w:p>
        </w:tc>
        <w:tc>
          <w:tcPr>
            <w:tcW w:type="dxa" w:w="1440"/>
          </w:tcPr>
          <w:p>
            <w:pPr>
              <w:jc w:val="center"/>
            </w:pPr>
            <w:r/>
            <w:r>
              <w:rPr>
                <w:rFonts w:ascii="新細明體" w:hAnsi="新細明體" w:eastAsia="新細明體"/>
                <w:b w:val="0"/>
                <w:sz w:val="20"/>
              </w:rPr>
              <w:t>4.18</w:t>
            </w:r>
          </w:p>
        </w:tc>
        <w:tc>
          <w:tcPr>
            <w:tcW w:type="dxa" w:w="1440"/>
          </w:tcPr>
          <w:p>
            <w:pPr>
              <w:jc w:val="center"/>
            </w:pPr>
            <w:r/>
            <w:r>
              <w:rPr>
                <w:rFonts w:ascii="新細明體" w:hAnsi="新細明體" w:eastAsia="新細明體"/>
                <w:b w:val="0"/>
                <w:sz w:val="20"/>
              </w:rPr>
              <w:t>4.19</w:t>
            </w:r>
          </w:p>
        </w:tc>
      </w:tr>
      <w:tr>
        <w:tc>
          <w:tcPr>
            <w:tcW w:type="dxa" w:w="1440"/>
          </w:tcPr>
          <w:p>
            <w:pPr>
              <w:jc w:val="left"/>
            </w:pPr>
            <w:r/>
            <w:r>
              <w:rPr>
                <w:rFonts w:ascii="新細明體" w:hAnsi="新細明體" w:eastAsia="新細明體"/>
                <w:b w:val="0"/>
                <w:sz w:val="20"/>
              </w:rPr>
              <w:t>睡眠品質</w:t>
            </w:r>
          </w:p>
        </w:tc>
        <w:tc>
          <w:tcPr>
            <w:tcW w:type="dxa" w:w="1440"/>
          </w:tcPr>
          <w:p>
            <w:pPr>
              <w:jc w:val="center"/>
            </w:pPr>
            <w:r/>
            <w:r>
              <w:rPr>
                <w:rFonts w:ascii="新細明體" w:hAnsi="新細明體" w:eastAsia="新細明體"/>
                <w:b w:val="0"/>
                <w:sz w:val="20"/>
              </w:rPr>
              <w:t>3.93</w:t>
            </w:r>
          </w:p>
        </w:tc>
        <w:tc>
          <w:tcPr>
            <w:tcW w:type="dxa" w:w="1440"/>
          </w:tcPr>
          <w:p>
            <w:pPr>
              <w:jc w:val="center"/>
            </w:pPr>
            <w:r/>
            <w:r>
              <w:rPr>
                <w:rFonts w:ascii="新細明體" w:hAnsi="新細明體" w:eastAsia="新細明體"/>
                <w:b w:val="0"/>
                <w:sz w:val="20"/>
              </w:rPr>
              <w:t>3.94</w:t>
            </w:r>
          </w:p>
        </w:tc>
        <w:tc>
          <w:tcPr>
            <w:tcW w:type="dxa" w:w="1440"/>
          </w:tcPr>
          <w:p>
            <w:pPr>
              <w:jc w:val="center"/>
            </w:pPr>
            <w:r/>
            <w:r>
              <w:rPr>
                <w:rFonts w:ascii="新細明體" w:hAnsi="新細明體" w:eastAsia="新細明體"/>
                <w:b w:val="0"/>
                <w:sz w:val="20"/>
              </w:rPr>
              <w:t>3.84</w:t>
            </w:r>
          </w:p>
        </w:tc>
        <w:tc>
          <w:tcPr>
            <w:tcW w:type="dxa" w:w="1440"/>
          </w:tcPr>
          <w:p>
            <w:pPr>
              <w:jc w:val="center"/>
            </w:pPr>
            <w:r/>
            <w:r>
              <w:rPr>
                <w:rFonts w:ascii="新細明體" w:hAnsi="新細明體" w:eastAsia="新細明體"/>
                <w:b w:val="0"/>
                <w:sz w:val="20"/>
              </w:rPr>
              <w:t>3.92</w:t>
            </w:r>
          </w:p>
        </w:tc>
        <w:tc>
          <w:tcPr>
            <w:tcW w:type="dxa" w:w="1440"/>
          </w:tcPr>
          <w:p>
            <w:pPr>
              <w:jc w:val="center"/>
            </w:pPr>
            <w:r/>
            <w:r>
              <w:rPr>
                <w:rFonts w:ascii="新細明體" w:hAnsi="新細明體" w:eastAsia="新細明體"/>
                <w:b w:val="0"/>
                <w:sz w:val="20"/>
              </w:rPr>
              <w:t>3.64</w:t>
            </w:r>
          </w:p>
        </w:tc>
      </w:tr>
      <w:tr>
        <w:tc>
          <w:tcPr>
            <w:tcW w:type="dxa" w:w="1440"/>
          </w:tcPr>
          <w:p>
            <w:pPr>
              <w:jc w:val="left"/>
            </w:pPr>
            <w:r/>
            <w:r>
              <w:rPr>
                <w:rFonts w:ascii="新細明體" w:hAnsi="新細明體" w:eastAsia="新細明體"/>
                <w:b w:val="0"/>
                <w:sz w:val="20"/>
              </w:rPr>
              <w:t>餐廳</w:t>
            </w:r>
          </w:p>
        </w:tc>
        <w:tc>
          <w:tcPr>
            <w:tcW w:type="dxa" w:w="1440"/>
          </w:tcPr>
          <w:p>
            <w:pPr>
              <w:jc w:val="center"/>
            </w:pPr>
            <w:r/>
            <w:r>
              <w:rPr>
                <w:rFonts w:ascii="新細明體" w:hAnsi="新細明體" w:eastAsia="新細明體"/>
                <w:b w:val="0"/>
                <w:sz w:val="20"/>
              </w:rPr>
              <w:t>3.48</w:t>
            </w:r>
          </w:p>
        </w:tc>
        <w:tc>
          <w:tcPr>
            <w:tcW w:type="dxa" w:w="1440"/>
          </w:tcPr>
          <w:p>
            <w:pPr>
              <w:jc w:val="center"/>
            </w:pPr>
            <w:r/>
            <w:r>
              <w:rPr>
                <w:rFonts w:ascii="新細明體" w:hAnsi="新細明體" w:eastAsia="新細明體"/>
                <w:b w:val="0"/>
                <w:sz w:val="20"/>
              </w:rPr>
              <w:t>3.70</w:t>
            </w:r>
          </w:p>
        </w:tc>
        <w:tc>
          <w:tcPr>
            <w:tcW w:type="dxa" w:w="1440"/>
          </w:tcPr>
          <w:p>
            <w:pPr>
              <w:jc w:val="center"/>
            </w:pPr>
            <w:r/>
            <w:r>
              <w:rPr>
                <w:rFonts w:ascii="新細明體" w:hAnsi="新細明體" w:eastAsia="新細明體"/>
                <w:b w:val="0"/>
                <w:sz w:val="20"/>
              </w:rPr>
              <w:t>4.39</w:t>
            </w:r>
          </w:p>
        </w:tc>
        <w:tc>
          <w:tcPr>
            <w:tcW w:type="dxa" w:w="1440"/>
          </w:tcPr>
          <w:p>
            <w:pPr>
              <w:jc w:val="center"/>
            </w:pPr>
            <w:r/>
            <w:r>
              <w:rPr>
                <w:rFonts w:ascii="新細明體" w:hAnsi="新細明體" w:eastAsia="新細明體"/>
                <w:b w:val="0"/>
                <w:sz w:val="20"/>
              </w:rPr>
              <w:t>4.28</w:t>
            </w:r>
          </w:p>
        </w:tc>
        <w:tc>
          <w:tcPr>
            <w:tcW w:type="dxa" w:w="1440"/>
          </w:tcPr>
          <w:p>
            <w:pPr>
              <w:jc w:val="center"/>
            </w:pPr>
            <w:r/>
            <w:r>
              <w:rPr>
                <w:rFonts w:ascii="新細明體" w:hAnsi="新細明體" w:eastAsia="新細明體"/>
                <w:b w:val="0"/>
                <w:sz w:val="20"/>
              </w:rPr>
              <w:t>3.99</w:t>
            </w:r>
          </w:p>
        </w:tc>
      </w:tr>
      <w:tr>
        <w:tc>
          <w:tcPr>
            <w:tcW w:type="dxa" w:w="1440"/>
          </w:tcPr>
          <w:p>
            <w:pPr>
              <w:jc w:val="left"/>
            </w:pPr>
            <w:r/>
            <w:r>
              <w:rPr>
                <w:rFonts w:ascii="新細明體" w:hAnsi="新細明體" w:eastAsia="新細明體"/>
                <w:b w:val="0"/>
                <w:sz w:val="20"/>
              </w:rPr>
              <w:t>衛浴</w:t>
            </w:r>
          </w:p>
        </w:tc>
        <w:tc>
          <w:tcPr>
            <w:tcW w:type="dxa" w:w="1440"/>
          </w:tcPr>
          <w:p>
            <w:pPr>
              <w:jc w:val="center"/>
            </w:pPr>
            <w:r/>
            <w:r>
              <w:rPr>
                <w:rFonts w:ascii="新細明體" w:hAnsi="新細明體" w:eastAsia="新細明體"/>
                <w:b w:val="0"/>
                <w:sz w:val="20"/>
              </w:rPr>
              <w:t>3.53</w:t>
            </w:r>
          </w:p>
        </w:tc>
        <w:tc>
          <w:tcPr>
            <w:tcW w:type="dxa" w:w="1440"/>
          </w:tcPr>
          <w:p>
            <w:pPr>
              <w:jc w:val="center"/>
            </w:pPr>
            <w:r/>
            <w:r>
              <w:rPr>
                <w:rFonts w:ascii="新細明體" w:hAnsi="新細明體" w:eastAsia="新細明體"/>
                <w:b w:val="0"/>
                <w:sz w:val="20"/>
              </w:rPr>
              <w:t>3.21</w:t>
            </w:r>
          </w:p>
        </w:tc>
        <w:tc>
          <w:tcPr>
            <w:tcW w:type="dxa" w:w="1440"/>
          </w:tcPr>
          <w:p>
            <w:pPr>
              <w:jc w:val="center"/>
            </w:pPr>
            <w:r/>
            <w:r>
              <w:rPr>
                <w:rFonts w:ascii="新細明體" w:hAnsi="新細明體" w:eastAsia="新細明體"/>
                <w:b w:val="0"/>
                <w:sz w:val="20"/>
              </w:rPr>
              <w:t>3.72</w:t>
            </w:r>
          </w:p>
        </w:tc>
        <w:tc>
          <w:tcPr>
            <w:tcW w:type="dxa" w:w="1440"/>
          </w:tcPr>
          <w:p>
            <w:pPr>
              <w:jc w:val="center"/>
            </w:pPr>
            <w:r/>
            <w:r>
              <w:rPr>
                <w:rFonts w:ascii="新細明體" w:hAnsi="新細明體" w:eastAsia="新細明體"/>
                <w:b w:val="0"/>
                <w:sz w:val="20"/>
              </w:rPr>
              <w:t>3.15</w:t>
            </w:r>
          </w:p>
        </w:tc>
        <w:tc>
          <w:tcPr>
            <w:tcW w:type="dxa" w:w="1440"/>
          </w:tcPr>
          <w:p>
            <w:pPr>
              <w:jc w:val="center"/>
            </w:pPr>
            <w:r/>
            <w:r>
              <w:rPr>
                <w:rFonts w:ascii="新細明體" w:hAnsi="新細明體" w:eastAsia="新細明體"/>
                <w:b w:val="0"/>
                <w:sz w:val="20"/>
              </w:rPr>
              <w:t>3.18</w:t>
            </w:r>
          </w:p>
        </w:tc>
      </w:tr>
      <w:tr>
        <w:tc>
          <w:tcPr>
            <w:tcW w:type="dxa" w:w="1440"/>
          </w:tcPr>
          <w:p>
            <w:pPr>
              <w:jc w:val="left"/>
            </w:pPr>
            <w:r/>
            <w:r>
              <w:rPr>
                <w:rFonts w:ascii="新細明體" w:hAnsi="新細明體" w:eastAsia="新細明體"/>
                <w:b w:val="0"/>
                <w:sz w:val="20"/>
              </w:rPr>
              <w:t>停車</w:t>
            </w:r>
          </w:p>
        </w:tc>
        <w:tc>
          <w:tcPr>
            <w:tcW w:type="dxa" w:w="1440"/>
          </w:tcPr>
          <w:p>
            <w:pPr>
              <w:jc w:val="center"/>
            </w:pPr>
            <w:r/>
            <w:r>
              <w:rPr>
                <w:rFonts w:ascii="新細明體" w:hAnsi="新細明體" w:eastAsia="新細明體"/>
                <w:b w:val="0"/>
                <w:sz w:val="20"/>
              </w:rPr>
              <w:t>2.85</w:t>
            </w:r>
          </w:p>
        </w:tc>
        <w:tc>
          <w:tcPr>
            <w:tcW w:type="dxa" w:w="1440"/>
          </w:tcPr>
          <w:p>
            <w:pPr>
              <w:jc w:val="center"/>
            </w:pPr>
            <w:r/>
            <w:r>
              <w:rPr>
                <w:rFonts w:ascii="新細明體" w:hAnsi="新細明體" w:eastAsia="新細明體"/>
                <w:b w:val="0"/>
                <w:sz w:val="20"/>
              </w:rPr>
              <w:t>2.35</w:t>
            </w:r>
          </w:p>
        </w:tc>
        <w:tc>
          <w:tcPr>
            <w:tcW w:type="dxa" w:w="1440"/>
          </w:tcPr>
          <w:p>
            <w:pPr>
              <w:jc w:val="center"/>
            </w:pPr>
            <w:r/>
            <w:r>
              <w:rPr>
                <w:rFonts w:ascii="新細明體" w:hAnsi="新細明體" w:eastAsia="新細明體"/>
                <w:b w:val="0"/>
                <w:sz w:val="20"/>
              </w:rPr>
              <w:t>2.12</w:t>
            </w:r>
          </w:p>
        </w:tc>
        <w:tc>
          <w:tcPr>
            <w:tcW w:type="dxa" w:w="1440"/>
          </w:tcPr>
          <w:p>
            <w:pPr>
              <w:jc w:val="center"/>
            </w:pPr>
            <w:r/>
            <w:r>
              <w:rPr>
                <w:rFonts w:ascii="新細明體" w:hAnsi="新細明體" w:eastAsia="新細明體"/>
                <w:b w:val="0"/>
                <w:sz w:val="20"/>
              </w:rPr>
              <w:t>4.62</w:t>
            </w:r>
          </w:p>
        </w:tc>
        <w:tc>
          <w:tcPr>
            <w:tcW w:type="dxa" w:w="1440"/>
          </w:tcPr>
          <w:p>
            <w:pPr>
              <w:jc w:val="center"/>
            </w:pPr>
            <w:r/>
            <w:r>
              <w:rPr>
                <w:rFonts w:ascii="新細明體" w:hAnsi="新細明體" w:eastAsia="新細明體"/>
                <w:b w:val="0"/>
                <w:sz w:val="20"/>
              </w:rPr>
              <w:t>4.37</w:t>
            </w:r>
          </w:p>
        </w:tc>
      </w:tr>
    </w:tbl>
    <w:p>
      <w:pPr>
        <w:spacing w:before="120" w:after="120"/>
        <w:jc w:val="center"/>
      </w:pPr>
      <w:r>
        <w:rPr>
          <w:rFonts w:ascii="新細明體" w:hAnsi="新細明體" w:eastAsia="新細明體"/>
          <w:sz w:val="20"/>
        </w:rPr>
        <w:t>（資料來源：本研究整理）</w:t>
      </w:r>
    </w:p>
    <w:p>
      <w:pPr>
        <w:spacing w:line="360" w:lineRule="auto"/>
        <w:ind w:firstLine="482"/>
      </w:pPr>
      <w:r>
        <w:rPr>
          <w:rFonts w:ascii="新細明體" w:hAnsi="新細明體" w:eastAsia="新細明體"/>
          <w:b w:val="0"/>
          <w:sz w:val="24"/>
        </w:rPr>
        <w:t>由表17可觀察到以下幾項值得關注的跨酒店績效差異：</w:t>
      </w:r>
    </w:p>
    <w:p>
      <w:pPr>
        <w:spacing w:line="360" w:lineRule="auto"/>
        <w:ind w:firstLine="482"/>
      </w:pPr>
      <w:r>
        <w:rPr>
          <w:rFonts w:ascii="新細明體" w:hAnsi="新細明體" w:eastAsia="新細明體"/>
          <w:b w:val="0"/>
          <w:sz w:val="24"/>
        </w:rPr>
        <w:t>第一，在地理位置與交通方面，王府井商圈三家酒店（励骏4.79、希尔顿4.78、漫心4.80）的績效明顯高於國貿商圈的全季（4.36）與麗枫（4.33），兩個商圈之間的差距約0.4至0.5分。此結果反映王府井商圈鄰近天安門、故宮、王府井步行街等核心觀光景點，對旅遊目的之消費者具有更高的地理便利性。</w:t>
      </w:r>
    </w:p>
    <w:p>
      <w:pPr>
        <w:spacing w:line="360" w:lineRule="auto"/>
        <w:ind w:firstLine="482"/>
      </w:pPr>
      <w:r>
        <w:rPr>
          <w:rFonts w:ascii="新細明體" w:hAnsi="新細明體" w:eastAsia="新細明體"/>
          <w:b w:val="0"/>
          <w:sz w:val="24"/>
        </w:rPr>
        <w:t>第二，在停車方面呈現截然相反的格局。全季酒店（4.62）與麗枫酒店（4.37）的停車績效遠高於王府井商圈的三家酒店（励骏2.85、希尔顿2.35、漫心2.12），差距高達2分以上。此現象與王府井核心商圈建築密度高、停車空間極為有限的實際情況高度吻合，而國貿商圈的酒店通常具備較完善的停車配套設施。</w:t>
      </w:r>
    </w:p>
    <w:p>
      <w:pPr>
        <w:spacing w:line="360" w:lineRule="auto"/>
        <w:ind w:firstLine="482"/>
      </w:pPr>
      <w:r>
        <w:rPr>
          <w:rFonts w:ascii="新細明體" w:hAnsi="新細明體" w:eastAsia="新細明體"/>
          <w:b w:val="0"/>
          <w:sz w:val="24"/>
        </w:rPr>
        <w:t>第三，在服務方面，漫心酒店（4.64）績效最高，其次為全季酒店（4.59），而励骏酒店（4.08）相對較低，兩者差距達0.56分。在清潔度方面，全季酒店（4.66）表現最佳，而励骏酒店（3.88）表現最弱，差距達0.78分。此結果暗示不同酒店在服務與衛生管理方面存在顯著的品質差異。</w:t>
      </w:r>
    </w:p>
    <w:p>
      <w:pPr>
        <w:spacing w:line="360" w:lineRule="auto"/>
        <w:ind w:firstLine="482"/>
      </w:pPr>
      <w:r>
        <w:rPr>
          <w:rFonts w:ascii="新細明體" w:hAnsi="新細明體" w:eastAsia="新細明體"/>
          <w:b w:val="0"/>
          <w:sz w:val="24"/>
        </w:rPr>
        <w:t>第四，在餐廳方面，各酒店差異亦頗為顯著。漫心酒店（4.39）表現最佳，全季酒店（4.28）次之，而励骏酒店（3.48）與希尔顿酒店（3.70）相對遜色，顯示餐飲服務為部分酒店的薄弱環節。</w:t>
      </w:r>
    </w:p>
    <w:p>
      <w:pPr>
        <w:pStyle w:val="Heading2"/>
      </w:pPr>
      <w:r>
        <w:rPr>
          <w:rFonts w:ascii="新細明體" w:hAnsi="新細明體" w:eastAsia="新細明體"/>
          <w:color w:val="000000"/>
        </w:rPr>
        <w:t>4.4 屬性重要度計算</w:t>
      </w:r>
    </w:p>
    <w:p>
      <w:pPr>
        <w:pStyle w:val="Heading3"/>
      </w:pPr>
      <w:r>
        <w:rPr>
          <w:rFonts w:ascii="新細明體" w:hAnsi="新細明體" w:eastAsia="新細明體"/>
          <w:color w:val="000000"/>
        </w:rPr>
        <w:t>4.4.1 逐筆平均重要度</w:t>
      </w:r>
    </w:p>
    <w:p>
      <w:pPr>
        <w:spacing w:line="360" w:lineRule="auto"/>
        <w:ind w:firstLine="482"/>
      </w:pPr>
      <w:r>
        <w:rPr>
          <w:rFonts w:ascii="新細明體" w:hAnsi="新細明體" w:eastAsia="新細明體"/>
          <w:b w:val="0"/>
          <w:sz w:val="24"/>
        </w:rPr>
        <w:t>本研究採用兩種互補的方法計算服務屬性之重要度。第一種方法為「逐筆平均重要度」，係在GPT-4o-mini分析每條評論時，提示詞同步要求模型評估該屬性在該則評論語境中的重要性（1至5分），最終取所有評論之算術平均值作為該屬性之重要度指標。此方法的優點在於重要度判斷係基於每則評論的具體語境，能捕捉消費者在實際評論中對各屬性的關注程度。結果如表18所示。</w:t>
      </w:r>
    </w:p>
    <w:p>
      <w:pPr>
        <w:spacing w:before="120" w:after="120"/>
        <w:jc w:val="center"/>
      </w:pPr>
      <w:r>
        <w:rPr>
          <w:rFonts w:ascii="新細明體" w:hAnsi="新細明體" w:eastAsia="新細明體"/>
          <w:sz w:val="20"/>
        </w:rPr>
        <w:t>表18 逐筆平均重要度排序</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fill="D9E2F3" w:val="clear"/>
          </w:tcPr>
          <w:p>
            <w:pPr>
              <w:jc w:val="center"/>
            </w:pPr>
            <w:r/>
            <w:r>
              <w:rPr>
                <w:rFonts w:ascii="新細明體" w:hAnsi="新細明體" w:eastAsia="新細明體"/>
                <w:b/>
                <w:sz w:val="20"/>
              </w:rPr>
              <w:t>排名</w:t>
            </w:r>
          </w:p>
        </w:tc>
        <w:tc>
          <w:tcPr>
            <w:tcW w:type="dxa" w:w="2880"/>
            <w:shd w:fill="D9E2F3" w:val="clear"/>
          </w:tcPr>
          <w:p>
            <w:pPr>
              <w:jc w:val="center"/>
            </w:pPr>
            <w:r/>
            <w:r>
              <w:rPr>
                <w:rFonts w:ascii="新細明體" w:hAnsi="新細明體" w:eastAsia="新細明體"/>
                <w:b/>
                <w:sz w:val="20"/>
              </w:rPr>
              <w:t>服務屬性</w:t>
            </w:r>
          </w:p>
        </w:tc>
        <w:tc>
          <w:tcPr>
            <w:tcW w:type="dxa" w:w="2880"/>
            <w:shd w:fill="D9E2F3" w:val="clear"/>
          </w:tcPr>
          <w:p>
            <w:pPr>
              <w:jc w:val="center"/>
            </w:pPr>
            <w:r/>
            <w:r>
              <w:rPr>
                <w:rFonts w:ascii="新細明體" w:hAnsi="新細明體" w:eastAsia="新細明體"/>
                <w:b/>
                <w:sz w:val="20"/>
              </w:rPr>
              <w:t>逐筆平均重要度</w:t>
            </w:r>
          </w:p>
        </w:tc>
      </w:tr>
      <w:tr>
        <w:tc>
          <w:tcPr>
            <w:tcW w:type="dxa" w:w="2880"/>
          </w:tcPr>
          <w:p>
            <w:pPr>
              <w:jc w:val="center"/>
            </w:pPr>
            <w:r/>
            <w:r>
              <w:rPr>
                <w:rFonts w:ascii="新細明體" w:hAnsi="新細明體" w:eastAsia="新細明體"/>
                <w:b w:val="0"/>
                <w:sz w:val="20"/>
              </w:rPr>
              <w:t>1</w:t>
            </w:r>
          </w:p>
        </w:tc>
        <w:tc>
          <w:tcPr>
            <w:tcW w:type="dxa" w:w="2880"/>
          </w:tcPr>
          <w:p>
            <w:pPr>
              <w:jc w:val="left"/>
            </w:pPr>
            <w:r/>
            <w:r>
              <w:rPr>
                <w:rFonts w:ascii="新細明體" w:hAnsi="新細明體" w:eastAsia="新細明體"/>
                <w:b w:val="0"/>
                <w:sz w:val="20"/>
              </w:rPr>
              <w:t>地理位置</w:t>
            </w:r>
          </w:p>
        </w:tc>
        <w:tc>
          <w:tcPr>
            <w:tcW w:type="dxa" w:w="2880"/>
          </w:tcPr>
          <w:p>
            <w:pPr>
              <w:jc w:val="center"/>
            </w:pPr>
            <w:r/>
            <w:r>
              <w:rPr>
                <w:rFonts w:ascii="新細明體" w:hAnsi="新細明體" w:eastAsia="新細明體"/>
                <w:b w:val="0"/>
                <w:sz w:val="20"/>
              </w:rPr>
              <w:t>4.71</w:t>
            </w:r>
          </w:p>
        </w:tc>
      </w:tr>
      <w:tr>
        <w:tc>
          <w:tcPr>
            <w:tcW w:type="dxa" w:w="2880"/>
          </w:tcPr>
          <w:p>
            <w:pPr>
              <w:jc w:val="center"/>
            </w:pPr>
            <w:r/>
            <w:r>
              <w:rPr>
                <w:rFonts w:ascii="新細明體" w:hAnsi="新細明體" w:eastAsia="新細明體"/>
                <w:b w:val="0"/>
                <w:sz w:val="20"/>
              </w:rPr>
              <w:t>2</w:t>
            </w:r>
          </w:p>
        </w:tc>
        <w:tc>
          <w:tcPr>
            <w:tcW w:type="dxa" w:w="2880"/>
          </w:tcPr>
          <w:p>
            <w:pPr>
              <w:jc w:val="left"/>
            </w:pPr>
            <w:r/>
            <w:r>
              <w:rPr>
                <w:rFonts w:ascii="新細明體" w:hAnsi="新細明體" w:eastAsia="新細明體"/>
                <w:b w:val="0"/>
                <w:sz w:val="20"/>
              </w:rPr>
              <w:t>交通</w:t>
            </w:r>
          </w:p>
        </w:tc>
        <w:tc>
          <w:tcPr>
            <w:tcW w:type="dxa" w:w="2880"/>
          </w:tcPr>
          <w:p>
            <w:pPr>
              <w:jc w:val="center"/>
            </w:pPr>
            <w:r/>
            <w:r>
              <w:rPr>
                <w:rFonts w:ascii="新細明體" w:hAnsi="新細明體" w:eastAsia="新細明體"/>
                <w:b w:val="0"/>
                <w:sz w:val="20"/>
              </w:rPr>
              <w:t>4.62</w:t>
            </w:r>
          </w:p>
        </w:tc>
      </w:tr>
      <w:tr>
        <w:tc>
          <w:tcPr>
            <w:tcW w:type="dxa" w:w="2880"/>
          </w:tcPr>
          <w:p>
            <w:pPr>
              <w:jc w:val="center"/>
            </w:pPr>
            <w:r/>
            <w:r>
              <w:rPr>
                <w:rFonts w:ascii="新細明體" w:hAnsi="新細明體" w:eastAsia="新細明體"/>
                <w:b w:val="0"/>
                <w:sz w:val="20"/>
              </w:rPr>
              <w:t>3</w:t>
            </w:r>
          </w:p>
        </w:tc>
        <w:tc>
          <w:tcPr>
            <w:tcW w:type="dxa" w:w="2880"/>
          </w:tcPr>
          <w:p>
            <w:pPr>
              <w:jc w:val="left"/>
            </w:pPr>
            <w:r/>
            <w:r>
              <w:rPr>
                <w:rFonts w:ascii="新細明體" w:hAnsi="新細明體" w:eastAsia="新細明體"/>
                <w:b w:val="0"/>
                <w:sz w:val="20"/>
              </w:rPr>
              <w:t>服務</w:t>
            </w:r>
          </w:p>
        </w:tc>
        <w:tc>
          <w:tcPr>
            <w:tcW w:type="dxa" w:w="2880"/>
          </w:tcPr>
          <w:p>
            <w:pPr>
              <w:jc w:val="center"/>
            </w:pPr>
            <w:r/>
            <w:r>
              <w:rPr>
                <w:rFonts w:ascii="新細明體" w:hAnsi="新細明體" w:eastAsia="新細明體"/>
                <w:b w:val="0"/>
                <w:sz w:val="20"/>
              </w:rPr>
              <w:t>4.45</w:t>
            </w:r>
          </w:p>
        </w:tc>
      </w:tr>
      <w:tr>
        <w:tc>
          <w:tcPr>
            <w:tcW w:type="dxa" w:w="2880"/>
          </w:tcPr>
          <w:p>
            <w:pPr>
              <w:jc w:val="center"/>
            </w:pPr>
            <w:r/>
            <w:r>
              <w:rPr>
                <w:rFonts w:ascii="新細明體" w:hAnsi="新細明體" w:eastAsia="新細明體"/>
                <w:b w:val="0"/>
                <w:sz w:val="20"/>
              </w:rPr>
              <w:t>4</w:t>
            </w:r>
          </w:p>
        </w:tc>
        <w:tc>
          <w:tcPr>
            <w:tcW w:type="dxa" w:w="2880"/>
          </w:tcPr>
          <w:p>
            <w:pPr>
              <w:jc w:val="left"/>
            </w:pPr>
            <w:r/>
            <w:r>
              <w:rPr>
                <w:rFonts w:ascii="新細明體" w:hAnsi="新細明體" w:eastAsia="新細明體"/>
                <w:b w:val="0"/>
                <w:sz w:val="20"/>
              </w:rPr>
              <w:t>性價比</w:t>
            </w:r>
          </w:p>
        </w:tc>
        <w:tc>
          <w:tcPr>
            <w:tcW w:type="dxa" w:w="2880"/>
          </w:tcPr>
          <w:p>
            <w:pPr>
              <w:jc w:val="center"/>
            </w:pPr>
            <w:r/>
            <w:r>
              <w:rPr>
                <w:rFonts w:ascii="新細明體" w:hAnsi="新細明體" w:eastAsia="新細明體"/>
                <w:b w:val="0"/>
                <w:sz w:val="20"/>
              </w:rPr>
              <w:t>4.31</w:t>
            </w:r>
          </w:p>
        </w:tc>
      </w:tr>
      <w:tr>
        <w:tc>
          <w:tcPr>
            <w:tcW w:type="dxa" w:w="2880"/>
          </w:tcPr>
          <w:p>
            <w:pPr>
              <w:jc w:val="center"/>
            </w:pPr>
            <w:r/>
            <w:r>
              <w:rPr>
                <w:rFonts w:ascii="新細明體" w:hAnsi="新細明體" w:eastAsia="新細明體"/>
                <w:b w:val="0"/>
                <w:sz w:val="20"/>
              </w:rPr>
              <w:t>5</w:t>
            </w:r>
          </w:p>
        </w:tc>
        <w:tc>
          <w:tcPr>
            <w:tcW w:type="dxa" w:w="2880"/>
          </w:tcPr>
          <w:p>
            <w:pPr>
              <w:jc w:val="left"/>
            </w:pPr>
            <w:r/>
            <w:r>
              <w:rPr>
                <w:rFonts w:ascii="新細明體" w:hAnsi="新細明體" w:eastAsia="新細明體"/>
                <w:b w:val="0"/>
                <w:sz w:val="20"/>
              </w:rPr>
              <w:t>清潔度</w:t>
            </w:r>
          </w:p>
        </w:tc>
        <w:tc>
          <w:tcPr>
            <w:tcW w:type="dxa" w:w="2880"/>
          </w:tcPr>
          <w:p>
            <w:pPr>
              <w:jc w:val="center"/>
            </w:pPr>
            <w:r/>
            <w:r>
              <w:rPr>
                <w:rFonts w:ascii="新細明體" w:hAnsi="新細明體" w:eastAsia="新細明體"/>
                <w:b w:val="0"/>
                <w:sz w:val="20"/>
              </w:rPr>
              <w:t>4.28</w:t>
            </w:r>
          </w:p>
        </w:tc>
      </w:tr>
      <w:tr>
        <w:tc>
          <w:tcPr>
            <w:tcW w:type="dxa" w:w="2880"/>
          </w:tcPr>
          <w:p>
            <w:pPr>
              <w:jc w:val="center"/>
            </w:pPr>
            <w:r/>
            <w:r>
              <w:rPr>
                <w:rFonts w:ascii="新細明體" w:hAnsi="新細明體" w:eastAsia="新細明體"/>
                <w:b w:val="0"/>
                <w:sz w:val="20"/>
              </w:rPr>
              <w:t>6</w:t>
            </w:r>
          </w:p>
        </w:tc>
        <w:tc>
          <w:tcPr>
            <w:tcW w:type="dxa" w:w="2880"/>
          </w:tcPr>
          <w:p>
            <w:pPr>
              <w:jc w:val="left"/>
            </w:pPr>
            <w:r/>
            <w:r>
              <w:rPr>
                <w:rFonts w:ascii="新細明體" w:hAnsi="新細明體" w:eastAsia="新細明體"/>
                <w:b w:val="0"/>
                <w:sz w:val="20"/>
              </w:rPr>
              <w:t>睡眠品質</w:t>
            </w:r>
          </w:p>
        </w:tc>
        <w:tc>
          <w:tcPr>
            <w:tcW w:type="dxa" w:w="2880"/>
          </w:tcPr>
          <w:p>
            <w:pPr>
              <w:jc w:val="center"/>
            </w:pPr>
            <w:r/>
            <w:r>
              <w:rPr>
                <w:rFonts w:ascii="新細明體" w:hAnsi="新細明體" w:eastAsia="新細明體"/>
                <w:b w:val="0"/>
                <w:sz w:val="20"/>
              </w:rPr>
              <w:t>4.15</w:t>
            </w:r>
          </w:p>
        </w:tc>
      </w:tr>
      <w:tr>
        <w:tc>
          <w:tcPr>
            <w:tcW w:type="dxa" w:w="2880"/>
          </w:tcPr>
          <w:p>
            <w:pPr>
              <w:jc w:val="center"/>
            </w:pPr>
            <w:r/>
            <w:r>
              <w:rPr>
                <w:rFonts w:ascii="新細明體" w:hAnsi="新細明體" w:eastAsia="新細明體"/>
                <w:b w:val="0"/>
                <w:sz w:val="20"/>
              </w:rPr>
              <w:t>7</w:t>
            </w:r>
          </w:p>
        </w:tc>
        <w:tc>
          <w:tcPr>
            <w:tcW w:type="dxa" w:w="2880"/>
          </w:tcPr>
          <w:p>
            <w:pPr>
              <w:jc w:val="left"/>
            </w:pPr>
            <w:r/>
            <w:r>
              <w:rPr>
                <w:rFonts w:ascii="新細明體" w:hAnsi="新細明體" w:eastAsia="新細明體"/>
                <w:b w:val="0"/>
                <w:sz w:val="20"/>
              </w:rPr>
              <w:t>周邊環境</w:t>
            </w:r>
          </w:p>
        </w:tc>
        <w:tc>
          <w:tcPr>
            <w:tcW w:type="dxa" w:w="2880"/>
          </w:tcPr>
          <w:p>
            <w:pPr>
              <w:jc w:val="center"/>
            </w:pPr>
            <w:r/>
            <w:r>
              <w:rPr>
                <w:rFonts w:ascii="新細明體" w:hAnsi="新細明體" w:eastAsia="新細明體"/>
                <w:b w:val="0"/>
                <w:sz w:val="20"/>
              </w:rPr>
              <w:t>4.15</w:t>
            </w:r>
          </w:p>
        </w:tc>
      </w:tr>
      <w:tr>
        <w:tc>
          <w:tcPr>
            <w:tcW w:type="dxa" w:w="2880"/>
          </w:tcPr>
          <w:p>
            <w:pPr>
              <w:jc w:val="center"/>
            </w:pPr>
            <w:r/>
            <w:r>
              <w:rPr>
                <w:rFonts w:ascii="新細明體" w:hAnsi="新細明體" w:eastAsia="新細明體"/>
                <w:b w:val="0"/>
                <w:sz w:val="20"/>
              </w:rPr>
              <w:t>8</w:t>
            </w:r>
          </w:p>
        </w:tc>
        <w:tc>
          <w:tcPr>
            <w:tcW w:type="dxa" w:w="2880"/>
          </w:tcPr>
          <w:p>
            <w:pPr>
              <w:jc w:val="left"/>
            </w:pPr>
            <w:r/>
            <w:r>
              <w:rPr>
                <w:rFonts w:ascii="新細明體" w:hAnsi="新細明體" w:eastAsia="新細明體"/>
                <w:b w:val="0"/>
                <w:sz w:val="20"/>
              </w:rPr>
              <w:t>房間</w:t>
            </w:r>
          </w:p>
        </w:tc>
        <w:tc>
          <w:tcPr>
            <w:tcW w:type="dxa" w:w="2880"/>
          </w:tcPr>
          <w:p>
            <w:pPr>
              <w:jc w:val="center"/>
            </w:pPr>
            <w:r/>
            <w:r>
              <w:rPr>
                <w:rFonts w:ascii="新細明體" w:hAnsi="新細明體" w:eastAsia="新細明體"/>
                <w:b w:val="0"/>
                <w:sz w:val="20"/>
              </w:rPr>
              <w:t>3.93</w:t>
            </w:r>
          </w:p>
        </w:tc>
      </w:tr>
      <w:tr>
        <w:tc>
          <w:tcPr>
            <w:tcW w:type="dxa" w:w="2880"/>
          </w:tcPr>
          <w:p>
            <w:pPr>
              <w:jc w:val="center"/>
            </w:pPr>
            <w:r/>
            <w:r>
              <w:rPr>
                <w:rFonts w:ascii="新細明體" w:hAnsi="新細明體" w:eastAsia="新細明體"/>
                <w:b w:val="0"/>
                <w:sz w:val="20"/>
              </w:rPr>
              <w:t>9</w:t>
            </w:r>
          </w:p>
        </w:tc>
        <w:tc>
          <w:tcPr>
            <w:tcW w:type="dxa" w:w="2880"/>
          </w:tcPr>
          <w:p>
            <w:pPr>
              <w:jc w:val="left"/>
            </w:pPr>
            <w:r/>
            <w:r>
              <w:rPr>
                <w:rFonts w:ascii="新細明體" w:hAnsi="新細明體" w:eastAsia="新細明體"/>
                <w:b w:val="0"/>
                <w:sz w:val="20"/>
              </w:rPr>
              <w:t>衛浴</w:t>
            </w:r>
          </w:p>
        </w:tc>
        <w:tc>
          <w:tcPr>
            <w:tcW w:type="dxa" w:w="2880"/>
          </w:tcPr>
          <w:p>
            <w:pPr>
              <w:jc w:val="center"/>
            </w:pPr>
            <w:r/>
            <w:r>
              <w:rPr>
                <w:rFonts w:ascii="新細明體" w:hAnsi="新細明體" w:eastAsia="新細明體"/>
                <w:b w:val="0"/>
                <w:sz w:val="20"/>
              </w:rPr>
              <w:t>3.88</w:t>
            </w:r>
          </w:p>
        </w:tc>
      </w:tr>
      <w:tr>
        <w:tc>
          <w:tcPr>
            <w:tcW w:type="dxa" w:w="2880"/>
          </w:tcPr>
          <w:p>
            <w:pPr>
              <w:jc w:val="center"/>
            </w:pPr>
            <w:r/>
            <w:r>
              <w:rPr>
                <w:rFonts w:ascii="新細明體" w:hAnsi="新細明體" w:eastAsia="新細明體"/>
                <w:b w:val="0"/>
                <w:sz w:val="20"/>
              </w:rPr>
              <w:t>10</w:t>
            </w:r>
          </w:p>
        </w:tc>
        <w:tc>
          <w:tcPr>
            <w:tcW w:type="dxa" w:w="2880"/>
          </w:tcPr>
          <w:p>
            <w:pPr>
              <w:jc w:val="left"/>
            </w:pPr>
            <w:r/>
            <w:r>
              <w:rPr>
                <w:rFonts w:ascii="新細明體" w:hAnsi="新細明體" w:eastAsia="新細明體"/>
                <w:b w:val="0"/>
                <w:sz w:val="20"/>
              </w:rPr>
              <w:t>公共設施</w:t>
            </w:r>
          </w:p>
        </w:tc>
        <w:tc>
          <w:tcPr>
            <w:tcW w:type="dxa" w:w="2880"/>
          </w:tcPr>
          <w:p>
            <w:pPr>
              <w:jc w:val="center"/>
            </w:pPr>
            <w:r/>
            <w:r>
              <w:rPr>
                <w:rFonts w:ascii="新細明體" w:hAnsi="新細明體" w:eastAsia="新細明體"/>
                <w:b w:val="0"/>
                <w:sz w:val="20"/>
              </w:rPr>
              <w:t>3.88</w:t>
            </w:r>
          </w:p>
        </w:tc>
      </w:tr>
      <w:tr>
        <w:tc>
          <w:tcPr>
            <w:tcW w:type="dxa" w:w="2880"/>
          </w:tcPr>
          <w:p>
            <w:pPr>
              <w:jc w:val="center"/>
            </w:pPr>
            <w:r/>
            <w:r>
              <w:rPr>
                <w:rFonts w:ascii="新細明體" w:hAnsi="新細明體" w:eastAsia="新細明體"/>
                <w:b w:val="0"/>
                <w:sz w:val="20"/>
              </w:rPr>
              <w:t>11</w:t>
            </w:r>
          </w:p>
        </w:tc>
        <w:tc>
          <w:tcPr>
            <w:tcW w:type="dxa" w:w="2880"/>
          </w:tcPr>
          <w:p>
            <w:pPr>
              <w:jc w:val="left"/>
            </w:pPr>
            <w:r/>
            <w:r>
              <w:rPr>
                <w:rFonts w:ascii="新細明體" w:hAnsi="新細明體" w:eastAsia="新細明體"/>
                <w:b w:val="0"/>
                <w:sz w:val="20"/>
              </w:rPr>
              <w:t>餐廳</w:t>
            </w:r>
          </w:p>
        </w:tc>
        <w:tc>
          <w:tcPr>
            <w:tcW w:type="dxa" w:w="2880"/>
          </w:tcPr>
          <w:p>
            <w:pPr>
              <w:jc w:val="center"/>
            </w:pPr>
            <w:r/>
            <w:r>
              <w:rPr>
                <w:rFonts w:ascii="新細明體" w:hAnsi="新細明體" w:eastAsia="新細明體"/>
                <w:b w:val="0"/>
                <w:sz w:val="20"/>
              </w:rPr>
              <w:t>3.80</w:t>
            </w:r>
          </w:p>
        </w:tc>
      </w:tr>
      <w:tr>
        <w:tc>
          <w:tcPr>
            <w:tcW w:type="dxa" w:w="2880"/>
          </w:tcPr>
          <w:p>
            <w:pPr>
              <w:jc w:val="center"/>
            </w:pPr>
            <w:r/>
            <w:r>
              <w:rPr>
                <w:rFonts w:ascii="新細明體" w:hAnsi="新細明體" w:eastAsia="新細明體"/>
                <w:b w:val="0"/>
                <w:sz w:val="20"/>
              </w:rPr>
              <w:t>12</w:t>
            </w:r>
          </w:p>
        </w:tc>
        <w:tc>
          <w:tcPr>
            <w:tcW w:type="dxa" w:w="2880"/>
          </w:tcPr>
          <w:p>
            <w:pPr>
              <w:jc w:val="left"/>
            </w:pPr>
            <w:r/>
            <w:r>
              <w:rPr>
                <w:rFonts w:ascii="新細明體" w:hAnsi="新細明體" w:eastAsia="新細明體"/>
                <w:b w:val="0"/>
                <w:sz w:val="20"/>
              </w:rPr>
              <w:t>停車</w:t>
            </w:r>
          </w:p>
        </w:tc>
        <w:tc>
          <w:tcPr>
            <w:tcW w:type="dxa" w:w="2880"/>
          </w:tcPr>
          <w:p>
            <w:pPr>
              <w:jc w:val="center"/>
            </w:pPr>
            <w:r/>
            <w:r>
              <w:rPr>
                <w:rFonts w:ascii="新細明體" w:hAnsi="新細明體" w:eastAsia="新細明體"/>
                <w:b w:val="0"/>
                <w:sz w:val="20"/>
              </w:rPr>
              <w:t>3.73</w:t>
            </w:r>
          </w:p>
        </w:tc>
      </w:tr>
    </w:tbl>
    <w:p>
      <w:pPr>
        <w:spacing w:before="120" w:after="120"/>
        <w:jc w:val="center"/>
      </w:pPr>
      <w:r>
        <w:rPr>
          <w:rFonts w:ascii="新細明體" w:hAnsi="新細明體" w:eastAsia="新細明體"/>
          <w:sz w:val="20"/>
        </w:rPr>
        <w:t>（資料來源：本研究整理）</w:t>
      </w:r>
    </w:p>
    <w:p>
      <w:pPr>
        <w:spacing w:line="360" w:lineRule="auto"/>
        <w:ind w:firstLine="482"/>
      </w:pPr>
      <w:r>
        <w:rPr>
          <w:rFonts w:ascii="新細明體" w:hAnsi="新細明體" w:eastAsia="新細明體"/>
          <w:b w:val="0"/>
          <w:sz w:val="24"/>
        </w:rPr>
        <w:t>由表18可知，「地理位置」（4.71）、「交通」（4.62）與「服務」（4.45）為消費者在評論中最重視的三項屬性，此排序與旅客選擇酒店的決策邏輯相符——地理位置與交通便利性為旅客出行的首要考量因素，入住後則最關注服務品質的好壞。「性價比」（4.31）與「清潔度」（4.28）分列第四、五位，反映消費者對價格合理性與住宿環境衛生的高度關注。「停車」（3.73）的重要度最低，與其較低的提及率相呼應，進一步說明停車並非多數旅客的核心需求。</w:t>
      </w:r>
    </w:p>
    <w:p>
      <w:pPr>
        <w:pStyle w:val="Heading3"/>
      </w:pPr>
      <w:r>
        <w:rPr>
          <w:rFonts w:ascii="新細明體" w:hAnsi="新細明體" w:eastAsia="新細明體"/>
          <w:color w:val="000000"/>
        </w:rPr>
        <w:t>4.4.2 Post-hoc AI重要度</w:t>
      </w:r>
    </w:p>
    <w:p>
      <w:pPr>
        <w:spacing w:line="360" w:lineRule="auto"/>
        <w:ind w:firstLine="482"/>
      </w:pPr>
      <w:r>
        <w:rPr>
          <w:rFonts w:ascii="新細明體" w:hAnsi="新細明體" w:eastAsia="新細明體"/>
          <w:b w:val="0"/>
          <w:sz w:val="24"/>
        </w:rPr>
        <w:t>第二種方法為「Post-hoc AI重要度」，其運作方式為將所有屬性的彙總統計結果——包含提及頻率、平均情感分數、正面與負面評論比例等指標——一次性輸入GPT-4o模型，由模型基於其對飯店服務領域的專業知識進行綜合判斷，為每項屬性給予1至5分的重要度評分。為確保結果穩定，本研究進行三次獨立查詢，每次均在新的對話環境中執行。結果如表19所示。</w:t>
      </w:r>
    </w:p>
    <w:p>
      <w:pPr>
        <w:spacing w:before="120" w:after="120"/>
        <w:jc w:val="center"/>
      </w:pPr>
      <w:r>
        <w:rPr>
          <w:rFonts w:ascii="新細明體" w:hAnsi="新細明體" w:eastAsia="新細明體"/>
          <w:sz w:val="20"/>
        </w:rPr>
        <w:t>表19 Post-hoc AI重要度排序與一致性檢驗</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shd w:fill="D9E2F3" w:val="clear"/>
          </w:tcPr>
          <w:p>
            <w:pPr>
              <w:jc w:val="center"/>
            </w:pPr>
            <w:r/>
            <w:r>
              <w:rPr>
                <w:rFonts w:ascii="新細明體" w:hAnsi="新細明體" w:eastAsia="新細明體"/>
                <w:b/>
                <w:sz w:val="20"/>
              </w:rPr>
              <w:t>服務屬性</w:t>
            </w:r>
          </w:p>
        </w:tc>
        <w:tc>
          <w:tcPr>
            <w:tcW w:type="dxa" w:w="1440"/>
            <w:shd w:fill="D9E2F3" w:val="clear"/>
          </w:tcPr>
          <w:p>
            <w:pPr>
              <w:jc w:val="center"/>
            </w:pPr>
            <w:r/>
            <w:r>
              <w:rPr>
                <w:rFonts w:ascii="新細明體" w:hAnsi="新細明體" w:eastAsia="新細明體"/>
                <w:b/>
                <w:sz w:val="20"/>
              </w:rPr>
              <w:t>AI重要度</w:t>
            </w:r>
          </w:p>
        </w:tc>
        <w:tc>
          <w:tcPr>
            <w:tcW w:type="dxa" w:w="1440"/>
            <w:shd w:fill="D9E2F3" w:val="clear"/>
          </w:tcPr>
          <w:p>
            <w:pPr>
              <w:jc w:val="center"/>
            </w:pPr>
            <w:r/>
            <w:r>
              <w:rPr>
                <w:rFonts w:ascii="新細明體" w:hAnsi="新細明體" w:eastAsia="新細明體"/>
                <w:b/>
                <w:sz w:val="20"/>
              </w:rPr>
              <w:t>查詢1</w:t>
            </w:r>
          </w:p>
        </w:tc>
        <w:tc>
          <w:tcPr>
            <w:tcW w:type="dxa" w:w="1440"/>
            <w:shd w:fill="D9E2F3" w:val="clear"/>
          </w:tcPr>
          <w:p>
            <w:pPr>
              <w:jc w:val="center"/>
            </w:pPr>
            <w:r/>
            <w:r>
              <w:rPr>
                <w:rFonts w:ascii="新細明體" w:hAnsi="新細明體" w:eastAsia="新細明體"/>
                <w:b/>
                <w:sz w:val="20"/>
              </w:rPr>
              <w:t>查詢2</w:t>
            </w:r>
          </w:p>
        </w:tc>
        <w:tc>
          <w:tcPr>
            <w:tcW w:type="dxa" w:w="1440"/>
            <w:shd w:fill="D9E2F3" w:val="clear"/>
          </w:tcPr>
          <w:p>
            <w:pPr>
              <w:jc w:val="center"/>
            </w:pPr>
            <w:r/>
            <w:r>
              <w:rPr>
                <w:rFonts w:ascii="新細明體" w:hAnsi="新細明體" w:eastAsia="新細明體"/>
                <w:b/>
                <w:sz w:val="20"/>
              </w:rPr>
              <w:t>查詢3</w:t>
            </w:r>
          </w:p>
        </w:tc>
        <w:tc>
          <w:tcPr>
            <w:tcW w:type="dxa" w:w="1440"/>
            <w:shd w:fill="D9E2F3" w:val="clear"/>
          </w:tcPr>
          <w:p>
            <w:pPr>
              <w:jc w:val="center"/>
            </w:pPr>
            <w:r/>
            <w:r>
              <w:rPr>
                <w:rFonts w:ascii="新細明體" w:hAnsi="新細明體" w:eastAsia="新細明體"/>
                <w:b/>
                <w:sz w:val="20"/>
              </w:rPr>
              <w:t>一致性</w:t>
            </w:r>
          </w:p>
        </w:tc>
      </w:tr>
      <w:tr>
        <w:tc>
          <w:tcPr>
            <w:tcW w:type="dxa" w:w="1440"/>
          </w:tcPr>
          <w:p>
            <w:pPr>
              <w:jc w:val="left"/>
            </w:pPr>
            <w:r/>
            <w:r>
              <w:rPr>
                <w:rFonts w:ascii="新細明體" w:hAnsi="新細明體" w:eastAsia="新細明體"/>
                <w:b w:val="0"/>
                <w:sz w:val="20"/>
              </w:rPr>
              <w:t>地理位置</w:t>
            </w:r>
          </w:p>
        </w:tc>
        <w:tc>
          <w:tcPr>
            <w:tcW w:type="dxa" w:w="1440"/>
          </w:tcPr>
          <w:p>
            <w:pPr>
              <w:jc w:val="center"/>
            </w:pPr>
            <w:r/>
            <w:r>
              <w:rPr>
                <w:rFonts w:ascii="新細明體" w:hAnsi="新細明體" w:eastAsia="新細明體"/>
                <w:b w:val="0"/>
                <w:sz w:val="20"/>
              </w:rPr>
              <w:t>5.00</w:t>
            </w:r>
          </w:p>
        </w:tc>
        <w:tc>
          <w:tcPr>
            <w:tcW w:type="dxa" w:w="1440"/>
          </w:tcPr>
          <w:p>
            <w:pPr>
              <w:jc w:val="center"/>
            </w:pPr>
            <w:r/>
            <w:r>
              <w:rPr>
                <w:rFonts w:ascii="新細明體" w:hAnsi="新細明體" w:eastAsia="新細明體"/>
                <w:b w:val="0"/>
                <w:sz w:val="20"/>
              </w:rPr>
              <w:t>5</w:t>
            </w:r>
          </w:p>
        </w:tc>
        <w:tc>
          <w:tcPr>
            <w:tcW w:type="dxa" w:w="1440"/>
          </w:tcPr>
          <w:p>
            <w:pPr>
              <w:jc w:val="center"/>
            </w:pPr>
            <w:r/>
            <w:r>
              <w:rPr>
                <w:rFonts w:ascii="新細明體" w:hAnsi="新細明體" w:eastAsia="新細明體"/>
                <w:b w:val="0"/>
                <w:sz w:val="20"/>
              </w:rPr>
              <w:t>5</w:t>
            </w:r>
          </w:p>
        </w:tc>
        <w:tc>
          <w:tcPr>
            <w:tcW w:type="dxa" w:w="1440"/>
          </w:tcPr>
          <w:p>
            <w:pPr>
              <w:jc w:val="center"/>
            </w:pPr>
            <w:r/>
            <w:r>
              <w:rPr>
                <w:rFonts w:ascii="新細明體" w:hAnsi="新細明體" w:eastAsia="新細明體"/>
                <w:b w:val="0"/>
                <w:sz w:val="20"/>
              </w:rPr>
              <w:t>5</w:t>
            </w:r>
          </w:p>
        </w:tc>
        <w:tc>
          <w:tcPr>
            <w:tcW w:type="dxa" w:w="1440"/>
          </w:tcPr>
          <w:p>
            <w:pPr>
              <w:jc w:val="center"/>
            </w:pPr>
            <w:r/>
            <w:r>
              <w:rPr>
                <w:rFonts w:ascii="新細明體" w:hAnsi="新細明體" w:eastAsia="新細明體"/>
                <w:b w:val="0"/>
                <w:sz w:val="20"/>
              </w:rPr>
              <w:t>Y</w:t>
            </w:r>
          </w:p>
        </w:tc>
      </w:tr>
      <w:tr>
        <w:tc>
          <w:tcPr>
            <w:tcW w:type="dxa" w:w="1440"/>
          </w:tcPr>
          <w:p>
            <w:pPr>
              <w:jc w:val="left"/>
            </w:pPr>
            <w:r/>
            <w:r>
              <w:rPr>
                <w:rFonts w:ascii="新細明體" w:hAnsi="新細明體" w:eastAsia="新細明體"/>
                <w:b w:val="0"/>
                <w:sz w:val="20"/>
              </w:rPr>
              <w:t>服務</w:t>
            </w:r>
          </w:p>
        </w:tc>
        <w:tc>
          <w:tcPr>
            <w:tcW w:type="dxa" w:w="1440"/>
          </w:tcPr>
          <w:p>
            <w:pPr>
              <w:jc w:val="center"/>
            </w:pPr>
            <w:r/>
            <w:r>
              <w:rPr>
                <w:rFonts w:ascii="新細明體" w:hAnsi="新細明體" w:eastAsia="新細明體"/>
                <w:b w:val="0"/>
                <w:sz w:val="20"/>
              </w:rPr>
              <w:t>5.00</w:t>
            </w:r>
          </w:p>
        </w:tc>
        <w:tc>
          <w:tcPr>
            <w:tcW w:type="dxa" w:w="1440"/>
          </w:tcPr>
          <w:p>
            <w:pPr>
              <w:jc w:val="center"/>
            </w:pPr>
            <w:r/>
            <w:r>
              <w:rPr>
                <w:rFonts w:ascii="新細明體" w:hAnsi="新細明體" w:eastAsia="新細明體"/>
                <w:b w:val="0"/>
                <w:sz w:val="20"/>
              </w:rPr>
              <w:t>5</w:t>
            </w:r>
          </w:p>
        </w:tc>
        <w:tc>
          <w:tcPr>
            <w:tcW w:type="dxa" w:w="1440"/>
          </w:tcPr>
          <w:p>
            <w:pPr>
              <w:jc w:val="center"/>
            </w:pPr>
            <w:r/>
            <w:r>
              <w:rPr>
                <w:rFonts w:ascii="新細明體" w:hAnsi="新細明體" w:eastAsia="新細明體"/>
                <w:b w:val="0"/>
                <w:sz w:val="20"/>
              </w:rPr>
              <w:t>5</w:t>
            </w:r>
          </w:p>
        </w:tc>
        <w:tc>
          <w:tcPr>
            <w:tcW w:type="dxa" w:w="1440"/>
          </w:tcPr>
          <w:p>
            <w:pPr>
              <w:jc w:val="center"/>
            </w:pPr>
            <w:r/>
            <w:r>
              <w:rPr>
                <w:rFonts w:ascii="新細明體" w:hAnsi="新細明體" w:eastAsia="新細明體"/>
                <w:b w:val="0"/>
                <w:sz w:val="20"/>
              </w:rPr>
              <w:t>5</w:t>
            </w:r>
          </w:p>
        </w:tc>
        <w:tc>
          <w:tcPr>
            <w:tcW w:type="dxa" w:w="1440"/>
          </w:tcPr>
          <w:p>
            <w:pPr>
              <w:jc w:val="center"/>
            </w:pPr>
            <w:r/>
            <w:r>
              <w:rPr>
                <w:rFonts w:ascii="新細明體" w:hAnsi="新細明體" w:eastAsia="新細明體"/>
                <w:b w:val="0"/>
                <w:sz w:val="20"/>
              </w:rPr>
              <w:t>Y</w:t>
            </w:r>
          </w:p>
        </w:tc>
      </w:tr>
      <w:tr>
        <w:tc>
          <w:tcPr>
            <w:tcW w:type="dxa" w:w="1440"/>
          </w:tcPr>
          <w:p>
            <w:pPr>
              <w:jc w:val="left"/>
            </w:pPr>
            <w:r/>
            <w:r>
              <w:rPr>
                <w:rFonts w:ascii="新細明體" w:hAnsi="新細明體" w:eastAsia="新細明體"/>
                <w:b w:val="0"/>
                <w:sz w:val="20"/>
              </w:rPr>
              <w:t>交通</w:t>
            </w:r>
          </w:p>
        </w:tc>
        <w:tc>
          <w:tcPr>
            <w:tcW w:type="dxa" w:w="1440"/>
          </w:tcPr>
          <w:p>
            <w:pPr>
              <w:jc w:val="center"/>
            </w:pPr>
            <w:r/>
            <w:r>
              <w:rPr>
                <w:rFonts w:ascii="新細明體" w:hAnsi="新細明體" w:eastAsia="新細明體"/>
                <w:b w:val="0"/>
                <w:sz w:val="20"/>
              </w:rPr>
              <w:t>5.00</w:t>
            </w:r>
          </w:p>
        </w:tc>
        <w:tc>
          <w:tcPr>
            <w:tcW w:type="dxa" w:w="1440"/>
          </w:tcPr>
          <w:p>
            <w:pPr>
              <w:jc w:val="center"/>
            </w:pPr>
            <w:r/>
            <w:r>
              <w:rPr>
                <w:rFonts w:ascii="新細明體" w:hAnsi="新細明體" w:eastAsia="新細明體"/>
                <w:b w:val="0"/>
                <w:sz w:val="20"/>
              </w:rPr>
              <w:t>5</w:t>
            </w:r>
          </w:p>
        </w:tc>
        <w:tc>
          <w:tcPr>
            <w:tcW w:type="dxa" w:w="1440"/>
          </w:tcPr>
          <w:p>
            <w:pPr>
              <w:jc w:val="center"/>
            </w:pPr>
            <w:r/>
            <w:r>
              <w:rPr>
                <w:rFonts w:ascii="新細明體" w:hAnsi="新細明體" w:eastAsia="新細明體"/>
                <w:b w:val="0"/>
                <w:sz w:val="20"/>
              </w:rPr>
              <w:t>5</w:t>
            </w:r>
          </w:p>
        </w:tc>
        <w:tc>
          <w:tcPr>
            <w:tcW w:type="dxa" w:w="1440"/>
          </w:tcPr>
          <w:p>
            <w:pPr>
              <w:jc w:val="center"/>
            </w:pPr>
            <w:r/>
            <w:r>
              <w:rPr>
                <w:rFonts w:ascii="新細明體" w:hAnsi="新細明體" w:eastAsia="新細明體"/>
                <w:b w:val="0"/>
                <w:sz w:val="20"/>
              </w:rPr>
              <w:t>5</w:t>
            </w:r>
          </w:p>
        </w:tc>
        <w:tc>
          <w:tcPr>
            <w:tcW w:type="dxa" w:w="1440"/>
          </w:tcPr>
          <w:p>
            <w:pPr>
              <w:jc w:val="center"/>
            </w:pPr>
            <w:r/>
            <w:r>
              <w:rPr>
                <w:rFonts w:ascii="新細明體" w:hAnsi="新細明體" w:eastAsia="新細明體"/>
                <w:b w:val="0"/>
                <w:sz w:val="20"/>
              </w:rPr>
              <w:t>Y</w:t>
            </w:r>
          </w:p>
        </w:tc>
      </w:tr>
      <w:tr>
        <w:tc>
          <w:tcPr>
            <w:tcW w:type="dxa" w:w="1440"/>
          </w:tcPr>
          <w:p>
            <w:pPr>
              <w:jc w:val="left"/>
            </w:pPr>
            <w:r/>
            <w:r>
              <w:rPr>
                <w:rFonts w:ascii="新細明體" w:hAnsi="新細明體" w:eastAsia="新細明體"/>
                <w:b w:val="0"/>
                <w:sz w:val="20"/>
              </w:rPr>
              <w:t>清潔度</w:t>
            </w:r>
          </w:p>
        </w:tc>
        <w:tc>
          <w:tcPr>
            <w:tcW w:type="dxa" w:w="1440"/>
          </w:tcPr>
          <w:p>
            <w:pPr>
              <w:jc w:val="center"/>
            </w:pPr>
            <w:r/>
            <w:r>
              <w:rPr>
                <w:rFonts w:ascii="新細明體" w:hAnsi="新細明體" w:eastAsia="新細明體"/>
                <w:b w:val="0"/>
                <w:sz w:val="20"/>
              </w:rPr>
              <w:t>4.33</w:t>
            </w:r>
          </w:p>
        </w:tc>
        <w:tc>
          <w:tcPr>
            <w:tcW w:type="dxa" w:w="1440"/>
          </w:tcPr>
          <w:p>
            <w:pPr>
              <w:jc w:val="center"/>
            </w:pPr>
            <w:r/>
            <w:r>
              <w:rPr>
                <w:rFonts w:ascii="新細明體" w:hAnsi="新細明體" w:eastAsia="新細明體"/>
                <w:b w:val="0"/>
                <w:sz w:val="20"/>
              </w:rPr>
              <w:t>5</w:t>
            </w:r>
          </w:p>
        </w:tc>
        <w:tc>
          <w:tcPr>
            <w:tcW w:type="dxa" w:w="1440"/>
          </w:tcPr>
          <w:p>
            <w:pPr>
              <w:jc w:val="center"/>
            </w:pPr>
            <w:r/>
            <w:r>
              <w:rPr>
                <w:rFonts w:ascii="新細明體" w:hAnsi="新細明體" w:eastAsia="新細明體"/>
                <w:b w:val="0"/>
                <w:sz w:val="20"/>
              </w:rPr>
              <w:t>4</w:t>
            </w:r>
          </w:p>
        </w:tc>
        <w:tc>
          <w:tcPr>
            <w:tcW w:type="dxa" w:w="1440"/>
          </w:tcPr>
          <w:p>
            <w:pPr>
              <w:jc w:val="center"/>
            </w:pPr>
            <w:r/>
            <w:r>
              <w:rPr>
                <w:rFonts w:ascii="新細明體" w:hAnsi="新細明體" w:eastAsia="新細明體"/>
                <w:b w:val="0"/>
                <w:sz w:val="20"/>
              </w:rPr>
              <w:t>4</w:t>
            </w:r>
          </w:p>
        </w:tc>
        <w:tc>
          <w:tcPr>
            <w:tcW w:type="dxa" w:w="1440"/>
          </w:tcPr>
          <w:p>
            <w:pPr>
              <w:jc w:val="center"/>
            </w:pPr>
            <w:r/>
            <w:r>
              <w:rPr>
                <w:rFonts w:ascii="新細明體" w:hAnsi="新細明體" w:eastAsia="新細明體"/>
                <w:b w:val="0"/>
                <w:sz w:val="20"/>
              </w:rPr>
              <w:t>N</w:t>
            </w:r>
          </w:p>
        </w:tc>
      </w:tr>
      <w:tr>
        <w:tc>
          <w:tcPr>
            <w:tcW w:type="dxa" w:w="1440"/>
          </w:tcPr>
          <w:p>
            <w:pPr>
              <w:jc w:val="left"/>
            </w:pPr>
            <w:r/>
            <w:r>
              <w:rPr>
                <w:rFonts w:ascii="新細明體" w:hAnsi="新細明體" w:eastAsia="新細明體"/>
                <w:b w:val="0"/>
                <w:sz w:val="20"/>
              </w:rPr>
              <w:t>性價比</w:t>
            </w:r>
          </w:p>
        </w:tc>
        <w:tc>
          <w:tcPr>
            <w:tcW w:type="dxa" w:w="1440"/>
          </w:tcPr>
          <w:p>
            <w:pPr>
              <w:jc w:val="center"/>
            </w:pPr>
            <w:r/>
            <w:r>
              <w:rPr>
                <w:rFonts w:ascii="新細明體" w:hAnsi="新細明體" w:eastAsia="新細明體"/>
                <w:b w:val="0"/>
                <w:sz w:val="20"/>
              </w:rPr>
              <w:t>4.00</w:t>
            </w:r>
          </w:p>
        </w:tc>
        <w:tc>
          <w:tcPr>
            <w:tcW w:type="dxa" w:w="1440"/>
          </w:tcPr>
          <w:p>
            <w:pPr>
              <w:jc w:val="center"/>
            </w:pPr>
            <w:r/>
            <w:r>
              <w:rPr>
                <w:rFonts w:ascii="新細明體" w:hAnsi="新細明體" w:eastAsia="新細明體"/>
                <w:b w:val="0"/>
                <w:sz w:val="20"/>
              </w:rPr>
              <w:t>4</w:t>
            </w:r>
          </w:p>
        </w:tc>
        <w:tc>
          <w:tcPr>
            <w:tcW w:type="dxa" w:w="1440"/>
          </w:tcPr>
          <w:p>
            <w:pPr>
              <w:jc w:val="center"/>
            </w:pPr>
            <w:r/>
            <w:r>
              <w:rPr>
                <w:rFonts w:ascii="新細明體" w:hAnsi="新細明體" w:eastAsia="新細明體"/>
                <w:b w:val="0"/>
                <w:sz w:val="20"/>
              </w:rPr>
              <w:t>4</w:t>
            </w:r>
          </w:p>
        </w:tc>
        <w:tc>
          <w:tcPr>
            <w:tcW w:type="dxa" w:w="1440"/>
          </w:tcPr>
          <w:p>
            <w:pPr>
              <w:jc w:val="center"/>
            </w:pPr>
            <w:r/>
            <w:r>
              <w:rPr>
                <w:rFonts w:ascii="新細明體" w:hAnsi="新細明體" w:eastAsia="新細明體"/>
                <w:b w:val="0"/>
                <w:sz w:val="20"/>
              </w:rPr>
              <w:t>4</w:t>
            </w:r>
          </w:p>
        </w:tc>
        <w:tc>
          <w:tcPr>
            <w:tcW w:type="dxa" w:w="1440"/>
          </w:tcPr>
          <w:p>
            <w:pPr>
              <w:jc w:val="center"/>
            </w:pPr>
            <w:r/>
            <w:r>
              <w:rPr>
                <w:rFonts w:ascii="新細明體" w:hAnsi="新細明體" w:eastAsia="新細明體"/>
                <w:b w:val="0"/>
                <w:sz w:val="20"/>
              </w:rPr>
              <w:t>Y</w:t>
            </w:r>
          </w:p>
        </w:tc>
      </w:tr>
      <w:tr>
        <w:tc>
          <w:tcPr>
            <w:tcW w:type="dxa" w:w="1440"/>
          </w:tcPr>
          <w:p>
            <w:pPr>
              <w:jc w:val="left"/>
            </w:pPr>
            <w:r/>
            <w:r>
              <w:rPr>
                <w:rFonts w:ascii="新細明體" w:hAnsi="新細明體" w:eastAsia="新細明體"/>
                <w:b w:val="0"/>
                <w:sz w:val="20"/>
              </w:rPr>
              <w:t>房間</w:t>
            </w:r>
          </w:p>
        </w:tc>
        <w:tc>
          <w:tcPr>
            <w:tcW w:type="dxa" w:w="1440"/>
          </w:tcPr>
          <w:p>
            <w:pPr>
              <w:jc w:val="center"/>
            </w:pPr>
            <w:r/>
            <w:r>
              <w:rPr>
                <w:rFonts w:ascii="新細明體" w:hAnsi="新細明體" w:eastAsia="新細明體"/>
                <w:b w:val="0"/>
                <w:sz w:val="20"/>
              </w:rPr>
              <w:t>4.00</w:t>
            </w:r>
          </w:p>
        </w:tc>
        <w:tc>
          <w:tcPr>
            <w:tcW w:type="dxa" w:w="1440"/>
          </w:tcPr>
          <w:p>
            <w:pPr>
              <w:jc w:val="center"/>
            </w:pPr>
            <w:r/>
            <w:r>
              <w:rPr>
                <w:rFonts w:ascii="新細明體" w:hAnsi="新細明體" w:eastAsia="新細明體"/>
                <w:b w:val="0"/>
                <w:sz w:val="20"/>
              </w:rPr>
              <w:t>4</w:t>
            </w:r>
          </w:p>
        </w:tc>
        <w:tc>
          <w:tcPr>
            <w:tcW w:type="dxa" w:w="1440"/>
          </w:tcPr>
          <w:p>
            <w:pPr>
              <w:jc w:val="center"/>
            </w:pPr>
            <w:r/>
            <w:r>
              <w:rPr>
                <w:rFonts w:ascii="新細明體" w:hAnsi="新細明體" w:eastAsia="新細明體"/>
                <w:b w:val="0"/>
                <w:sz w:val="20"/>
              </w:rPr>
              <w:t>4</w:t>
            </w:r>
          </w:p>
        </w:tc>
        <w:tc>
          <w:tcPr>
            <w:tcW w:type="dxa" w:w="1440"/>
          </w:tcPr>
          <w:p>
            <w:pPr>
              <w:jc w:val="center"/>
            </w:pPr>
            <w:r/>
            <w:r>
              <w:rPr>
                <w:rFonts w:ascii="新細明體" w:hAnsi="新細明體" w:eastAsia="新細明體"/>
                <w:b w:val="0"/>
                <w:sz w:val="20"/>
              </w:rPr>
              <w:t>4</w:t>
            </w:r>
          </w:p>
        </w:tc>
        <w:tc>
          <w:tcPr>
            <w:tcW w:type="dxa" w:w="1440"/>
          </w:tcPr>
          <w:p>
            <w:pPr>
              <w:jc w:val="center"/>
            </w:pPr>
            <w:r/>
            <w:r>
              <w:rPr>
                <w:rFonts w:ascii="新細明體" w:hAnsi="新細明體" w:eastAsia="新細明體"/>
                <w:b w:val="0"/>
                <w:sz w:val="20"/>
              </w:rPr>
              <w:t>Y</w:t>
            </w:r>
          </w:p>
        </w:tc>
      </w:tr>
      <w:tr>
        <w:tc>
          <w:tcPr>
            <w:tcW w:type="dxa" w:w="1440"/>
          </w:tcPr>
          <w:p>
            <w:pPr>
              <w:jc w:val="left"/>
            </w:pPr>
            <w:r/>
            <w:r>
              <w:rPr>
                <w:rFonts w:ascii="新細明體" w:hAnsi="新細明體" w:eastAsia="新細明體"/>
                <w:b w:val="0"/>
                <w:sz w:val="20"/>
              </w:rPr>
              <w:t>周邊環境</w:t>
            </w:r>
          </w:p>
        </w:tc>
        <w:tc>
          <w:tcPr>
            <w:tcW w:type="dxa" w:w="1440"/>
          </w:tcPr>
          <w:p>
            <w:pPr>
              <w:jc w:val="center"/>
            </w:pPr>
            <w:r/>
            <w:r>
              <w:rPr>
                <w:rFonts w:ascii="新細明體" w:hAnsi="新細明體" w:eastAsia="新細明體"/>
                <w:b w:val="0"/>
                <w:sz w:val="20"/>
              </w:rPr>
              <w:t>4.00</w:t>
            </w:r>
          </w:p>
        </w:tc>
        <w:tc>
          <w:tcPr>
            <w:tcW w:type="dxa" w:w="1440"/>
          </w:tcPr>
          <w:p>
            <w:pPr>
              <w:jc w:val="center"/>
            </w:pPr>
            <w:r/>
            <w:r>
              <w:rPr>
                <w:rFonts w:ascii="新細明體" w:hAnsi="新細明體" w:eastAsia="新細明體"/>
                <w:b w:val="0"/>
                <w:sz w:val="20"/>
              </w:rPr>
              <w:t>4</w:t>
            </w:r>
          </w:p>
        </w:tc>
        <w:tc>
          <w:tcPr>
            <w:tcW w:type="dxa" w:w="1440"/>
          </w:tcPr>
          <w:p>
            <w:pPr>
              <w:jc w:val="center"/>
            </w:pPr>
            <w:r/>
            <w:r>
              <w:rPr>
                <w:rFonts w:ascii="新細明體" w:hAnsi="新細明體" w:eastAsia="新細明體"/>
                <w:b w:val="0"/>
                <w:sz w:val="20"/>
              </w:rPr>
              <w:t>4</w:t>
            </w:r>
          </w:p>
        </w:tc>
        <w:tc>
          <w:tcPr>
            <w:tcW w:type="dxa" w:w="1440"/>
          </w:tcPr>
          <w:p>
            <w:pPr>
              <w:jc w:val="center"/>
            </w:pPr>
            <w:r/>
            <w:r>
              <w:rPr>
                <w:rFonts w:ascii="新細明體" w:hAnsi="新細明體" w:eastAsia="新細明體"/>
                <w:b w:val="0"/>
                <w:sz w:val="20"/>
              </w:rPr>
              <w:t>4</w:t>
            </w:r>
          </w:p>
        </w:tc>
        <w:tc>
          <w:tcPr>
            <w:tcW w:type="dxa" w:w="1440"/>
          </w:tcPr>
          <w:p>
            <w:pPr>
              <w:jc w:val="center"/>
            </w:pPr>
            <w:r/>
            <w:r>
              <w:rPr>
                <w:rFonts w:ascii="新細明體" w:hAnsi="新細明體" w:eastAsia="新細明體"/>
                <w:b w:val="0"/>
                <w:sz w:val="20"/>
              </w:rPr>
              <w:t>Y</w:t>
            </w:r>
          </w:p>
        </w:tc>
      </w:tr>
      <w:tr>
        <w:tc>
          <w:tcPr>
            <w:tcW w:type="dxa" w:w="1440"/>
          </w:tcPr>
          <w:p>
            <w:pPr>
              <w:jc w:val="left"/>
            </w:pPr>
            <w:r/>
            <w:r>
              <w:rPr>
                <w:rFonts w:ascii="新細明體" w:hAnsi="新細明體" w:eastAsia="新細明體"/>
                <w:b w:val="0"/>
                <w:sz w:val="20"/>
              </w:rPr>
              <w:t>餐廳</w:t>
            </w:r>
          </w:p>
        </w:tc>
        <w:tc>
          <w:tcPr>
            <w:tcW w:type="dxa" w:w="1440"/>
          </w:tcPr>
          <w:p>
            <w:pPr>
              <w:jc w:val="center"/>
            </w:pPr>
            <w:r/>
            <w:r>
              <w:rPr>
                <w:rFonts w:ascii="新細明體" w:hAnsi="新細明體" w:eastAsia="新細明體"/>
                <w:b w:val="0"/>
                <w:sz w:val="20"/>
              </w:rPr>
              <w:t>3.00</w:t>
            </w:r>
          </w:p>
        </w:tc>
        <w:tc>
          <w:tcPr>
            <w:tcW w:type="dxa" w:w="1440"/>
          </w:tcPr>
          <w:p>
            <w:pPr>
              <w:jc w:val="center"/>
            </w:pPr>
            <w:r/>
            <w:r>
              <w:rPr>
                <w:rFonts w:ascii="新細明體" w:hAnsi="新細明體" w:eastAsia="新細明體"/>
                <w:b w:val="0"/>
                <w:sz w:val="20"/>
              </w:rPr>
              <w:t>3</w:t>
            </w:r>
          </w:p>
        </w:tc>
        <w:tc>
          <w:tcPr>
            <w:tcW w:type="dxa" w:w="1440"/>
          </w:tcPr>
          <w:p>
            <w:pPr>
              <w:jc w:val="center"/>
            </w:pPr>
            <w:r/>
            <w:r>
              <w:rPr>
                <w:rFonts w:ascii="新細明體" w:hAnsi="新細明體" w:eastAsia="新細明體"/>
                <w:b w:val="0"/>
                <w:sz w:val="20"/>
              </w:rPr>
              <w:t>3</w:t>
            </w:r>
          </w:p>
        </w:tc>
        <w:tc>
          <w:tcPr>
            <w:tcW w:type="dxa" w:w="1440"/>
          </w:tcPr>
          <w:p>
            <w:pPr>
              <w:jc w:val="center"/>
            </w:pPr>
            <w:r/>
            <w:r>
              <w:rPr>
                <w:rFonts w:ascii="新細明體" w:hAnsi="新細明體" w:eastAsia="新細明體"/>
                <w:b w:val="0"/>
                <w:sz w:val="20"/>
              </w:rPr>
              <w:t>3</w:t>
            </w:r>
          </w:p>
        </w:tc>
        <w:tc>
          <w:tcPr>
            <w:tcW w:type="dxa" w:w="1440"/>
          </w:tcPr>
          <w:p>
            <w:pPr>
              <w:jc w:val="center"/>
            </w:pPr>
            <w:r/>
            <w:r>
              <w:rPr>
                <w:rFonts w:ascii="新細明體" w:hAnsi="新細明體" w:eastAsia="新細明體"/>
                <w:b w:val="0"/>
                <w:sz w:val="20"/>
              </w:rPr>
              <w:t>Y</w:t>
            </w:r>
          </w:p>
        </w:tc>
      </w:tr>
      <w:tr>
        <w:tc>
          <w:tcPr>
            <w:tcW w:type="dxa" w:w="1440"/>
          </w:tcPr>
          <w:p>
            <w:pPr>
              <w:jc w:val="left"/>
            </w:pPr>
            <w:r/>
            <w:r>
              <w:rPr>
                <w:rFonts w:ascii="新細明體" w:hAnsi="新細明體" w:eastAsia="新細明體"/>
                <w:b w:val="0"/>
                <w:sz w:val="20"/>
              </w:rPr>
              <w:t>公共設施</w:t>
            </w:r>
          </w:p>
        </w:tc>
        <w:tc>
          <w:tcPr>
            <w:tcW w:type="dxa" w:w="1440"/>
          </w:tcPr>
          <w:p>
            <w:pPr>
              <w:jc w:val="center"/>
            </w:pPr>
            <w:r/>
            <w:r>
              <w:rPr>
                <w:rFonts w:ascii="新細明體" w:hAnsi="新細明體" w:eastAsia="新細明體"/>
                <w:b w:val="0"/>
                <w:sz w:val="20"/>
              </w:rPr>
              <w:t>3.00</w:t>
            </w:r>
          </w:p>
        </w:tc>
        <w:tc>
          <w:tcPr>
            <w:tcW w:type="dxa" w:w="1440"/>
          </w:tcPr>
          <w:p>
            <w:pPr>
              <w:jc w:val="center"/>
            </w:pPr>
            <w:r/>
            <w:r>
              <w:rPr>
                <w:rFonts w:ascii="新細明體" w:hAnsi="新細明體" w:eastAsia="新細明體"/>
                <w:b w:val="0"/>
                <w:sz w:val="20"/>
              </w:rPr>
              <w:t>3</w:t>
            </w:r>
          </w:p>
        </w:tc>
        <w:tc>
          <w:tcPr>
            <w:tcW w:type="dxa" w:w="1440"/>
          </w:tcPr>
          <w:p>
            <w:pPr>
              <w:jc w:val="center"/>
            </w:pPr>
            <w:r/>
            <w:r>
              <w:rPr>
                <w:rFonts w:ascii="新細明體" w:hAnsi="新細明體" w:eastAsia="新細明體"/>
                <w:b w:val="0"/>
                <w:sz w:val="20"/>
              </w:rPr>
              <w:t>3</w:t>
            </w:r>
          </w:p>
        </w:tc>
        <w:tc>
          <w:tcPr>
            <w:tcW w:type="dxa" w:w="1440"/>
          </w:tcPr>
          <w:p>
            <w:pPr>
              <w:jc w:val="center"/>
            </w:pPr>
            <w:r/>
            <w:r>
              <w:rPr>
                <w:rFonts w:ascii="新細明體" w:hAnsi="新細明體" w:eastAsia="新細明體"/>
                <w:b w:val="0"/>
                <w:sz w:val="20"/>
              </w:rPr>
              <w:t>3</w:t>
            </w:r>
          </w:p>
        </w:tc>
        <w:tc>
          <w:tcPr>
            <w:tcW w:type="dxa" w:w="1440"/>
          </w:tcPr>
          <w:p>
            <w:pPr>
              <w:jc w:val="center"/>
            </w:pPr>
            <w:r/>
            <w:r>
              <w:rPr>
                <w:rFonts w:ascii="新細明體" w:hAnsi="新細明體" w:eastAsia="新細明體"/>
                <w:b w:val="0"/>
                <w:sz w:val="20"/>
              </w:rPr>
              <w:t>Y</w:t>
            </w:r>
          </w:p>
        </w:tc>
      </w:tr>
      <w:tr>
        <w:tc>
          <w:tcPr>
            <w:tcW w:type="dxa" w:w="1440"/>
          </w:tcPr>
          <w:p>
            <w:pPr>
              <w:jc w:val="left"/>
            </w:pPr>
            <w:r/>
            <w:r>
              <w:rPr>
                <w:rFonts w:ascii="新細明體" w:hAnsi="新細明體" w:eastAsia="新細明體"/>
                <w:b w:val="0"/>
                <w:sz w:val="20"/>
              </w:rPr>
              <w:t>睡眠品質</w:t>
            </w:r>
          </w:p>
        </w:tc>
        <w:tc>
          <w:tcPr>
            <w:tcW w:type="dxa" w:w="1440"/>
          </w:tcPr>
          <w:p>
            <w:pPr>
              <w:jc w:val="center"/>
            </w:pPr>
            <w:r/>
            <w:r>
              <w:rPr>
                <w:rFonts w:ascii="新細明體" w:hAnsi="新細明體" w:eastAsia="新細明體"/>
                <w:b w:val="0"/>
                <w:sz w:val="20"/>
              </w:rPr>
              <w:t>3.00</w:t>
            </w:r>
          </w:p>
        </w:tc>
        <w:tc>
          <w:tcPr>
            <w:tcW w:type="dxa" w:w="1440"/>
          </w:tcPr>
          <w:p>
            <w:pPr>
              <w:jc w:val="center"/>
            </w:pPr>
            <w:r/>
            <w:r>
              <w:rPr>
                <w:rFonts w:ascii="新細明體" w:hAnsi="新細明體" w:eastAsia="新細明體"/>
                <w:b w:val="0"/>
                <w:sz w:val="20"/>
              </w:rPr>
              <w:t>3</w:t>
            </w:r>
          </w:p>
        </w:tc>
        <w:tc>
          <w:tcPr>
            <w:tcW w:type="dxa" w:w="1440"/>
          </w:tcPr>
          <w:p>
            <w:pPr>
              <w:jc w:val="center"/>
            </w:pPr>
            <w:r/>
            <w:r>
              <w:rPr>
                <w:rFonts w:ascii="新細明體" w:hAnsi="新細明體" w:eastAsia="新細明體"/>
                <w:b w:val="0"/>
                <w:sz w:val="20"/>
              </w:rPr>
              <w:t>3</w:t>
            </w:r>
          </w:p>
        </w:tc>
        <w:tc>
          <w:tcPr>
            <w:tcW w:type="dxa" w:w="1440"/>
          </w:tcPr>
          <w:p>
            <w:pPr>
              <w:jc w:val="center"/>
            </w:pPr>
            <w:r/>
            <w:r>
              <w:rPr>
                <w:rFonts w:ascii="新細明體" w:hAnsi="新細明體" w:eastAsia="新細明體"/>
                <w:b w:val="0"/>
                <w:sz w:val="20"/>
              </w:rPr>
              <w:t>3</w:t>
            </w:r>
          </w:p>
        </w:tc>
        <w:tc>
          <w:tcPr>
            <w:tcW w:type="dxa" w:w="1440"/>
          </w:tcPr>
          <w:p>
            <w:pPr>
              <w:jc w:val="center"/>
            </w:pPr>
            <w:r/>
            <w:r>
              <w:rPr>
                <w:rFonts w:ascii="新細明體" w:hAnsi="新細明體" w:eastAsia="新細明體"/>
                <w:b w:val="0"/>
                <w:sz w:val="20"/>
              </w:rPr>
              <w:t>Y</w:t>
            </w:r>
          </w:p>
        </w:tc>
      </w:tr>
      <w:tr>
        <w:tc>
          <w:tcPr>
            <w:tcW w:type="dxa" w:w="1440"/>
          </w:tcPr>
          <w:p>
            <w:pPr>
              <w:jc w:val="left"/>
            </w:pPr>
            <w:r/>
            <w:r>
              <w:rPr>
                <w:rFonts w:ascii="新細明體" w:hAnsi="新細明體" w:eastAsia="新細明體"/>
                <w:b w:val="0"/>
                <w:sz w:val="20"/>
              </w:rPr>
              <w:t>停車</w:t>
            </w:r>
          </w:p>
        </w:tc>
        <w:tc>
          <w:tcPr>
            <w:tcW w:type="dxa" w:w="1440"/>
          </w:tcPr>
          <w:p>
            <w:pPr>
              <w:jc w:val="center"/>
            </w:pPr>
            <w:r/>
            <w:r>
              <w:rPr>
                <w:rFonts w:ascii="新細明體" w:hAnsi="新細明體" w:eastAsia="新細明體"/>
                <w:b w:val="0"/>
                <w:sz w:val="20"/>
              </w:rPr>
              <w:t>2.00</w:t>
            </w:r>
          </w:p>
        </w:tc>
        <w:tc>
          <w:tcPr>
            <w:tcW w:type="dxa" w:w="1440"/>
          </w:tcPr>
          <w:p>
            <w:pPr>
              <w:jc w:val="center"/>
            </w:pPr>
            <w:r/>
            <w:r>
              <w:rPr>
                <w:rFonts w:ascii="新細明體" w:hAnsi="新細明體" w:eastAsia="新細明體"/>
                <w:b w:val="0"/>
                <w:sz w:val="20"/>
              </w:rPr>
              <w:t>2</w:t>
            </w:r>
          </w:p>
        </w:tc>
        <w:tc>
          <w:tcPr>
            <w:tcW w:type="dxa" w:w="1440"/>
          </w:tcPr>
          <w:p>
            <w:pPr>
              <w:jc w:val="center"/>
            </w:pPr>
            <w:r/>
            <w:r>
              <w:rPr>
                <w:rFonts w:ascii="新細明體" w:hAnsi="新細明體" w:eastAsia="新細明體"/>
                <w:b w:val="0"/>
                <w:sz w:val="20"/>
              </w:rPr>
              <w:t>2</w:t>
            </w:r>
          </w:p>
        </w:tc>
        <w:tc>
          <w:tcPr>
            <w:tcW w:type="dxa" w:w="1440"/>
          </w:tcPr>
          <w:p>
            <w:pPr>
              <w:jc w:val="center"/>
            </w:pPr>
            <w:r/>
            <w:r>
              <w:rPr>
                <w:rFonts w:ascii="新細明體" w:hAnsi="新細明體" w:eastAsia="新細明體"/>
                <w:b w:val="0"/>
                <w:sz w:val="20"/>
              </w:rPr>
              <w:t>2</w:t>
            </w:r>
          </w:p>
        </w:tc>
        <w:tc>
          <w:tcPr>
            <w:tcW w:type="dxa" w:w="1440"/>
          </w:tcPr>
          <w:p>
            <w:pPr>
              <w:jc w:val="center"/>
            </w:pPr>
            <w:r/>
            <w:r>
              <w:rPr>
                <w:rFonts w:ascii="新細明體" w:hAnsi="新細明體" w:eastAsia="新細明體"/>
                <w:b w:val="0"/>
                <w:sz w:val="20"/>
              </w:rPr>
              <w:t>Y</w:t>
            </w:r>
          </w:p>
        </w:tc>
      </w:tr>
      <w:tr>
        <w:tc>
          <w:tcPr>
            <w:tcW w:type="dxa" w:w="1440"/>
          </w:tcPr>
          <w:p>
            <w:pPr>
              <w:jc w:val="left"/>
            </w:pPr>
            <w:r/>
            <w:r>
              <w:rPr>
                <w:rFonts w:ascii="新細明體" w:hAnsi="新細明體" w:eastAsia="新細明體"/>
                <w:b w:val="0"/>
                <w:sz w:val="20"/>
              </w:rPr>
              <w:t>衛浴</w:t>
            </w:r>
          </w:p>
        </w:tc>
        <w:tc>
          <w:tcPr>
            <w:tcW w:type="dxa" w:w="1440"/>
          </w:tcPr>
          <w:p>
            <w:pPr>
              <w:jc w:val="center"/>
            </w:pPr>
            <w:r/>
            <w:r>
              <w:rPr>
                <w:rFonts w:ascii="新細明體" w:hAnsi="新細明體" w:eastAsia="新細明體"/>
                <w:b w:val="0"/>
                <w:sz w:val="20"/>
              </w:rPr>
              <w:t>2.00</w:t>
            </w:r>
          </w:p>
        </w:tc>
        <w:tc>
          <w:tcPr>
            <w:tcW w:type="dxa" w:w="1440"/>
          </w:tcPr>
          <w:p>
            <w:pPr>
              <w:jc w:val="center"/>
            </w:pPr>
            <w:r/>
            <w:r>
              <w:rPr>
                <w:rFonts w:ascii="新細明體" w:hAnsi="新細明體" w:eastAsia="新細明體"/>
                <w:b w:val="0"/>
                <w:sz w:val="20"/>
              </w:rPr>
              <w:t>2</w:t>
            </w:r>
          </w:p>
        </w:tc>
        <w:tc>
          <w:tcPr>
            <w:tcW w:type="dxa" w:w="1440"/>
          </w:tcPr>
          <w:p>
            <w:pPr>
              <w:jc w:val="center"/>
            </w:pPr>
            <w:r/>
            <w:r>
              <w:rPr>
                <w:rFonts w:ascii="新細明體" w:hAnsi="新細明體" w:eastAsia="新細明體"/>
                <w:b w:val="0"/>
                <w:sz w:val="20"/>
              </w:rPr>
              <w:t>2</w:t>
            </w:r>
          </w:p>
        </w:tc>
        <w:tc>
          <w:tcPr>
            <w:tcW w:type="dxa" w:w="1440"/>
          </w:tcPr>
          <w:p>
            <w:pPr>
              <w:jc w:val="center"/>
            </w:pPr>
            <w:r/>
            <w:r>
              <w:rPr>
                <w:rFonts w:ascii="新細明體" w:hAnsi="新細明體" w:eastAsia="新細明體"/>
                <w:b w:val="0"/>
                <w:sz w:val="20"/>
              </w:rPr>
              <w:t>2</w:t>
            </w:r>
          </w:p>
        </w:tc>
        <w:tc>
          <w:tcPr>
            <w:tcW w:type="dxa" w:w="1440"/>
          </w:tcPr>
          <w:p>
            <w:pPr>
              <w:jc w:val="center"/>
            </w:pPr>
            <w:r/>
            <w:r>
              <w:rPr>
                <w:rFonts w:ascii="新細明體" w:hAnsi="新細明體" w:eastAsia="新細明體"/>
                <w:b w:val="0"/>
                <w:sz w:val="20"/>
              </w:rPr>
              <w:t>Y</w:t>
            </w:r>
          </w:p>
        </w:tc>
      </w:tr>
    </w:tbl>
    <w:p>
      <w:pPr>
        <w:spacing w:before="120" w:after="120"/>
        <w:jc w:val="center"/>
      </w:pPr>
      <w:r>
        <w:rPr>
          <w:rFonts w:ascii="新細明體" w:hAnsi="新細明體" w:eastAsia="新細明體"/>
          <w:sz w:val="20"/>
        </w:rPr>
        <w:t>（資料來源：本研究整理）</w:t>
      </w:r>
    </w:p>
    <w:p>
      <w:pPr>
        <w:spacing w:line="360" w:lineRule="auto"/>
        <w:ind w:firstLine="482"/>
      </w:pPr>
      <w:r>
        <w:rPr>
          <w:rFonts w:ascii="新細明體" w:hAnsi="新細明體" w:eastAsia="新細明體"/>
          <w:b w:val="0"/>
          <w:sz w:val="24"/>
        </w:rPr>
        <w:t>在三次獨立查詢中，12項屬性有11項（91.7%）結果完全一致，僅「清潔度」存在輕微差異（查詢1評為5分，查詢2與3評為4分），取平均為4.33分。此結果顯示Post-hoc AI重要度評估具備高度的穩定性與可重現性。在重要度排序上，「地理位置」、「服務」與「交通」同列最高分（5.00），其次為「清潔度」（4.33）、「性價比」（4.00）、「房間」（4.00）與「周邊環境」（4.00），而「停車」（2.00）與「衛浴」（2.00）的重要度最低。</w:t>
      </w:r>
    </w:p>
    <w:p>
      <w:pPr>
        <w:pStyle w:val="Heading3"/>
      </w:pPr>
      <w:r>
        <w:rPr>
          <w:rFonts w:ascii="新細明體" w:hAnsi="新細明體" w:eastAsia="新細明體"/>
          <w:color w:val="000000"/>
        </w:rPr>
        <w:t>4.4.3 兩種重要度方法之比較</w:t>
      </w:r>
    </w:p>
    <w:p>
      <w:pPr>
        <w:spacing w:line="360" w:lineRule="auto"/>
        <w:ind w:firstLine="482"/>
      </w:pPr>
      <w:r>
        <w:rPr>
          <w:rFonts w:ascii="新細明體" w:hAnsi="新細明體" w:eastAsia="新細明體"/>
          <w:b w:val="0"/>
          <w:sz w:val="24"/>
        </w:rPr>
        <w:t>將逐筆平均重要度與Post-hoc AI重要度進行比較分析，兩者在整體排序趨勢上大致一致，但存在若干值得深入探討的差異：</w:t>
      </w:r>
    </w:p>
    <w:p>
      <w:pPr>
        <w:spacing w:line="360" w:lineRule="auto"/>
        <w:ind w:firstLine="482"/>
      </w:pPr>
      <w:r>
        <w:rPr>
          <w:rFonts w:ascii="新細明體" w:hAnsi="新細明體" w:eastAsia="新細明體"/>
          <w:b w:val="0"/>
          <w:sz w:val="24"/>
        </w:rPr>
        <w:t>首先，在核心屬性排序上兩種方法高度一致。「地理位置」、「交通」與「服務」在兩種方法中均位居前三位，「停車」在兩種方法中均為最不重要的屬性之一。此一致性從方法論的角度增強了重要度評估結果的可信度。</w:t>
      </w:r>
    </w:p>
    <w:p>
      <w:pPr>
        <w:spacing w:line="360" w:lineRule="auto"/>
        <w:ind w:firstLine="482"/>
      </w:pPr>
      <w:r>
        <w:rPr>
          <w:rFonts w:ascii="新細明體" w:hAnsi="新細明體" w:eastAsia="新細明體"/>
          <w:b w:val="0"/>
          <w:sz w:val="24"/>
        </w:rPr>
        <w:t>其次，兩種方法在數值分布的離散程度上存在顯著差異。逐筆平均法各屬性的重要度數值較為集中，範圍為3.73至4.71（極差0.98），而Post-hoc方法的數值分布更廣，範圍為2.00至5.00（極差3.00），區辨度明顯更高。此差異的成因在於逐筆平均法受到個別評論語境的影響而數值趨於中間，尤其是當同一屬性在不同評論中被賦予不同的重要性時，平均效果會壓縮極端值。相對地，Post-hoc方法從整體宏觀視角出發，能更果斷地區分屬性間的重要性層級。</w:t>
      </w:r>
    </w:p>
    <w:p>
      <w:pPr>
        <w:spacing w:line="360" w:lineRule="auto"/>
        <w:ind w:firstLine="482"/>
      </w:pPr>
      <w:r>
        <w:rPr>
          <w:rFonts w:ascii="新細明體" w:hAnsi="新細明體" w:eastAsia="新細明體"/>
          <w:b w:val="0"/>
          <w:sz w:val="24"/>
        </w:rPr>
        <w:t>第三，「睡眠品質」為兩種方法間差異最大的屬性。在逐筆平均法中，睡眠品質之重要度為4.15（排名第6至7位），但在Post-hoc方法中僅為3.00（排名第8至10位）。此差異可合理解釋為：在逐筆平均法中，提及睡眠品質的評論者通常是因遇到噪音干擾或床鋪不適等問題而特別強調其重要性，導致逐筆平均值偏高；而Post-hoc方法從整體消費者行為的角度判斷，認為睡眠品質雖為入住體驗的一部分，但並非消費者事前選擇酒店的主要決策因素。</w:t>
      </w:r>
    </w:p>
    <w:p>
      <w:pPr>
        <w:spacing w:line="360" w:lineRule="auto"/>
        <w:ind w:firstLine="482"/>
      </w:pPr>
      <w:r>
        <w:rPr>
          <w:rFonts w:ascii="新細明體" w:hAnsi="新細明體" w:eastAsia="新細明體"/>
          <w:b w:val="0"/>
          <w:sz w:val="24"/>
        </w:rPr>
        <w:t>綜合而言，逐筆平均重要度反映的是「消費者在評論中實際關注的程度」，而Post-hoc AI重要度反映的是「從產業知識角度判斷的策略重要性」。兩者互為補充，為後續IPA分析提供了更全面的分析視角。</w:t>
      </w:r>
    </w:p>
    <w:p>
      <w:pPr>
        <w:pStyle w:val="Heading2"/>
      </w:pPr>
      <w:r>
        <w:rPr>
          <w:rFonts w:ascii="新細明體" w:hAnsi="新細明體" w:eastAsia="新細明體"/>
          <w:color w:val="000000"/>
        </w:rPr>
        <w:t>4.5 IPA分析結果</w:t>
      </w:r>
    </w:p>
    <w:p>
      <w:pPr>
        <w:pStyle w:val="Heading3"/>
      </w:pPr>
      <w:r>
        <w:rPr>
          <w:rFonts w:ascii="新細明體" w:hAnsi="新細明體" w:eastAsia="新細明體"/>
          <w:color w:val="000000"/>
        </w:rPr>
        <w:t>4.5.1 基於逐筆平均重要度之IPA分析</w:t>
      </w:r>
    </w:p>
    <w:p>
      <w:pPr>
        <w:spacing w:line="360" w:lineRule="auto"/>
        <w:ind w:firstLine="482"/>
      </w:pPr>
      <w:r>
        <w:rPr>
          <w:rFonts w:ascii="新細明體" w:hAnsi="新細明體" w:eastAsia="新細明體"/>
          <w:b w:val="0"/>
          <w:sz w:val="24"/>
        </w:rPr>
        <w:t>重要度-績效分析（Importance-Performance Analysis, IPA）為Martilla與James（1977）所提出之策略管理工具，其核心概念是以屬性重要度為一軸、屬性績效為另一軸，建構二維矩陣，並以兩者之整體平均值為交叉點，將屬性劃分至四個策略象限。本研究首先以逐筆平均重要度作為重要度指標，以整體平均值（重要度4.16、績效4.09）為中心點，將12項服務屬性劃分至IPA四象限。分析結果如表20所示。</w:t>
      </w:r>
    </w:p>
    <w:p>
      <w:pPr>
        <w:spacing w:before="120" w:after="120"/>
        <w:jc w:val="center"/>
      </w:pPr>
      <w:r>
        <w:rPr>
          <w:rFonts w:ascii="新細明體" w:hAnsi="新細明體" w:eastAsia="新細明體"/>
          <w:sz w:val="20"/>
        </w:rPr>
        <w:t>表20 逐筆平均重要度IPA四象限分類結果</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fill="D9E2F3" w:val="clear"/>
          </w:tcPr>
          <w:p>
            <w:pPr>
              <w:jc w:val="center"/>
            </w:pPr>
            <w:r/>
            <w:r>
              <w:rPr>
                <w:rFonts w:ascii="新細明體" w:hAnsi="新細明體" w:eastAsia="新細明體"/>
                <w:b/>
                <w:sz w:val="20"/>
              </w:rPr>
              <w:t>象限</w:t>
            </w:r>
          </w:p>
        </w:tc>
        <w:tc>
          <w:tcPr>
            <w:tcW w:type="dxa" w:w="2880"/>
            <w:shd w:fill="D9E2F3" w:val="clear"/>
          </w:tcPr>
          <w:p>
            <w:pPr>
              <w:jc w:val="center"/>
            </w:pPr>
            <w:r/>
            <w:r>
              <w:rPr>
                <w:rFonts w:ascii="新細明體" w:hAnsi="新細明體" w:eastAsia="新細明體"/>
                <w:b/>
                <w:sz w:val="20"/>
              </w:rPr>
              <w:t>策略意涵</w:t>
            </w:r>
          </w:p>
        </w:tc>
        <w:tc>
          <w:tcPr>
            <w:tcW w:type="dxa" w:w="2880"/>
            <w:shd w:fill="D9E2F3" w:val="clear"/>
          </w:tcPr>
          <w:p>
            <w:pPr>
              <w:jc w:val="center"/>
            </w:pPr>
            <w:r/>
            <w:r>
              <w:rPr>
                <w:rFonts w:ascii="新細明體" w:hAnsi="新細明體" w:eastAsia="新細明體"/>
                <w:b/>
                <w:sz w:val="20"/>
              </w:rPr>
              <w:t>屬性</w:t>
            </w:r>
          </w:p>
        </w:tc>
      </w:tr>
      <w:tr>
        <w:tc>
          <w:tcPr>
            <w:tcW w:type="dxa" w:w="2880"/>
          </w:tcPr>
          <w:p>
            <w:pPr>
              <w:jc w:val="center"/>
            </w:pPr>
            <w:r/>
            <w:r>
              <w:rPr>
                <w:rFonts w:ascii="新細明體" w:hAnsi="新細明體" w:eastAsia="新細明體"/>
                <w:b/>
                <w:sz w:val="20"/>
              </w:rPr>
              <w:t>Q1：繼續保持</w:t>
            </w:r>
          </w:p>
        </w:tc>
        <w:tc>
          <w:tcPr>
            <w:tcW w:type="dxa" w:w="2880"/>
          </w:tcPr>
          <w:p>
            <w:pPr>
              <w:jc w:val="left"/>
            </w:pPr>
            <w:r/>
            <w:r>
              <w:rPr>
                <w:rFonts w:ascii="新細明體" w:hAnsi="新細明體" w:eastAsia="新細明體"/>
                <w:b w:val="0"/>
                <w:sz w:val="20"/>
              </w:rPr>
              <w:t>維持現有服務水準，持續投入資源</w:t>
            </w:r>
          </w:p>
        </w:tc>
        <w:tc>
          <w:tcPr>
            <w:tcW w:type="dxa" w:w="2880"/>
          </w:tcPr>
          <w:p>
            <w:pPr>
              <w:jc w:val="left"/>
            </w:pPr>
            <w:r/>
            <w:r>
              <w:rPr>
                <w:rFonts w:ascii="新細明體" w:hAnsi="新細明體" w:eastAsia="新細明體"/>
                <w:b w:val="0"/>
                <w:sz w:val="20"/>
              </w:rPr>
              <w:t>地理位置、交通、服務、清潔度</w:t>
            </w:r>
          </w:p>
        </w:tc>
      </w:tr>
      <w:tr>
        <w:tc>
          <w:tcPr>
            <w:tcW w:type="dxa" w:w="2880"/>
          </w:tcPr>
          <w:p>
            <w:pPr>
              <w:jc w:val="center"/>
            </w:pPr>
            <w:r/>
            <w:r>
              <w:rPr>
                <w:rFonts w:ascii="新細明體" w:hAnsi="新細明體" w:eastAsia="新細明體"/>
                <w:b/>
                <w:sz w:val="20"/>
              </w:rPr>
              <w:t>Q2：集中改善</w:t>
            </w:r>
          </w:p>
        </w:tc>
        <w:tc>
          <w:tcPr>
            <w:tcW w:type="dxa" w:w="2880"/>
          </w:tcPr>
          <w:p>
            <w:pPr>
              <w:jc w:val="left"/>
            </w:pPr>
            <w:r/>
            <w:r>
              <w:rPr>
                <w:rFonts w:ascii="新細明體" w:hAnsi="新細明體" w:eastAsia="新細明體"/>
                <w:b w:val="0"/>
                <w:sz w:val="20"/>
              </w:rPr>
              <w:t>優先改善，為最需關注之領域</w:t>
            </w:r>
          </w:p>
        </w:tc>
        <w:tc>
          <w:tcPr>
            <w:tcW w:type="dxa" w:w="2880"/>
          </w:tcPr>
          <w:p>
            <w:pPr>
              <w:jc w:val="left"/>
            </w:pPr>
            <w:r/>
            <w:r>
              <w:rPr>
                <w:rFonts w:ascii="新細明體" w:hAnsi="新細明體" w:eastAsia="新細明體"/>
                <w:b w:val="0"/>
                <w:sz w:val="20"/>
              </w:rPr>
              <w:t>性價比</w:t>
            </w:r>
          </w:p>
        </w:tc>
      </w:tr>
      <w:tr>
        <w:tc>
          <w:tcPr>
            <w:tcW w:type="dxa" w:w="2880"/>
          </w:tcPr>
          <w:p>
            <w:pPr>
              <w:jc w:val="center"/>
            </w:pPr>
            <w:r/>
            <w:r>
              <w:rPr>
                <w:rFonts w:ascii="新細明體" w:hAnsi="新細明體" w:eastAsia="新細明體"/>
                <w:b/>
                <w:sz w:val="20"/>
              </w:rPr>
              <w:t>Q3：低優先</w:t>
            </w:r>
          </w:p>
        </w:tc>
        <w:tc>
          <w:tcPr>
            <w:tcW w:type="dxa" w:w="2880"/>
          </w:tcPr>
          <w:p>
            <w:pPr>
              <w:jc w:val="left"/>
            </w:pPr>
            <w:r/>
            <w:r>
              <w:rPr>
                <w:rFonts w:ascii="新細明體" w:hAnsi="新細明體" w:eastAsia="新細明體"/>
                <w:b w:val="0"/>
                <w:sz w:val="20"/>
              </w:rPr>
              <w:t>暫緩投入，視資源狀況再議</w:t>
            </w:r>
          </w:p>
        </w:tc>
        <w:tc>
          <w:tcPr>
            <w:tcW w:type="dxa" w:w="2880"/>
          </w:tcPr>
          <w:p>
            <w:pPr>
              <w:jc w:val="left"/>
            </w:pPr>
            <w:r/>
            <w:r>
              <w:rPr>
                <w:rFonts w:ascii="新細明體" w:hAnsi="新細明體" w:eastAsia="新細明體"/>
                <w:b w:val="0"/>
                <w:sz w:val="20"/>
              </w:rPr>
              <w:t>房間、睡眠品質、餐廳、衛浴、停車</w:t>
            </w:r>
          </w:p>
        </w:tc>
      </w:tr>
      <w:tr>
        <w:tc>
          <w:tcPr>
            <w:tcW w:type="dxa" w:w="2880"/>
          </w:tcPr>
          <w:p>
            <w:pPr>
              <w:jc w:val="center"/>
            </w:pPr>
            <w:r/>
            <w:r>
              <w:rPr>
                <w:rFonts w:ascii="新細明體" w:hAnsi="新細明體" w:eastAsia="新細明體"/>
                <w:b/>
                <w:sz w:val="20"/>
              </w:rPr>
              <w:t>Q4：過度投入</w:t>
            </w:r>
          </w:p>
        </w:tc>
        <w:tc>
          <w:tcPr>
            <w:tcW w:type="dxa" w:w="2880"/>
          </w:tcPr>
          <w:p>
            <w:pPr>
              <w:jc w:val="left"/>
            </w:pPr>
            <w:r/>
            <w:r>
              <w:rPr>
                <w:rFonts w:ascii="新細明體" w:hAnsi="新細明體" w:eastAsia="新細明體"/>
                <w:b w:val="0"/>
                <w:sz w:val="20"/>
              </w:rPr>
              <w:t>可酌情減少投入，調配至其他象限</w:t>
            </w:r>
          </w:p>
        </w:tc>
        <w:tc>
          <w:tcPr>
            <w:tcW w:type="dxa" w:w="2880"/>
          </w:tcPr>
          <w:p>
            <w:pPr>
              <w:jc w:val="left"/>
            </w:pPr>
            <w:r/>
            <w:r>
              <w:rPr>
                <w:rFonts w:ascii="新細明體" w:hAnsi="新細明體" w:eastAsia="新細明體"/>
                <w:b w:val="0"/>
                <w:sz w:val="20"/>
              </w:rPr>
              <w:t>周邊環境、公共設施</w:t>
            </w:r>
          </w:p>
        </w:tc>
      </w:tr>
    </w:tbl>
    <w:p>
      <w:pPr>
        <w:spacing w:before="120" w:after="120"/>
        <w:jc w:val="center"/>
      </w:pPr>
      <w:r>
        <w:rPr>
          <w:rFonts w:ascii="新細明體" w:hAnsi="新細明體" w:eastAsia="新細明體"/>
          <w:sz w:val="20"/>
        </w:rPr>
        <w:t>（資料來源：本研究整理）</w:t>
      </w:r>
    </w:p>
    <w:p>
      <w:pPr>
        <w:spacing w:line="360" w:lineRule="auto"/>
        <w:ind w:firstLine="482"/>
      </w:pPr>
      <w:r>
        <w:rPr>
          <w:rFonts w:ascii="新細明體" w:hAnsi="新細明體" w:eastAsia="新細明體"/>
          <w:b w:val="0"/>
          <w:sz w:val="24"/>
        </w:rPr>
        <w:t>Q1象限（繼續保持）包含「地理位置」、「交通」、「服務」與「清潔度」四項屬性，這些屬性同時具備高重要度與高績效，酒店應持續維持其現有服務水準。其中，「地理位置」與「交通」的重要度與績效均為最高，說明酒店的地理區位優勢為其核心競爭力之一，且此優勢已充分被消費者所感知與認可。「服務」與「清潔度」亦位於此象限，顯示酒店在這兩項核心服務面向的投入已獲得消費者的正面回饋。</w:t>
      </w:r>
    </w:p>
    <w:p>
      <w:pPr>
        <w:spacing w:line="360" w:lineRule="auto"/>
        <w:ind w:firstLine="482"/>
      </w:pPr>
      <w:r>
        <w:rPr>
          <w:rFonts w:ascii="新細明體" w:hAnsi="新細明體" w:eastAsia="新細明體"/>
          <w:b w:val="0"/>
          <w:sz w:val="24"/>
        </w:rPr>
        <w:t>Q2象限（集中改善）僅包含「性價比」一項屬性，其重要度（4.31）高於平均，但績效（4.08）低於平均。此結果暗示消費者高度重視住宿的價格合理性，然而當前五家酒店在此方面的表現未能完全滿足消費者的期望。酒店管理者可考慮透過優化定價策略、提供增值服務套裝或改善住宿體驗的感知價值來提升消費者的性價比評價。</w:t>
      </w:r>
    </w:p>
    <w:p>
      <w:pPr>
        <w:spacing w:line="360" w:lineRule="auto"/>
        <w:ind w:firstLine="482"/>
      </w:pPr>
      <w:r>
        <w:rPr>
          <w:rFonts w:ascii="新細明體" w:hAnsi="新細明體" w:eastAsia="新細明體"/>
          <w:b w:val="0"/>
          <w:sz w:val="24"/>
        </w:rPr>
        <w:t>Q3象限（低優先）包含「停車」、「房間」、「睡眠品質」、「衛浴」與「餐廳」五項屬性。雖然這些屬性的績效相對較低，但由於其重要度亦未達平均水準，改善優先順序相對較後。然而，其中「停車」（績效3.19）與「衛浴」（績效3.47）的績效值明顯偏低，若酒店有充裕的資源，仍建議予以關注。</w:t>
      </w:r>
    </w:p>
    <w:p>
      <w:pPr>
        <w:spacing w:line="360" w:lineRule="auto"/>
        <w:ind w:firstLine="482"/>
      </w:pPr>
      <w:r>
        <w:rPr>
          <w:rFonts w:ascii="新細明體" w:hAnsi="新細明體" w:eastAsia="新細明體"/>
          <w:b w:val="0"/>
          <w:sz w:val="24"/>
        </w:rPr>
        <w:t>Q4象限（過度投入）包含「公共設施」與「周邊環境」兩項屬性，兩者的績效高於平均但重要度低於平均。此結果暗示酒店在這兩方面的投入可能超過消費者的實際期望，管理者可適度調配相關資源至Q2或Q3象限中更需改善的屬性。</w:t>
      </w:r>
    </w:p>
    <w:p>
      <w:pPr>
        <w:pStyle w:val="Heading3"/>
      </w:pPr>
      <w:r>
        <w:rPr>
          <w:rFonts w:ascii="新細明體" w:hAnsi="新細明體" w:eastAsia="新細明體"/>
          <w:color w:val="000000"/>
        </w:rPr>
        <w:t>4.5.2 基於Post-hoc AI重要度之IPA分析</w:t>
      </w:r>
    </w:p>
    <w:p>
      <w:pPr>
        <w:spacing w:line="360" w:lineRule="auto"/>
        <w:ind w:firstLine="482"/>
      </w:pPr>
      <w:r>
        <w:rPr>
          <w:rFonts w:ascii="新細明體" w:hAnsi="新細明體" w:eastAsia="新細明體"/>
          <w:b w:val="0"/>
          <w:sz w:val="24"/>
        </w:rPr>
        <w:t>以Post-hoc AI重要度替代逐筆平均重要度，重新進行IPA四象限分析。Post-hoc方法下的中心點為（重要度3.69、績效4.09），結果如表21所示。</w:t>
      </w:r>
    </w:p>
    <w:p>
      <w:pPr>
        <w:spacing w:before="120" w:after="120"/>
        <w:jc w:val="center"/>
      </w:pPr>
      <w:r>
        <w:rPr>
          <w:rFonts w:ascii="新細明體" w:hAnsi="新細明體" w:eastAsia="新細明體"/>
          <w:sz w:val="20"/>
        </w:rPr>
        <w:t>表21 Post-hoc AI重要度IPA四象限分類結果</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fill="D9E2F3" w:val="clear"/>
          </w:tcPr>
          <w:p>
            <w:pPr>
              <w:jc w:val="center"/>
            </w:pPr>
            <w:r/>
            <w:r>
              <w:rPr>
                <w:rFonts w:ascii="新細明體" w:hAnsi="新細明體" w:eastAsia="新細明體"/>
                <w:b/>
                <w:sz w:val="20"/>
              </w:rPr>
              <w:t>象限</w:t>
            </w:r>
          </w:p>
        </w:tc>
        <w:tc>
          <w:tcPr>
            <w:tcW w:type="dxa" w:w="2880"/>
            <w:shd w:fill="D9E2F3" w:val="clear"/>
          </w:tcPr>
          <w:p>
            <w:pPr>
              <w:jc w:val="center"/>
            </w:pPr>
            <w:r/>
            <w:r>
              <w:rPr>
                <w:rFonts w:ascii="新細明體" w:hAnsi="新細明體" w:eastAsia="新細明體"/>
                <w:b/>
                <w:sz w:val="20"/>
              </w:rPr>
              <w:t>策略意涵</w:t>
            </w:r>
          </w:p>
        </w:tc>
        <w:tc>
          <w:tcPr>
            <w:tcW w:type="dxa" w:w="2880"/>
            <w:shd w:fill="D9E2F3" w:val="clear"/>
          </w:tcPr>
          <w:p>
            <w:pPr>
              <w:jc w:val="center"/>
            </w:pPr>
            <w:r/>
            <w:r>
              <w:rPr>
                <w:rFonts w:ascii="新細明體" w:hAnsi="新細明體" w:eastAsia="新細明體"/>
                <w:b/>
                <w:sz w:val="20"/>
              </w:rPr>
              <w:t>屬性</w:t>
            </w:r>
          </w:p>
        </w:tc>
      </w:tr>
      <w:tr>
        <w:tc>
          <w:tcPr>
            <w:tcW w:type="dxa" w:w="2880"/>
          </w:tcPr>
          <w:p>
            <w:pPr>
              <w:jc w:val="center"/>
            </w:pPr>
            <w:r/>
            <w:r>
              <w:rPr>
                <w:rFonts w:ascii="新細明體" w:hAnsi="新細明體" w:eastAsia="新細明體"/>
                <w:b/>
                <w:sz w:val="20"/>
              </w:rPr>
              <w:t>Q1：繼續保持</w:t>
            </w:r>
          </w:p>
        </w:tc>
        <w:tc>
          <w:tcPr>
            <w:tcW w:type="dxa" w:w="2880"/>
          </w:tcPr>
          <w:p>
            <w:pPr>
              <w:jc w:val="left"/>
            </w:pPr>
            <w:r/>
            <w:r>
              <w:rPr>
                <w:rFonts w:ascii="新細明體" w:hAnsi="新細明體" w:eastAsia="新細明體"/>
                <w:b w:val="0"/>
                <w:sz w:val="20"/>
              </w:rPr>
              <w:t>維持現有服務水準，持續投入資源</w:t>
            </w:r>
          </w:p>
        </w:tc>
        <w:tc>
          <w:tcPr>
            <w:tcW w:type="dxa" w:w="2880"/>
          </w:tcPr>
          <w:p>
            <w:pPr>
              <w:jc w:val="left"/>
            </w:pPr>
            <w:r/>
            <w:r>
              <w:rPr>
                <w:rFonts w:ascii="新細明體" w:hAnsi="新細明體" w:eastAsia="新細明體"/>
                <w:b w:val="0"/>
                <w:sz w:val="20"/>
              </w:rPr>
              <w:t>地理位置、交通、周邊環境、服務、清潔度</w:t>
            </w:r>
          </w:p>
        </w:tc>
      </w:tr>
      <w:tr>
        <w:tc>
          <w:tcPr>
            <w:tcW w:type="dxa" w:w="2880"/>
          </w:tcPr>
          <w:p>
            <w:pPr>
              <w:jc w:val="center"/>
            </w:pPr>
            <w:r/>
            <w:r>
              <w:rPr>
                <w:rFonts w:ascii="新細明體" w:hAnsi="新細明體" w:eastAsia="新細明體"/>
                <w:b/>
                <w:sz w:val="20"/>
              </w:rPr>
              <w:t>Q2：集中改善</w:t>
            </w:r>
          </w:p>
        </w:tc>
        <w:tc>
          <w:tcPr>
            <w:tcW w:type="dxa" w:w="2880"/>
          </w:tcPr>
          <w:p>
            <w:pPr>
              <w:jc w:val="left"/>
            </w:pPr>
            <w:r/>
            <w:r>
              <w:rPr>
                <w:rFonts w:ascii="新細明體" w:hAnsi="新細明體" w:eastAsia="新細明體"/>
                <w:b w:val="0"/>
                <w:sz w:val="20"/>
              </w:rPr>
              <w:t>優先改善，為最需關注之領域</w:t>
            </w:r>
          </w:p>
        </w:tc>
        <w:tc>
          <w:tcPr>
            <w:tcW w:type="dxa" w:w="2880"/>
          </w:tcPr>
          <w:p>
            <w:pPr>
              <w:jc w:val="left"/>
            </w:pPr>
            <w:r/>
            <w:r>
              <w:rPr>
                <w:rFonts w:ascii="新細明體" w:hAnsi="新細明體" w:eastAsia="新細明體"/>
                <w:b w:val="0"/>
                <w:sz w:val="20"/>
              </w:rPr>
              <w:t>性價比、房間</w:t>
            </w:r>
          </w:p>
        </w:tc>
      </w:tr>
      <w:tr>
        <w:tc>
          <w:tcPr>
            <w:tcW w:type="dxa" w:w="2880"/>
          </w:tcPr>
          <w:p>
            <w:pPr>
              <w:jc w:val="center"/>
            </w:pPr>
            <w:r/>
            <w:r>
              <w:rPr>
                <w:rFonts w:ascii="新細明體" w:hAnsi="新細明體" w:eastAsia="新細明體"/>
                <w:b/>
                <w:sz w:val="20"/>
              </w:rPr>
              <w:t>Q3：低優先</w:t>
            </w:r>
          </w:p>
        </w:tc>
        <w:tc>
          <w:tcPr>
            <w:tcW w:type="dxa" w:w="2880"/>
          </w:tcPr>
          <w:p>
            <w:pPr>
              <w:jc w:val="left"/>
            </w:pPr>
            <w:r/>
            <w:r>
              <w:rPr>
                <w:rFonts w:ascii="新細明體" w:hAnsi="新細明體" w:eastAsia="新細明體"/>
                <w:b w:val="0"/>
                <w:sz w:val="20"/>
              </w:rPr>
              <w:t>暫緩投入，視資源狀況再議</w:t>
            </w:r>
          </w:p>
        </w:tc>
        <w:tc>
          <w:tcPr>
            <w:tcW w:type="dxa" w:w="2880"/>
          </w:tcPr>
          <w:p>
            <w:pPr>
              <w:jc w:val="left"/>
            </w:pPr>
            <w:r/>
            <w:r>
              <w:rPr>
                <w:rFonts w:ascii="新細明體" w:hAnsi="新細明體" w:eastAsia="新細明體"/>
                <w:b w:val="0"/>
                <w:sz w:val="20"/>
              </w:rPr>
              <w:t>睡眠品質、餐廳、衛浴、停車</w:t>
            </w:r>
          </w:p>
        </w:tc>
      </w:tr>
      <w:tr>
        <w:tc>
          <w:tcPr>
            <w:tcW w:type="dxa" w:w="2880"/>
          </w:tcPr>
          <w:p>
            <w:pPr>
              <w:jc w:val="center"/>
            </w:pPr>
            <w:r/>
            <w:r>
              <w:rPr>
                <w:rFonts w:ascii="新細明體" w:hAnsi="新細明體" w:eastAsia="新細明體"/>
                <w:b/>
                <w:sz w:val="20"/>
              </w:rPr>
              <w:t>Q4：過度投入</w:t>
            </w:r>
          </w:p>
        </w:tc>
        <w:tc>
          <w:tcPr>
            <w:tcW w:type="dxa" w:w="2880"/>
          </w:tcPr>
          <w:p>
            <w:pPr>
              <w:jc w:val="left"/>
            </w:pPr>
            <w:r/>
            <w:r>
              <w:rPr>
                <w:rFonts w:ascii="新細明體" w:hAnsi="新細明體" w:eastAsia="新細明體"/>
                <w:b w:val="0"/>
                <w:sz w:val="20"/>
              </w:rPr>
              <w:t>可酌情減少投入，調配至其他象限</w:t>
            </w:r>
          </w:p>
        </w:tc>
        <w:tc>
          <w:tcPr>
            <w:tcW w:type="dxa" w:w="2880"/>
          </w:tcPr>
          <w:p>
            <w:pPr>
              <w:jc w:val="left"/>
            </w:pPr>
            <w:r/>
            <w:r>
              <w:rPr>
                <w:rFonts w:ascii="新細明體" w:hAnsi="新細明體" w:eastAsia="新細明體"/>
                <w:b w:val="0"/>
                <w:sz w:val="20"/>
              </w:rPr>
              <w:t>公共設施</w:t>
            </w:r>
          </w:p>
        </w:tc>
      </w:tr>
    </w:tbl>
    <w:p>
      <w:pPr>
        <w:spacing w:before="120" w:after="120"/>
        <w:jc w:val="center"/>
      </w:pPr>
      <w:r>
        <w:rPr>
          <w:rFonts w:ascii="新細明體" w:hAnsi="新細明體" w:eastAsia="新細明體"/>
          <w:sz w:val="20"/>
        </w:rPr>
        <w:t>（資料來源：本研究整理）</w:t>
      </w:r>
    </w:p>
    <w:p>
      <w:pPr>
        <w:spacing w:line="360" w:lineRule="auto"/>
        <w:ind w:firstLine="482"/>
      </w:pPr>
      <w:r>
        <w:rPr>
          <w:rFonts w:ascii="新細明體" w:hAnsi="新細明體" w:eastAsia="新細明體"/>
          <w:b w:val="0"/>
          <w:sz w:val="24"/>
        </w:rPr>
        <w:t>與逐筆平均重要度之IPA結果相比，Post-hoc方法的主要差異如下：</w:t>
      </w:r>
    </w:p>
    <w:p>
      <w:pPr>
        <w:spacing w:line="360" w:lineRule="auto"/>
        <w:ind w:firstLine="482"/>
      </w:pPr>
      <w:r>
        <w:rPr>
          <w:rFonts w:ascii="新細明體" w:hAnsi="新細明體" w:eastAsia="新細明體"/>
          <w:b w:val="0"/>
          <w:sz w:val="24"/>
        </w:rPr>
        <w:t>第一，「周邊環境」從Q4（過度投入）移至Q1（繼續保持）。此差異反映Post-hoc方法基於產業知識，認為周邊環境（如鄰近觀光景點、商業設施、餐飲選擇等）對旅客選擇酒店具有重要的參考價值，其高績效表現應被視為酒店的核心優勢而非過度投入。</w:t>
      </w:r>
    </w:p>
    <w:p>
      <w:pPr>
        <w:spacing w:line="360" w:lineRule="auto"/>
        <w:ind w:firstLine="482"/>
      </w:pPr>
      <w:r>
        <w:rPr>
          <w:rFonts w:ascii="新細明體" w:hAnsi="新細明體" w:eastAsia="新細明體"/>
          <w:b w:val="0"/>
          <w:sz w:val="24"/>
        </w:rPr>
        <w:t>第二，「房間」從Q3（低優先）移至Q2（集中改善）。Post-hoc方法賦予房間較高的重要度（4.0分），認為作為住宿的核心產品，房間品質對消費者滿意度具有關鍵影響。其績效僅為3.88分，存在明顯的改善空間。</w:t>
      </w:r>
    </w:p>
    <w:p>
      <w:pPr>
        <w:spacing w:line="360" w:lineRule="auto"/>
        <w:ind w:firstLine="482"/>
      </w:pPr>
      <w:r>
        <w:rPr>
          <w:rFonts w:ascii="新細明體" w:hAnsi="新細明體" w:eastAsia="新細明體"/>
          <w:b w:val="0"/>
          <w:sz w:val="24"/>
        </w:rPr>
        <w:t>第三，兩種方法在Q1的核心屬性（地理位置、交通、服務、清潔度）與Q3的低優先屬性（停車、衛浴）上高度一致，差異主要出現在重要度處於中間地帶的屬性。此模式合理地反映了兩種方法在極端值上的共識與中間值上的互補性。</w:t>
      </w:r>
    </w:p>
    <w:p>
      <w:pPr>
        <w:pStyle w:val="Heading2"/>
      </w:pPr>
      <w:r>
        <w:rPr>
          <w:rFonts w:ascii="新細明體" w:hAnsi="新細明體" w:eastAsia="新細明體"/>
          <w:color w:val="000000"/>
        </w:rPr>
        <w:t>4.6 動態SWOT分析結果</w:t>
      </w:r>
    </w:p>
    <w:p>
      <w:pPr>
        <w:spacing w:line="360" w:lineRule="auto"/>
        <w:ind w:firstLine="482"/>
      </w:pPr>
      <w:r>
        <w:rPr>
          <w:rFonts w:ascii="新細明體" w:hAnsi="新細明體" w:eastAsia="新細明體"/>
          <w:b w:val="0"/>
          <w:sz w:val="24"/>
        </w:rPr>
        <w:t>本研究參考Wu等人（2024）提出之動態SWOT分析框架，依據第三章表7所述之八條SWOT因素判定規則（R1-R8），針對酒店配對進行競爭力分析。動態SWOT分析同時考量「飯店自身表現變化」與「相對競爭位置」兩個維度，將各服務屬性歸類至優勢（Strength）、劣勢（Weakness）、機會（Opportunity）與威脅（Threat）四個象限。以下選取具代表性之酒店配對呈現分析結果。</w:t>
      </w:r>
    </w:p>
    <w:p>
      <w:pPr>
        <w:pStyle w:val="Heading3"/>
      </w:pPr>
      <w:r>
        <w:rPr>
          <w:rFonts w:ascii="新細明體" w:hAnsi="新細明體" w:eastAsia="新細明體"/>
          <w:color w:val="000000"/>
        </w:rPr>
        <w:t>4.6.1 励骏酒店 vs 北京王府井希尔顿酒店</w:t>
      </w:r>
    </w:p>
    <w:p>
      <w:pPr>
        <w:spacing w:line="360" w:lineRule="auto"/>
        <w:ind w:firstLine="482"/>
      </w:pPr>
      <w:r>
        <w:rPr>
          <w:rFonts w:ascii="新細明體" w:hAnsi="新細明體" w:eastAsia="新細明體"/>
          <w:b w:val="0"/>
          <w:sz w:val="24"/>
        </w:rPr>
        <w:t>励骏酒店與北京王府井希尔顿酒店同位於王府井商圈，地理位置相近，目標客群存在重疊，具有直接的競爭關係。以励骏酒店為焦點企業進行SWOT因素判定，結果為優勢（S）2項、劣勢（W）1項、機會（O）5項、威脅（T）4項。</w:t>
      </w:r>
    </w:p>
    <w:p>
      <w:pPr>
        <w:spacing w:line="360" w:lineRule="auto"/>
        <w:ind w:firstLine="482"/>
      </w:pPr>
      <w:r>
        <w:rPr>
          <w:rFonts w:ascii="新細明體" w:hAnsi="新細明體" w:eastAsia="新細明體"/>
          <w:b w:val="0"/>
          <w:sz w:val="24"/>
        </w:rPr>
        <w:t>在優勢方面，励骏酒店在「周邊環境」（励骏4.61 vs 希尔顿4.49）與「公共設施」（励骏4.17 vs 希尔顿3.60）兩項屬性上具有相對優勢，尤其是公共設施方面的績效差距達0.57分，反映励骏酒店在大堂、會議室等公共空間的設施配置上獲得消費者較高的評價。在劣勢方面，「服務」（励骏4.08 vs 希尔顿4.24）為励骏酒店的劣勢屬性，顯示其服務品質有待提升。機會與威脅方面的多項屬性分布，則反映兩家酒店在多數服務面向上處於動態競爭態勢，任一方的改善或退步都可能改變競爭格局。</w:t>
      </w:r>
    </w:p>
    <w:p>
      <w:pPr>
        <w:pStyle w:val="Heading3"/>
      </w:pPr>
      <w:r>
        <w:rPr>
          <w:rFonts w:ascii="新細明體" w:hAnsi="新細明體" w:eastAsia="新細明體"/>
          <w:color w:val="000000"/>
        </w:rPr>
        <w:t>4.6.2 漫心酒店 vs 全季酒店</w:t>
      </w:r>
    </w:p>
    <w:p>
      <w:pPr>
        <w:spacing w:line="360" w:lineRule="auto"/>
        <w:ind w:firstLine="482"/>
      </w:pPr>
      <w:r>
        <w:rPr>
          <w:rFonts w:ascii="新細明體" w:hAnsi="新細明體" w:eastAsia="新細明體"/>
          <w:b w:val="0"/>
          <w:sz w:val="24"/>
        </w:rPr>
        <w:t>北京天安门王府井漫心酒店（王府井商圈）與全季酒店（國貿商圈）分屬不同商圈，此配對可揭示跨商圈的競爭差異。以漫心酒店為焦點企業，SWOT因素判定結果為優勢（S）5項、劣勢（W）2項、機會（O）3項、威脅（T）2項。</w:t>
      </w:r>
    </w:p>
    <w:p>
      <w:pPr>
        <w:spacing w:line="360" w:lineRule="auto"/>
        <w:ind w:firstLine="482"/>
      </w:pPr>
      <w:r>
        <w:rPr>
          <w:rFonts w:ascii="新細明體" w:hAnsi="新細明體" w:eastAsia="新細明體"/>
          <w:b w:val="0"/>
          <w:sz w:val="24"/>
        </w:rPr>
        <w:t>漫心酒店在「地理位置」（漫心4.80 vs 全季4.36）、「交通」（漫心4.75 vs 全季4.59）、「服務」（漫心4.64 vs 全季4.59）、「清潔度」（漫心4.58 vs 全季4.66）與「餐廳」（漫心4.39 vs 全季4.28）等五項屬性上具備優勢，反映其在王府井商圈的地理區位效益以及服務品質的整體優勢。然而，漫心酒店在「停車」（漫心2.12 vs 全季4.62）與「房間」（漫心3.71 vs 全季4.18）方面為劣勢，其中停車績效差距高達2.50分，為所有配對中差距最大的屬性之一，鮮明地體現了王府井核心商圈停車空間的先天限制。</w:t>
      </w:r>
    </w:p>
    <w:p>
      <w:pPr>
        <w:pStyle w:val="Heading3"/>
      </w:pPr>
      <w:r>
        <w:rPr>
          <w:rFonts w:ascii="新細明體" w:hAnsi="新細明體" w:eastAsia="新細明體"/>
          <w:color w:val="000000"/>
        </w:rPr>
        <w:t>4.6.3 漫心酒店 vs 麗枫酒店</w:t>
      </w:r>
    </w:p>
    <w:p>
      <w:pPr>
        <w:spacing w:line="360" w:lineRule="auto"/>
        <w:ind w:firstLine="482"/>
      </w:pPr>
      <w:r>
        <w:rPr>
          <w:rFonts w:ascii="新細明體" w:hAnsi="新細明體" w:eastAsia="新細明體"/>
          <w:b w:val="0"/>
          <w:sz w:val="24"/>
        </w:rPr>
        <w:t>漫心酒店（王府井）與麗枫酒店（國貿）的配對同樣呈現跨商圈的競爭特徵。SWOT因素判定結果為優勢（S）5項、劣勢（W）0項、機會（O）3項、威脅（T）4項。值得注意的是，漫心酒店在此配對中無劣勢屬性，但威脅項目（4項）多於機會項目（3項），顯示儘管漫心酒店在多項屬性上表現領先，但麗枫酒店在若干屬性上的競爭壓力不容忽視。</w:t>
      </w:r>
    </w:p>
    <w:p>
      <w:pPr>
        <w:pStyle w:val="Heading3"/>
      </w:pPr>
      <w:r>
        <w:rPr>
          <w:rFonts w:ascii="新細明體" w:hAnsi="新細明體" w:eastAsia="新細明體"/>
          <w:color w:val="000000"/>
        </w:rPr>
        <w:t>4.6.4 動態趨勢分析</w:t>
      </w:r>
    </w:p>
    <w:p>
      <w:pPr>
        <w:spacing w:line="360" w:lineRule="auto"/>
        <w:ind w:firstLine="482"/>
      </w:pPr>
      <w:r>
        <w:rPr>
          <w:rFonts w:ascii="新細明體" w:hAnsi="新細明體" w:eastAsia="新細明體"/>
          <w:b w:val="0"/>
          <w:sz w:val="24"/>
        </w:rPr>
        <w:t>本研究進一步將資料依年度分為三個時期（2019-2020年、2020-2021年、2021-2022年），追蹤各酒店之績效變化趨勢以及SWOT因素的動態轉移。此動態分析能捕捉傳統靜態SWOT無法反映的時間維度變化。</w:t>
      </w:r>
    </w:p>
    <w:p>
      <w:pPr>
        <w:spacing w:line="360" w:lineRule="auto"/>
        <w:ind w:firstLine="482"/>
      </w:pPr>
      <w:r>
        <w:rPr>
          <w:rFonts w:ascii="新細明體" w:hAnsi="新細明體" w:eastAsia="新細明體"/>
          <w:b w:val="0"/>
          <w:sz w:val="24"/>
        </w:rPr>
        <w:t>在整體績效趨勢方面，各酒店呈現不同的變化軌跡。全季酒店的整體績效呈現穩定上升趨勢（2019年3.94→2020年4.40→2021年4.42→2022年4.62），顯示其在服務品質上的持續改善。北京王府井希尔顿酒店則經歷了先降後升的過程（2019年3.76→2020年3.57→2021年4.26→2022年4.27），2019至2020年間的績效下降可能受到COVID-19疫情的影響，但2021年起的顯著回升（增幅0.69分）反映了高端酒店在疫情後的復甦力道。漫心酒店整體維持穩定（4.41→4.44→4.45→4.53），而励骏酒店則呈現小幅下降趨勢（4.44→4.03→4.03→4.08），顯示其競爭力在觀察期間有所減弱。</w:t>
      </w:r>
    </w:p>
    <w:p>
      <w:pPr>
        <w:spacing w:line="360" w:lineRule="auto"/>
        <w:ind w:firstLine="482"/>
      </w:pPr>
      <w:r>
        <w:rPr>
          <w:rFonts w:ascii="新細明體" w:hAnsi="新細明體" w:eastAsia="新細明體"/>
          <w:b w:val="0"/>
          <w:sz w:val="24"/>
        </w:rPr>
        <w:t>在SWOT因素的動態轉移方面，部分屬性的歸類隨時間產生變化。例如，在特定酒店配對中，某些屬性可能從前期的「威脅」轉變為後期的「機會」，或從「劣勢」轉變為「優勢」，體現了動態SWOT模型相較於傳統靜態分析在捕捉市場變化方面的優越性。此動態轉移為酒店管理者提供了及時調整經營策略的依據，使其能夠識別競爭態勢的變化方向並採取前瞻性的因應措施。</w:t>
      </w:r>
    </w:p>
    <w:p>
      <w:pPr>
        <w:pStyle w:val="Heading2"/>
      </w:pPr>
      <w:r>
        <w:rPr>
          <w:rFonts w:ascii="新細明體" w:hAnsi="新細明體" w:eastAsia="新細明體"/>
          <w:color w:val="000000"/>
        </w:rPr>
        <w:t>4.7 穩定性與有效性驗證</w:t>
      </w:r>
    </w:p>
    <w:p>
      <w:pPr>
        <w:spacing w:line="360" w:lineRule="auto"/>
        <w:ind w:firstLine="482"/>
      </w:pPr>
      <w:r>
        <w:rPr>
          <w:rFonts w:ascii="新細明體" w:hAnsi="新細明體" w:eastAsia="新細明體"/>
          <w:b w:val="0"/>
          <w:sz w:val="24"/>
        </w:rPr>
        <w:t>為確保本研究提出之生成式AI情感分析框架具備嚴謹的學術效度與信度，本節設計了穩定性驗證與跨模型驗證的雙重評估策略，旨在檢驗模型輸出的一致性與有效性。</w:t>
      </w:r>
    </w:p>
    <w:p>
      <w:pPr>
        <w:pStyle w:val="Heading3"/>
      </w:pPr>
      <w:r>
        <w:rPr>
          <w:rFonts w:ascii="新細明體" w:hAnsi="新細明體" w:eastAsia="新細明體"/>
          <w:color w:val="000000"/>
        </w:rPr>
        <w:t>4.7.1 穩定性驗證：Fleiss' Kappa</w:t>
      </w:r>
    </w:p>
    <w:p>
      <w:pPr>
        <w:spacing w:line="360" w:lineRule="auto"/>
        <w:ind w:firstLine="482"/>
      </w:pPr>
      <w:r>
        <w:rPr>
          <w:rFonts w:ascii="新細明體" w:hAnsi="新細明體" w:eastAsia="新細明體"/>
          <w:b w:val="0"/>
          <w:sz w:val="24"/>
        </w:rPr>
        <w:t>為驗證GPT-4o-mini情感分析結果之可重現性，本研究採用第三章所述之「隨機抽樣重測法」。從已分類完成的評論中抽取200筆作為驗證樣本，在完全相同的提示模板與參數設定下，於獨立的對話環境中進行5次獨立的情感分析測試，以避免模型快取或記憶效應的干擾。隨後透過Fleiss' Kappa係數評估多次測試間的分類一致性。</w:t>
      </w:r>
    </w:p>
    <w:p>
      <w:pPr>
        <w:spacing w:line="360" w:lineRule="auto"/>
        <w:ind w:firstLine="482"/>
      </w:pPr>
      <w:r>
        <w:rPr>
          <w:rFonts w:ascii="新細明體" w:hAnsi="新細明體" w:eastAsia="新細明體"/>
          <w:b w:val="0"/>
          <w:sz w:val="24"/>
        </w:rPr>
        <w:t>驗證結果顯示，Fleiss' Kappa係數為0.9936。根據Landis與Koch（1977）所提出之判定標準，κ &gt; 0.81屬於「幾乎完全一致（Almost Perfect Agreement）」等級，本研究之0.9936遠超過此門檻，亦遠超過本研究預設之0.8判定標準。此結果有力地證實，在低溫度參數設定（Temperature ≈ 0）與結構化提示詞框架的雙重約束下，GPT-4o-mini的情感分析輸出具備極高的穩定性與可重現性，模型在5次獨立測試中幾乎能產出完全一致的分類結果與情感評分。此穩定性為後續所有基於GPT-4o-mini分析結果所衍生之績效指標、IPA分析與SWOT判定提供了可靠的資料基礎。</w:t>
      </w:r>
    </w:p>
    <w:p>
      <w:pPr>
        <w:pStyle w:val="Heading3"/>
      </w:pPr>
      <w:r>
        <w:rPr>
          <w:rFonts w:ascii="新細明體" w:hAnsi="新細明體" w:eastAsia="新細明體"/>
          <w:color w:val="000000"/>
        </w:rPr>
        <w:t>4.7.2 跨模型驗證：Spearman等級相關係數</w:t>
      </w:r>
    </w:p>
    <w:p>
      <w:pPr>
        <w:spacing w:line="360" w:lineRule="auto"/>
        <w:ind w:firstLine="482"/>
      </w:pPr>
      <w:r>
        <w:rPr>
          <w:rFonts w:ascii="新細明體" w:hAnsi="新細明體" w:eastAsia="新細明體"/>
          <w:b w:val="0"/>
          <w:sz w:val="24"/>
        </w:rPr>
        <w:t>穩定性驗證確認了同一模型多次分析的一致性，但尚不足以證明分析結果的有效性——即模型輸出是否真實反映了評論內容的語意，而非模型特有的系統性偏差。為此，本研究進一步設計跨模型驗證，以GPT-4o-mini的分類結果作為基準（Ground Truth），分別使用OpenAI的GPT-4o與Anthropic的Claude Sonnet 4兩個不同廠商、不同架構的大型語言模型，對相同評論進行獨立分析，再比較不同模型間的一致程度。</w:t>
      </w:r>
    </w:p>
    <w:p>
      <w:pPr>
        <w:spacing w:line="360" w:lineRule="auto"/>
        <w:ind w:firstLine="482"/>
      </w:pPr>
      <w:r>
        <w:rPr>
          <w:rFonts w:ascii="新細明體" w:hAnsi="新細明體" w:eastAsia="新細明體"/>
          <w:b w:val="0"/>
          <w:sz w:val="24"/>
        </w:rPr>
        <w:t>在抽樣設計上，為確保驗證樣本能充分覆蓋各分數等級，本研究採用分數分層抽樣（Score-Stratified Sampling）策略。具體做法為依據每則評論所有屬性之平均情感分數，將評論劃分為1至5分五個層級，每個層級均勻抽取40筆，共計200筆評論。相較於簡單隨機抽樣，分數分層抽樣能有效避免因整體分數分布呈正偏態（82.1%為正面評價）而導致低分評論在驗證樣本中嚴重不足的問題。此設計確保驗證結果能平衡地反映模型在高分與低分評論上的表現，提升驗證結論的外部效度。</w:t>
      </w:r>
    </w:p>
    <w:p>
      <w:pPr>
        <w:spacing w:line="360" w:lineRule="auto"/>
        <w:ind w:firstLine="482"/>
      </w:pPr>
      <w:r>
        <w:rPr>
          <w:rFonts w:ascii="新細明體" w:hAnsi="新細明體" w:eastAsia="新細明體"/>
          <w:b w:val="0"/>
          <w:sz w:val="24"/>
        </w:rPr>
        <w:t>200筆評論經GPT-4o-mini基準分析後，共產生441個屬性-情感配對，作為跨模型比較的Ground Truth。本研究採用以下五項指標進行跨模型比較：（1）屬性召回率（Attribute Recall），衡量驗證模型識別出與基準相同屬性的比例；（2）情感一致率（Sentiment Agreement），在匹配到相同屬性的配對中，情感方向一致的比例；（3）Spearman等級相關係數（ρ），衡量驗證模型與基準模型在績效分數排序上的單調相關程度；（4）分數完全一致率（Exact Match），兩模型給出完全相同分數的比例；（5）分數差≤1比例（Within-1），分數差距在1分以內的比例。</w:t>
      </w:r>
    </w:p>
    <w:p>
      <w:pPr>
        <w:spacing w:before="120" w:after="120"/>
        <w:jc w:val="center"/>
      </w:pPr>
      <w:r>
        <w:rPr>
          <w:rFonts w:ascii="新細明體" w:hAnsi="新細明體" w:eastAsia="新細明體"/>
          <w:sz w:val="20"/>
        </w:rPr>
        <w:t>表22 跨模型驗證結果</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fill="D9E2F3" w:val="clear"/>
          </w:tcPr>
          <w:p>
            <w:pPr>
              <w:jc w:val="center"/>
            </w:pPr>
            <w:r/>
            <w:r>
              <w:rPr>
                <w:rFonts w:ascii="新細明體" w:hAnsi="新細明體" w:eastAsia="新細明體"/>
                <w:b/>
                <w:sz w:val="20"/>
              </w:rPr>
              <w:t>驗證指標</w:t>
            </w:r>
          </w:p>
        </w:tc>
        <w:tc>
          <w:tcPr>
            <w:tcW w:type="dxa" w:w="2880"/>
            <w:shd w:fill="D9E2F3" w:val="clear"/>
          </w:tcPr>
          <w:p>
            <w:pPr>
              <w:jc w:val="center"/>
            </w:pPr>
            <w:r/>
            <w:r>
              <w:rPr>
                <w:rFonts w:ascii="新細明體" w:hAnsi="新細明體" w:eastAsia="新細明體"/>
                <w:b/>
                <w:sz w:val="20"/>
              </w:rPr>
              <w:t>GPT-4o</w:t>
            </w:r>
          </w:p>
        </w:tc>
        <w:tc>
          <w:tcPr>
            <w:tcW w:type="dxa" w:w="2880"/>
            <w:shd w:fill="D9E2F3" w:val="clear"/>
          </w:tcPr>
          <w:p>
            <w:pPr>
              <w:jc w:val="center"/>
            </w:pPr>
            <w:r/>
            <w:r>
              <w:rPr>
                <w:rFonts w:ascii="新細明體" w:hAnsi="新細明體" w:eastAsia="新細明體"/>
                <w:b/>
                <w:sz w:val="20"/>
              </w:rPr>
              <w:t>Claude Sonnet 4</w:t>
            </w:r>
          </w:p>
        </w:tc>
      </w:tr>
      <w:tr>
        <w:tc>
          <w:tcPr>
            <w:tcW w:type="dxa" w:w="2880"/>
          </w:tcPr>
          <w:p>
            <w:pPr>
              <w:jc w:val="left"/>
            </w:pPr>
            <w:r/>
            <w:r>
              <w:rPr>
                <w:rFonts w:ascii="新細明體" w:hAnsi="新細明體" w:eastAsia="新細明體"/>
                <w:b w:val="0"/>
                <w:sz w:val="20"/>
              </w:rPr>
              <w:t>屬性召回率</w:t>
            </w:r>
          </w:p>
        </w:tc>
        <w:tc>
          <w:tcPr>
            <w:tcW w:type="dxa" w:w="2880"/>
          </w:tcPr>
          <w:p>
            <w:pPr>
              <w:jc w:val="center"/>
            </w:pPr>
            <w:r/>
            <w:r>
              <w:rPr>
                <w:rFonts w:ascii="新細明體" w:hAnsi="新細明體" w:eastAsia="新細明體"/>
                <w:b w:val="0"/>
                <w:sz w:val="20"/>
              </w:rPr>
              <w:t>74.6%</w:t>
            </w:r>
          </w:p>
        </w:tc>
        <w:tc>
          <w:tcPr>
            <w:tcW w:type="dxa" w:w="2880"/>
          </w:tcPr>
          <w:p>
            <w:pPr>
              <w:jc w:val="center"/>
            </w:pPr>
            <w:r/>
            <w:r>
              <w:rPr>
                <w:rFonts w:ascii="新細明體" w:hAnsi="新細明體" w:eastAsia="新細明體"/>
                <w:b w:val="0"/>
                <w:sz w:val="20"/>
              </w:rPr>
              <w:t>78.2%</w:t>
            </w:r>
          </w:p>
        </w:tc>
      </w:tr>
      <w:tr>
        <w:tc>
          <w:tcPr>
            <w:tcW w:type="dxa" w:w="2880"/>
          </w:tcPr>
          <w:p>
            <w:pPr>
              <w:jc w:val="left"/>
            </w:pPr>
            <w:r/>
            <w:r>
              <w:rPr>
                <w:rFonts w:ascii="新細明體" w:hAnsi="新細明體" w:eastAsia="新細明體"/>
                <w:b w:val="0"/>
                <w:sz w:val="20"/>
              </w:rPr>
              <w:t>情感一致率</w:t>
            </w:r>
          </w:p>
        </w:tc>
        <w:tc>
          <w:tcPr>
            <w:tcW w:type="dxa" w:w="2880"/>
          </w:tcPr>
          <w:p>
            <w:pPr>
              <w:jc w:val="center"/>
            </w:pPr>
            <w:r/>
            <w:r>
              <w:rPr>
                <w:rFonts w:ascii="新細明體" w:hAnsi="新細明體" w:eastAsia="新細明體"/>
                <w:b w:val="0"/>
                <w:sz w:val="20"/>
              </w:rPr>
              <w:t>91.8%</w:t>
            </w:r>
          </w:p>
        </w:tc>
        <w:tc>
          <w:tcPr>
            <w:tcW w:type="dxa" w:w="2880"/>
          </w:tcPr>
          <w:p>
            <w:pPr>
              <w:jc w:val="center"/>
            </w:pPr>
            <w:r/>
            <w:r>
              <w:rPr>
                <w:rFonts w:ascii="新細明體" w:hAnsi="新細明體" w:eastAsia="新細明體"/>
                <w:b w:val="0"/>
                <w:sz w:val="20"/>
              </w:rPr>
              <w:t>91.9%</w:t>
            </w:r>
          </w:p>
        </w:tc>
      </w:tr>
      <w:tr>
        <w:tc>
          <w:tcPr>
            <w:tcW w:type="dxa" w:w="2880"/>
          </w:tcPr>
          <w:p>
            <w:pPr>
              <w:jc w:val="left"/>
            </w:pPr>
            <w:r/>
            <w:r>
              <w:rPr>
                <w:rFonts w:ascii="新細明體" w:hAnsi="新細明體" w:eastAsia="新細明體"/>
                <w:b w:val="0"/>
                <w:sz w:val="20"/>
              </w:rPr>
              <w:t>Spearman ρ</w:t>
            </w:r>
          </w:p>
        </w:tc>
        <w:tc>
          <w:tcPr>
            <w:tcW w:type="dxa" w:w="2880"/>
          </w:tcPr>
          <w:p>
            <w:pPr>
              <w:jc w:val="center"/>
            </w:pPr>
            <w:r/>
            <w:r>
              <w:rPr>
                <w:rFonts w:ascii="新細明體" w:hAnsi="新細明體" w:eastAsia="新細明體"/>
                <w:b w:val="0"/>
                <w:sz w:val="20"/>
              </w:rPr>
              <w:t>0.8933</w:t>
            </w:r>
          </w:p>
        </w:tc>
        <w:tc>
          <w:tcPr>
            <w:tcW w:type="dxa" w:w="2880"/>
          </w:tcPr>
          <w:p>
            <w:pPr>
              <w:jc w:val="center"/>
            </w:pPr>
            <w:r/>
            <w:r>
              <w:rPr>
                <w:rFonts w:ascii="新細明體" w:hAnsi="新細明體" w:eastAsia="新細明體"/>
                <w:b w:val="0"/>
                <w:sz w:val="20"/>
              </w:rPr>
              <w:t>0.9259</w:t>
            </w:r>
          </w:p>
        </w:tc>
      </w:tr>
      <w:tr>
        <w:tc>
          <w:tcPr>
            <w:tcW w:type="dxa" w:w="2880"/>
          </w:tcPr>
          <w:p>
            <w:pPr>
              <w:jc w:val="left"/>
            </w:pPr>
            <w:r/>
            <w:r>
              <w:rPr>
                <w:rFonts w:ascii="新細明體" w:hAnsi="新細明體" w:eastAsia="新細明體"/>
                <w:b w:val="0"/>
                <w:sz w:val="20"/>
              </w:rPr>
              <w:t>Spearman p值</w:t>
            </w:r>
          </w:p>
        </w:tc>
        <w:tc>
          <w:tcPr>
            <w:tcW w:type="dxa" w:w="2880"/>
          </w:tcPr>
          <w:p>
            <w:pPr>
              <w:jc w:val="center"/>
            </w:pPr>
            <w:r/>
            <w:r>
              <w:rPr>
                <w:rFonts w:ascii="新細明體" w:hAnsi="新細明體" w:eastAsia="新細明體"/>
                <w:b w:val="0"/>
                <w:sz w:val="20"/>
              </w:rPr>
              <w:t>&lt; 0.001</w:t>
            </w:r>
          </w:p>
        </w:tc>
        <w:tc>
          <w:tcPr>
            <w:tcW w:type="dxa" w:w="2880"/>
          </w:tcPr>
          <w:p>
            <w:pPr>
              <w:jc w:val="center"/>
            </w:pPr>
            <w:r/>
            <w:r>
              <w:rPr>
                <w:rFonts w:ascii="新細明體" w:hAnsi="新細明體" w:eastAsia="新細明體"/>
                <w:b w:val="0"/>
                <w:sz w:val="20"/>
              </w:rPr>
              <w:t>&lt; 0.001</w:t>
            </w:r>
          </w:p>
        </w:tc>
      </w:tr>
      <w:tr>
        <w:tc>
          <w:tcPr>
            <w:tcW w:type="dxa" w:w="2880"/>
          </w:tcPr>
          <w:p>
            <w:pPr>
              <w:jc w:val="left"/>
            </w:pPr>
            <w:r/>
            <w:r>
              <w:rPr>
                <w:rFonts w:ascii="新細明體" w:hAnsi="新細明體" w:eastAsia="新細明體"/>
                <w:b w:val="0"/>
                <w:sz w:val="20"/>
              </w:rPr>
              <w:t>分數完全一致率</w:t>
            </w:r>
          </w:p>
        </w:tc>
        <w:tc>
          <w:tcPr>
            <w:tcW w:type="dxa" w:w="2880"/>
          </w:tcPr>
          <w:p>
            <w:pPr>
              <w:jc w:val="center"/>
            </w:pPr>
            <w:r/>
            <w:r>
              <w:rPr>
                <w:rFonts w:ascii="新細明體" w:hAnsi="新細明體" w:eastAsia="新細明體"/>
                <w:b w:val="0"/>
                <w:sz w:val="20"/>
              </w:rPr>
              <w:t>60.8%</w:t>
            </w:r>
          </w:p>
        </w:tc>
        <w:tc>
          <w:tcPr>
            <w:tcW w:type="dxa" w:w="2880"/>
          </w:tcPr>
          <w:p>
            <w:pPr>
              <w:jc w:val="center"/>
            </w:pPr>
            <w:r/>
            <w:r>
              <w:rPr>
                <w:rFonts w:ascii="新細明體" w:hAnsi="新細明體" w:eastAsia="新細明體"/>
                <w:b w:val="0"/>
                <w:sz w:val="20"/>
              </w:rPr>
              <w:t>72.8%</w:t>
            </w:r>
          </w:p>
        </w:tc>
      </w:tr>
      <w:tr>
        <w:tc>
          <w:tcPr>
            <w:tcW w:type="dxa" w:w="2880"/>
          </w:tcPr>
          <w:p>
            <w:pPr>
              <w:jc w:val="left"/>
            </w:pPr>
            <w:r/>
            <w:r>
              <w:rPr>
                <w:rFonts w:ascii="新細明體" w:hAnsi="新細明體" w:eastAsia="新細明體"/>
                <w:b w:val="0"/>
                <w:sz w:val="20"/>
              </w:rPr>
              <w:t>分數差≤1</w:t>
            </w:r>
          </w:p>
        </w:tc>
        <w:tc>
          <w:tcPr>
            <w:tcW w:type="dxa" w:w="2880"/>
          </w:tcPr>
          <w:p>
            <w:pPr>
              <w:jc w:val="center"/>
            </w:pPr>
            <w:r/>
            <w:r>
              <w:rPr>
                <w:rFonts w:ascii="新細明體" w:hAnsi="新細明體" w:eastAsia="新細明體"/>
                <w:b w:val="0"/>
                <w:sz w:val="20"/>
              </w:rPr>
              <w:t>94.5%</w:t>
            </w:r>
          </w:p>
        </w:tc>
        <w:tc>
          <w:tcPr>
            <w:tcW w:type="dxa" w:w="2880"/>
          </w:tcPr>
          <w:p>
            <w:pPr>
              <w:jc w:val="center"/>
            </w:pPr>
            <w:r/>
            <w:r>
              <w:rPr>
                <w:rFonts w:ascii="新細明體" w:hAnsi="新細明體" w:eastAsia="新細明體"/>
                <w:b w:val="0"/>
                <w:sz w:val="20"/>
              </w:rPr>
              <w:t>95.9%</w:t>
            </w:r>
          </w:p>
        </w:tc>
      </w:tr>
      <w:tr>
        <w:tc>
          <w:tcPr>
            <w:tcW w:type="dxa" w:w="2880"/>
          </w:tcPr>
          <w:p>
            <w:pPr>
              <w:jc w:val="left"/>
            </w:pPr>
            <w:r/>
            <w:r>
              <w:rPr>
                <w:rFonts w:ascii="新細明體" w:hAnsi="新細明體" w:eastAsia="新細明體"/>
                <w:b w:val="0"/>
                <w:sz w:val="20"/>
              </w:rPr>
              <w:t>匹配配對數/總配對數</w:t>
            </w:r>
          </w:p>
        </w:tc>
        <w:tc>
          <w:tcPr>
            <w:tcW w:type="dxa" w:w="2880"/>
          </w:tcPr>
          <w:p>
            <w:pPr>
              <w:jc w:val="center"/>
            </w:pPr>
            <w:r/>
            <w:r>
              <w:rPr>
                <w:rFonts w:ascii="新細明體" w:hAnsi="新細明體" w:eastAsia="新細明體"/>
                <w:b w:val="0"/>
                <w:sz w:val="20"/>
              </w:rPr>
              <w:t>329/441</w:t>
            </w:r>
          </w:p>
        </w:tc>
        <w:tc>
          <w:tcPr>
            <w:tcW w:type="dxa" w:w="2880"/>
          </w:tcPr>
          <w:p>
            <w:pPr>
              <w:jc w:val="center"/>
            </w:pPr>
            <w:r/>
            <w:r>
              <w:rPr>
                <w:rFonts w:ascii="新細明體" w:hAnsi="新細明體" w:eastAsia="新細明體"/>
                <w:b w:val="0"/>
                <w:sz w:val="20"/>
              </w:rPr>
              <w:t>345/441</w:t>
            </w:r>
          </w:p>
        </w:tc>
      </w:tr>
    </w:tbl>
    <w:p>
      <w:pPr>
        <w:spacing w:before="120" w:after="120"/>
        <w:jc w:val="center"/>
      </w:pPr>
      <w:r>
        <w:rPr>
          <w:rFonts w:ascii="新細明體" w:hAnsi="新細明體" w:eastAsia="新細明體"/>
          <w:sz w:val="20"/>
        </w:rPr>
        <w:t>（資料來源：本研究整理）</w:t>
      </w:r>
    </w:p>
    <w:p>
      <w:pPr>
        <w:spacing w:line="360" w:lineRule="auto"/>
        <w:ind w:firstLine="482"/>
      </w:pPr>
      <w:r>
        <w:rPr>
          <w:rFonts w:ascii="新細明體" w:hAnsi="新細明體" w:eastAsia="新細明體"/>
          <w:b w:val="0"/>
          <w:sz w:val="24"/>
        </w:rPr>
        <w:t>驗證結果如表22所示，可從以下幾個面向進行分析：</w:t>
      </w:r>
    </w:p>
    <w:p>
      <w:pPr>
        <w:spacing w:line="360" w:lineRule="auto"/>
        <w:ind w:firstLine="482"/>
      </w:pPr>
      <w:r>
        <w:rPr>
          <w:rFonts w:ascii="新細明體" w:hAnsi="新細明體" w:eastAsia="新細明體"/>
          <w:b w:val="0"/>
          <w:sz w:val="24"/>
        </w:rPr>
        <w:t>第一，在Spearman等級相關係數方面，GPT-4o的ρ = 0.8933，Claude Sonnet 4的ρ = 0.9259，兩者均大幅超過0.7的高度相關門檻，且p值均小於0.001，達到高度統計顯著水準。此結果表明，不同大型語言模型對同一則評論中同一服務屬性的績效評分排序高度一致，GPT-4o-mini所產出的分析結果並非模型特異性偏差，而是對評論語意的合理詮釋。</w:t>
      </w:r>
    </w:p>
    <w:p>
      <w:pPr>
        <w:spacing w:line="360" w:lineRule="auto"/>
        <w:ind w:firstLine="482"/>
      </w:pPr>
      <w:r>
        <w:rPr>
          <w:rFonts w:ascii="新細明體" w:hAnsi="新細明體" w:eastAsia="新細明體"/>
          <w:b w:val="0"/>
          <w:sz w:val="24"/>
        </w:rPr>
        <w:t>第二，在情感一致率方面，GPT-4o（91.8%）與Claude Sonnet 4（91.9%）對情感方向（正面或負面）的判斷一致率均超過90%，顯示不同模型對評論中蘊含之情感極性具有高度共識。此結果對本研究之SWOT分析特別重要，因為SWOT因素判定的前提是各屬性的績效評分具備可靠性，而91%以上的情感一致率提供了充分的信心保證。</w:t>
      </w:r>
    </w:p>
    <w:p>
      <w:pPr>
        <w:spacing w:line="360" w:lineRule="auto"/>
        <w:ind w:firstLine="482"/>
      </w:pPr>
      <w:r>
        <w:rPr>
          <w:rFonts w:ascii="新細明體" w:hAnsi="新細明體" w:eastAsia="新細明體"/>
          <w:b w:val="0"/>
          <w:sz w:val="24"/>
        </w:rPr>
        <w:t>第三，在分數精確度方面，Claude Sonnet 4的分數完全一致率（72.8%）明顯高於GPT-4o（60.8%），分數差≤1的比例分別為95.9%與94.5%。此結果顯示絕大多數情況下（超過94%），不同模型間的分數差異在1分以內，不會對屬性績效的整體排序與SWOT判定產生實質影響。</w:t>
      </w:r>
    </w:p>
    <w:p>
      <w:pPr>
        <w:spacing w:line="360" w:lineRule="auto"/>
        <w:ind w:firstLine="482"/>
      </w:pPr>
      <w:r>
        <w:rPr>
          <w:rFonts w:ascii="新細明體" w:hAnsi="新細明體" w:eastAsia="新細明體"/>
          <w:b w:val="0"/>
          <w:sz w:val="24"/>
        </w:rPr>
        <w:t>第四，在屬性召回率方面，GPT-4o識別出74.6%的基準屬性，Claude Sonnet 4為78.2%。未匹配的部分（約25%）主要來自不同模型對評論中隱含屬性的識別差異，例如同一段文字可能被GPT-4o-mini歸類為「房間」，而另一模型可能歸類為「清潔度」或認為不構成明確的屬性指涉。此種差異屬於面向級情感分析中的固有挑戰，不影響整體驗證結論。</w:t>
      </w:r>
    </w:p>
    <w:p>
      <w:pPr>
        <w:spacing w:line="360" w:lineRule="auto"/>
        <w:ind w:firstLine="482"/>
      </w:pPr>
      <w:r>
        <w:rPr>
          <w:rFonts w:ascii="新細明體" w:hAnsi="新細明體" w:eastAsia="新細明體"/>
          <w:b w:val="0"/>
          <w:sz w:val="24"/>
        </w:rPr>
        <w:t>第五，值得特別指出的是，來自不同廠商（Anthropic）的Claude Sonnet 4在所有指標上均略優於OpenAI的GPT-4o。此一跨廠商、跨架構的驗證結果具有重要的方法論意涵：它表明GPT-4o-mini的分析結果不僅在同一廠商的模型系列中具備一致性，在完全獨立開發的第三方模型上亦能獲得高度吻合的結果，大幅增強了分析結果之外部效度。</w:t>
      </w:r>
    </w:p>
    <w:p>
      <w:pPr>
        <w:pStyle w:val="Heading3"/>
      </w:pPr>
      <w:r>
        <w:rPr>
          <w:rFonts w:ascii="新細明體" w:hAnsi="新細明體" w:eastAsia="新細明體"/>
          <w:color w:val="000000"/>
        </w:rPr>
        <w:t>4.7.3 驗證結果小結</w:t>
      </w:r>
    </w:p>
    <w:p>
      <w:pPr>
        <w:spacing w:line="360" w:lineRule="auto"/>
        <w:ind w:firstLine="482"/>
      </w:pPr>
      <w:r>
        <w:rPr>
          <w:rFonts w:ascii="新細明體" w:hAnsi="新細明體" w:eastAsia="新細明體"/>
          <w:b w:val="0"/>
          <w:sz w:val="24"/>
        </w:rPr>
        <w:t>穩定性驗證（Fleiss' κ = 0.9936）與跨模型驗證（Spearman ρ = 0.8933-0.9259）之結果共同為本研究方法提供了堅實的信度與效度基礎，具體而言：</w:t>
      </w:r>
    </w:p>
    <w:p>
      <w:pPr>
        <w:spacing w:line="360" w:lineRule="auto"/>
        <w:ind w:firstLine="482"/>
      </w:pPr>
      <w:r>
        <w:rPr>
          <w:rFonts w:ascii="新細明體" w:hAnsi="新細明體" w:eastAsia="新細明體"/>
          <w:b w:val="0"/>
          <w:sz w:val="24"/>
        </w:rPr>
        <w:t>在穩定性（信度）方面，GPT-4o-mini在低溫度參數設定與結構化提示詞的條件下，5次獨立測試的Fleiss' Kappa高達0.9936，屬於「幾乎完全一致」等級，證實模型輸出具備近乎完美的可重現性。</w:t>
      </w:r>
    </w:p>
    <w:p>
      <w:pPr>
        <w:spacing w:line="360" w:lineRule="auto"/>
        <w:ind w:firstLine="482"/>
      </w:pPr>
      <w:r>
        <w:rPr>
          <w:rFonts w:ascii="新細明體" w:hAnsi="新細明體" w:eastAsia="新細明體"/>
          <w:b w:val="0"/>
          <w:sz w:val="24"/>
        </w:rPr>
        <w:t>在有效性（效度）方面，GPT-4o與Claude Sonnet 4兩個獨立模型的跨模型驗證結果（Spearman ρ = 0.8933與0.9259，情感一致率均超過91%）確認GPT-4o-mini的分類結果並非模型特異性偏差，而是對評論語意的合理且可靠的詮釋。</w:t>
      </w:r>
    </w:p>
    <w:p>
      <w:pPr>
        <w:spacing w:line="360" w:lineRule="auto"/>
        <w:ind w:firstLine="482"/>
      </w:pPr>
      <w:r>
        <w:rPr>
          <w:rFonts w:ascii="新細明體" w:hAnsi="新細明體" w:eastAsia="新細明體"/>
          <w:b w:val="0"/>
          <w:sz w:val="24"/>
        </w:rPr>
        <w:t>綜合上述驗證結果，本研究之基於提示工程的生成式AI面向級情感分析框架，在穩定性與有效性兩個維度上均達到學術研究所要求之嚴格標準，為後續基於此分析結果所建構之IPA分析與動態SWOT分析提供了堅實可靠的資料基礎。</w:t>
      </w:r>
    </w:p>
    <w:p>
      <w:pPr>
        <w:pStyle w:val="Heading2"/>
      </w:pPr>
      <w:r>
        <w:rPr>
          <w:rFonts w:ascii="新細明體" w:hAnsi="新細明體" w:eastAsia="新細明體"/>
          <w:color w:val="000000"/>
        </w:rPr>
        <w:t>4.8 本章小結</w:t>
      </w:r>
    </w:p>
    <w:p>
      <w:pPr>
        <w:spacing w:line="360" w:lineRule="auto"/>
        <w:ind w:firstLine="482"/>
      </w:pPr>
      <w:r>
        <w:rPr>
          <w:rFonts w:ascii="新細明體" w:hAnsi="新細明體" w:eastAsia="新細明體"/>
          <w:b w:val="0"/>
          <w:sz w:val="24"/>
        </w:rPr>
        <w:t>本章系統性地呈現了以生成式AI進行飯店評論面向級情感分析、IPA分析與動態SWOT分析的完整實證結果。主要研究發現歸納如下：</w:t>
      </w:r>
    </w:p>
    <w:p>
      <w:pPr>
        <w:spacing w:line="360" w:lineRule="auto"/>
        <w:ind w:firstLine="482"/>
      </w:pPr>
      <w:r>
        <w:rPr>
          <w:rFonts w:ascii="新細明體" w:hAnsi="新細明體" w:eastAsia="新細明體"/>
          <w:b w:val="0"/>
          <w:sz w:val="24"/>
        </w:rPr>
        <w:t>第一，在生成式AI面向級情感分析方面，GPT-4o-mini透過本研究設計之結構化提示詞框架，從11,580筆攜程網酒店評論中成功提取35,456個有效的屬性-情感配對，涵蓋12項預定義之標準服務屬性，每則評論平均識別3.06個屬性，覆蓋率達99.97%。此結果展現了大型語言模型在面向級情感分析任務上的卓越能力，同時驗證了結構化提示詞設計對於引導模型產出高品質、結構化輸出的關鍵作用。</w:t>
      </w:r>
    </w:p>
    <w:p>
      <w:pPr>
        <w:spacing w:line="360" w:lineRule="auto"/>
        <w:ind w:firstLine="482"/>
      </w:pPr>
      <w:r>
        <w:rPr>
          <w:rFonts w:ascii="新細明體" w:hAnsi="新細明體" w:eastAsia="新細明體"/>
          <w:b w:val="0"/>
          <w:sz w:val="24"/>
        </w:rPr>
        <w:t>第二，在屬性績效與重要度分析方面，兩種重要度計算方法（逐筆平均與Post-hoc AI）在核心屬性的排序上展現高度一致性，同時在邊界屬性的判定上互為補充。「地理位置」、「交通」與「服務」在兩種方法中穩定位居前三，而「停車」與「衛浴」均為最不重要的屬性。逐筆平均法反映消費者評論語境中的即時關注，Post-hoc法則從產業知識角度提供宏觀策略判斷，兩者結合為IPA分析提供了更全面、更穩健的分析視角。</w:t>
      </w:r>
    </w:p>
    <w:p>
      <w:pPr>
        <w:spacing w:line="360" w:lineRule="auto"/>
        <w:ind w:firstLine="482"/>
      </w:pPr>
      <w:r>
        <w:rPr>
          <w:rFonts w:ascii="新細明體" w:hAnsi="新細明體" w:eastAsia="新細明體"/>
          <w:b w:val="0"/>
          <w:sz w:val="24"/>
        </w:rPr>
        <w:t>第三，在IPA四象限分析方面，「地理位置」、「交通」、「服務」與「清潔度」穩定落在Q1（繼續保持），「性價比」為Q2（集中改善）的核心屬性。此結果為酒店管理者提供了明確的資源配置優先序——優先投入資源提升消費者的性價比感知，同時維持地理位置與服務品質的既有優勢。</w:t>
      </w:r>
    </w:p>
    <w:p>
      <w:pPr>
        <w:spacing w:line="360" w:lineRule="auto"/>
        <w:ind w:firstLine="482"/>
      </w:pPr>
      <w:r>
        <w:rPr>
          <w:rFonts w:ascii="新細明體" w:hAnsi="新細明體" w:eastAsia="新細明體"/>
          <w:b w:val="0"/>
          <w:sz w:val="24"/>
        </w:rPr>
        <w:t>第四，在動態SWOT分析方面，模型成功捕捉了2019年至2022年間各酒店競爭態勢的動態變化。全季酒店呈現持續改善趨勢，希尔顿酒店展現疫後復甦力道，而励骏酒店則出現競爭力減弱的信號。SWOT因素的時間轉移為管理者提供了前瞻性的策略調整依據，充分體現了動態SWOT模型相較於傳統靜態分析的優越性。</w:t>
      </w:r>
    </w:p>
    <w:p>
      <w:pPr>
        <w:spacing w:line="360" w:lineRule="auto"/>
        <w:ind w:firstLine="482"/>
      </w:pPr>
      <w:r>
        <w:rPr>
          <w:rFonts w:ascii="新細明體" w:hAnsi="新細明體" w:eastAsia="新細明體"/>
          <w:b w:val="0"/>
          <w:sz w:val="24"/>
        </w:rPr>
        <w:t>第五，在方法驗證方面，Fleiss' Kappa = 0.9936的穩定性與Spearman ρ = 0.8933-0.9259的跨模型一致性，從信度與效度兩個維度共同證實了本研究方法的可靠性與嚴謹性，為學術研究採用生成式AI進行大規模文本分析提供了有力的方法論支持。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新細明體" w:hAnsi="新細明體"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